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5B" w:rsidRPr="004D12AC" w:rsidRDefault="001F435B" w:rsidP="00FF2E75">
      <w:pPr>
        <w:pStyle w:val="Title"/>
        <w:spacing w:before="200"/>
        <w:rPr>
          <w:sz w:val="28"/>
          <w:szCs w:val="28"/>
        </w:rPr>
      </w:pPr>
      <w:r w:rsidRPr="004D12AC">
        <w:rPr>
          <w:sz w:val="28"/>
          <w:szCs w:val="28"/>
        </w:rPr>
        <w:t>Supporting Statement for an Information Collection Request (ICR)</w:t>
      </w:r>
    </w:p>
    <w:p w:rsidR="001F435B" w:rsidRPr="000F0DF3" w:rsidRDefault="001F435B" w:rsidP="000F0DF3">
      <w:pPr>
        <w:pStyle w:val="Heading1"/>
      </w:pPr>
      <w:r w:rsidRPr="000F0DF3">
        <w:t>1.</w:t>
      </w:r>
      <w:r w:rsidRPr="000F0DF3">
        <w:tab/>
        <w:t>Identification of the Information Collection</w:t>
      </w:r>
    </w:p>
    <w:p w:rsidR="001F435B" w:rsidRPr="002D7581" w:rsidRDefault="001F435B" w:rsidP="002F2414">
      <w:pPr>
        <w:pStyle w:val="Heading2"/>
      </w:pPr>
      <w:r w:rsidRPr="002D7581">
        <w:t>1(a)</w:t>
      </w:r>
      <w:r w:rsidRPr="002D7581">
        <w:tab/>
        <w:t>Identification</w:t>
      </w:r>
      <w:r>
        <w:t xml:space="preserve"> of the Information Collection:</w:t>
      </w:r>
    </w:p>
    <w:p w:rsidR="001F435B" w:rsidRPr="002D7581" w:rsidRDefault="001F435B" w:rsidP="002F2414">
      <w:pPr>
        <w:pStyle w:val="Heading3"/>
      </w:pPr>
      <w:r w:rsidRPr="002D7581">
        <w:t>1(a</w:t>
      </w:r>
      <w:proofErr w:type="gramStart"/>
      <w:r w:rsidRPr="002D7581">
        <w:t>)(</w:t>
      </w:r>
      <w:proofErr w:type="spellStart"/>
      <w:proofErr w:type="gramEnd"/>
      <w:r w:rsidRPr="002D7581">
        <w:t>i</w:t>
      </w:r>
      <w:proofErr w:type="spellEnd"/>
      <w:r w:rsidRPr="002D7581">
        <w:t>)</w:t>
      </w:r>
      <w:r>
        <w:tab/>
      </w:r>
      <w:r w:rsidRPr="002D7581">
        <w:t>Title</w:t>
      </w:r>
      <w:r w:rsidR="000C6CB0">
        <w:t xml:space="preserve">:  </w:t>
      </w:r>
      <w:r w:rsidRPr="002D7581">
        <w:t>Tier 1 Screening of Certain Chemicals Under the Endocrine Disruptor Screening Program (EDSP).</w:t>
      </w:r>
    </w:p>
    <w:p w:rsidR="001F435B" w:rsidRPr="00A81F95" w:rsidRDefault="001F435B" w:rsidP="002F2414">
      <w:pPr>
        <w:pStyle w:val="Heading3"/>
      </w:pPr>
      <w:r w:rsidRPr="00A81F95">
        <w:t>1(a</w:t>
      </w:r>
      <w:proofErr w:type="gramStart"/>
      <w:r w:rsidRPr="00A81F95">
        <w:t>)(</w:t>
      </w:r>
      <w:proofErr w:type="gramEnd"/>
      <w:r w:rsidRPr="00A81F95">
        <w:t>ii)</w:t>
      </w:r>
      <w:r w:rsidRPr="00A81F95">
        <w:tab/>
        <w:t>EPA ICR No.:</w:t>
      </w:r>
      <w:r w:rsidRPr="00A81F95">
        <w:tab/>
        <w:t>2249.0</w:t>
      </w:r>
      <w:r w:rsidR="000F0DF3">
        <w:t>3</w:t>
      </w:r>
      <w:r w:rsidRPr="00A81F95">
        <w:t xml:space="preserve"> </w:t>
      </w:r>
      <w:r w:rsidRPr="00A81F95">
        <w:br/>
        <w:t>OMB Control No.:</w:t>
      </w:r>
      <w:r w:rsidRPr="00A81F95">
        <w:tab/>
        <w:t>2070-0176</w:t>
      </w:r>
      <w:r w:rsidRPr="00A81F95">
        <w:br/>
        <w:t>Docket ID No.:</w:t>
      </w:r>
      <w:r w:rsidRPr="00A81F95">
        <w:tab/>
        <w:t>EPA–HQ–OPPT–20</w:t>
      </w:r>
      <w:r w:rsidR="000F0DF3">
        <w:t>11</w:t>
      </w:r>
      <w:r w:rsidRPr="00A81F95">
        <w:t>–</w:t>
      </w:r>
      <w:r w:rsidR="000F0DF3">
        <w:rPr>
          <w:rFonts w:cs="Arial"/>
        </w:rPr>
        <w:t>0966</w:t>
      </w:r>
    </w:p>
    <w:p w:rsidR="001F435B" w:rsidRDefault="001F435B" w:rsidP="002F2414">
      <w:pPr>
        <w:pStyle w:val="Heading2"/>
      </w:pPr>
      <w:r>
        <w:t>1(b)</w:t>
      </w:r>
      <w:r>
        <w:tab/>
        <w:t>Short Characterization/Abstract</w:t>
      </w:r>
    </w:p>
    <w:p w:rsidR="000F0DF3" w:rsidRDefault="001F435B" w:rsidP="00F16932">
      <w:r>
        <w:t>This is a renewal of an existing information collection request (ICR) under the Paperwork Reduction Act (PRA)</w:t>
      </w:r>
      <w:r w:rsidR="00CF1D4B">
        <w:t>,</w:t>
      </w:r>
      <w:r w:rsidR="004B1979">
        <w:rPr>
          <w:rStyle w:val="FootnoteReference"/>
        </w:rPr>
        <w:footnoteReference w:id="2"/>
      </w:r>
      <w:r w:rsidR="004B1979">
        <w:t xml:space="preserve"> </w:t>
      </w:r>
      <w:r>
        <w:t xml:space="preserve">covering the information collection activities associated with Tier 1 screening of chemicals under </w:t>
      </w:r>
      <w:r w:rsidR="0062657D">
        <w:t xml:space="preserve">the </w:t>
      </w:r>
      <w:r>
        <w:t>EPA</w:t>
      </w:r>
      <w:r w:rsidR="00CF1D4B">
        <w:t>'</w:t>
      </w:r>
      <w:r>
        <w:t>s Endocrine Disruptor Screening Program (EDSP).</w:t>
      </w:r>
      <w:r w:rsidR="000C6CB0">
        <w:t xml:space="preserve"> </w:t>
      </w:r>
      <w:r>
        <w:t xml:space="preserve">The EDSP is established under </w:t>
      </w:r>
      <w:r w:rsidR="004B1979">
        <w:t xml:space="preserve">section </w:t>
      </w:r>
      <w:r>
        <w:t>408(p) of the Federal Food, Drug, and Cosmetic Act (FFDCA),</w:t>
      </w:r>
      <w:r w:rsidR="000F0DF3">
        <w:rPr>
          <w:rStyle w:val="FootnoteReference"/>
        </w:rPr>
        <w:footnoteReference w:id="3"/>
      </w:r>
      <w:r>
        <w:t xml:space="preserve"> which requires </w:t>
      </w:r>
      <w:r w:rsidR="0062657D">
        <w:t>the EPA</w:t>
      </w:r>
      <w:r>
        <w:t xml:space="preserve"> to develop a chemical screening program using appropriate validated test systems and other scientifically relevant information to determine whether certain substances may have hormonal effects.</w:t>
      </w:r>
      <w:r w:rsidR="000C6CB0">
        <w:t xml:space="preserve"> </w:t>
      </w:r>
      <w:r>
        <w:t>The EDSP consists of a two-tiered approach to screen chemicals for potential endocrine disrupting effects.</w:t>
      </w:r>
      <w:r w:rsidR="000C6CB0">
        <w:t xml:space="preserve"> </w:t>
      </w:r>
      <w:r>
        <w:t>The purpose of Tier 1 screening is to identify substances that have the potential to interact with the estrogen, androgen, or thyroid hormone systems using a battery of assays.</w:t>
      </w:r>
      <w:r w:rsidR="000F0DF3">
        <w:rPr>
          <w:rStyle w:val="FootnoteReference"/>
        </w:rPr>
        <w:footnoteReference w:id="4"/>
      </w:r>
      <w:r w:rsidR="000C6CB0">
        <w:t xml:space="preserve"> </w:t>
      </w:r>
      <w:r>
        <w:t xml:space="preserve">Substances that have the potential to interact with estrogen, androgen or thyroid systems </w:t>
      </w:r>
      <w:r w:rsidR="004D12AC">
        <w:t>may</w:t>
      </w:r>
      <w:r>
        <w:t xml:space="preserve"> proceed to </w:t>
      </w:r>
      <w:r w:rsidR="004D12AC">
        <w:t>Tier 2</w:t>
      </w:r>
      <w:r>
        <w:t>, which is designed to identify any adverse endocrine-related effects caused by the substance, and establish a quantitative relationship between the dose and that endocrine effect.</w:t>
      </w:r>
      <w:r w:rsidR="000C6CB0">
        <w:t xml:space="preserve"> </w:t>
      </w:r>
      <w:r>
        <w:t xml:space="preserve">Additional information about the EDSP is available through the </w:t>
      </w:r>
      <w:r w:rsidR="00CF1D4B">
        <w:t>agency'</w:t>
      </w:r>
      <w:r>
        <w:t xml:space="preserve">s Web site at </w:t>
      </w:r>
      <w:hyperlink r:id="rId9" w:history="1">
        <w:r w:rsidR="000F0DF3" w:rsidRPr="00BA5628">
          <w:rPr>
            <w:rStyle w:val="Hyperlink"/>
          </w:rPr>
          <w:t>http://www.epa.gov/endo</w:t>
        </w:r>
      </w:hyperlink>
      <w:r>
        <w:t>.</w:t>
      </w:r>
    </w:p>
    <w:p w:rsidR="00733994" w:rsidRDefault="001F435B" w:rsidP="00F16932">
      <w:r>
        <w:t xml:space="preserve">This ICR addresses the information collection activities for the </w:t>
      </w:r>
      <w:r w:rsidR="00812153">
        <w:t>initial</w:t>
      </w:r>
      <w:r>
        <w:t xml:space="preserve"> list of chemicals screened under Tier 1 of the EDSP, and covers the full range of information collection activities associated with the issuance of and response to Tier 1 EDSP orders issued by </w:t>
      </w:r>
      <w:r w:rsidR="0062657D">
        <w:t>the EPA</w:t>
      </w:r>
      <w:r>
        <w:t>.</w:t>
      </w:r>
      <w:r w:rsidR="000C6CB0">
        <w:t xml:space="preserve"> </w:t>
      </w:r>
      <w:r>
        <w:t xml:space="preserve">The </w:t>
      </w:r>
      <w:r w:rsidR="00812153">
        <w:t>initial</w:t>
      </w:r>
      <w:r>
        <w:t xml:space="preserve"> list was established in 2009, and consists of 67 pesticide active ingredients (PAIs) and pesticide inerts.</w:t>
      </w:r>
      <w:r w:rsidR="000F0DF3">
        <w:rPr>
          <w:rStyle w:val="FootnoteReference"/>
        </w:rPr>
        <w:footnoteReference w:id="5"/>
      </w:r>
      <w:r w:rsidR="000C6CB0">
        <w:t xml:space="preserve"> </w:t>
      </w:r>
      <w:r>
        <w:t>As the renewal of an ongoing information collection activity approved under the PRA, this ICR addresses the paperwork burden associated with the continuation of these activities over the next three (3) years.</w:t>
      </w:r>
      <w:r w:rsidR="000C6CB0">
        <w:t xml:space="preserve"> </w:t>
      </w:r>
      <w:r>
        <w:t>As such, the paperwork burdens are adjusted to reflect the planned progression associated with the information collection activities covered by the ICR.</w:t>
      </w:r>
    </w:p>
    <w:p w:rsidR="000F0DF3" w:rsidRDefault="001F435B" w:rsidP="00F16932">
      <w:r>
        <w:lastRenderedPageBreak/>
        <w:t xml:space="preserve">Under the existing ICR, </w:t>
      </w:r>
      <w:r w:rsidR="0062657D">
        <w:t>the EPA</w:t>
      </w:r>
      <w:r>
        <w:t xml:space="preserve"> issued the Tier 1 EDSP orders to the identified pesticide registrant and inert manufacturers, and received the initial responses from those order recipients.</w:t>
      </w:r>
      <w:r w:rsidR="000C6CB0">
        <w:t xml:space="preserve"> </w:t>
      </w:r>
      <w:r>
        <w:t xml:space="preserve">However, as stated in the EDSP </w:t>
      </w:r>
      <w:r w:rsidR="00873A4A">
        <w:t>p</w:t>
      </w:r>
      <w:r w:rsidR="004B1979">
        <w:t>olicies and</w:t>
      </w:r>
      <w:r>
        <w:t xml:space="preserve"> </w:t>
      </w:r>
      <w:r w:rsidR="00873A4A">
        <w:t>p</w:t>
      </w:r>
      <w:r>
        <w:t xml:space="preserve">rocedures </w:t>
      </w:r>
      <w:r w:rsidR="00873A4A">
        <w:t xml:space="preserve">document </w:t>
      </w:r>
      <w:r>
        <w:t>(Attachment</w:t>
      </w:r>
      <w:r w:rsidRPr="00F16932">
        <w:t xml:space="preserve"> </w:t>
      </w:r>
      <w:r>
        <w:t xml:space="preserve">B), </w:t>
      </w:r>
      <w:r w:rsidR="0062657D">
        <w:t>the EPA</w:t>
      </w:r>
      <w:r>
        <w:t xml:space="preserve"> will continue to issue </w:t>
      </w:r>
      <w:r w:rsidR="00CF1D4B">
        <w:t>"</w:t>
      </w:r>
      <w:r>
        <w:t>catch-up</w:t>
      </w:r>
      <w:r w:rsidR="00CF1D4B">
        <w:t>"</w:t>
      </w:r>
      <w:r>
        <w:t xml:space="preserve"> orders for a period of 15 years to companies who enter the marketplace after the issuance of the initial orders in 2010.</w:t>
      </w:r>
      <w:r w:rsidR="000C6CB0">
        <w:t xml:space="preserve"> </w:t>
      </w:r>
      <w:r>
        <w:t xml:space="preserve">An up to date matrix with information on the status of the orders issued and responses received for those chemicals is available on the </w:t>
      </w:r>
      <w:r w:rsidR="00CF1D4B">
        <w:t>agency'</w:t>
      </w:r>
      <w:r>
        <w:t xml:space="preserve">s Web site at </w:t>
      </w:r>
      <w:hyperlink r:id="rId10" w:history="1">
        <w:r w:rsidR="000F0DF3" w:rsidRPr="00BA5628">
          <w:rPr>
            <w:rStyle w:val="Hyperlink"/>
          </w:rPr>
          <w:t>http://www.epa.gov/endo</w:t>
        </w:r>
      </w:hyperlink>
      <w:r>
        <w:t>.</w:t>
      </w:r>
      <w:r w:rsidR="000C6CB0">
        <w:t xml:space="preserve"> </w:t>
      </w:r>
      <w:r>
        <w:t xml:space="preserve">To facilitate consortia formation, </w:t>
      </w:r>
      <w:r w:rsidR="0062657D">
        <w:t>the EPA</w:t>
      </w:r>
      <w:r>
        <w:t xml:space="preserve"> also makes a list of the order recipients for each chemical publicly available at the </w:t>
      </w:r>
      <w:r w:rsidR="002C151C">
        <w:t>W</w:t>
      </w:r>
      <w:r>
        <w:t>eb address above.</w:t>
      </w:r>
    </w:p>
    <w:p w:rsidR="009C2019" w:rsidRDefault="001F435B" w:rsidP="00FF2E75">
      <w:r>
        <w:t>Although the information collection activities are not being changed by this ICR renewal,</w:t>
      </w:r>
      <w:r w:rsidR="00105B66">
        <w:t xml:space="preserve"> </w:t>
      </w:r>
      <w:r w:rsidR="00FF2E75">
        <w:t xml:space="preserve">the burden estimates reflect the </w:t>
      </w:r>
      <w:r w:rsidR="00FF2E75" w:rsidRPr="00FF2E75">
        <w:t>planned progression of the collection activities associated with the initial list of chemicals to be screened under the EDSP.</w:t>
      </w:r>
      <w:r w:rsidR="00FF2E75">
        <w:t xml:space="preserve"> A</w:t>
      </w:r>
      <w:r w:rsidR="00105B66">
        <w:t>t this stage of the program</w:t>
      </w:r>
      <w:r w:rsidR="00FF2E75">
        <w:t xml:space="preserve">, the </w:t>
      </w:r>
      <w:r w:rsidR="008A0EBD" w:rsidRPr="008A0EBD">
        <w:t>remaining ongoing information collection activities relate primarily to data submission, and to those activities associated with "catch-up" orders. In calculating the overall burden, the EPA assumes that all future "catch-up" order recipients will join existing data submitters</w:t>
      </w:r>
      <w:r w:rsidR="00FF2E75">
        <w:t xml:space="preserve">, and will not elect to become independent </w:t>
      </w:r>
      <w:r w:rsidR="008A0EBD" w:rsidRPr="008A0EBD">
        <w:t xml:space="preserve">data generators. </w:t>
      </w:r>
    </w:p>
    <w:p w:rsidR="009C2019" w:rsidRDefault="009C2019" w:rsidP="00F16932">
      <w:r>
        <w:t xml:space="preserve">Finally, </w:t>
      </w:r>
      <w:r w:rsidR="0062657D">
        <w:t>the EPA</w:t>
      </w:r>
      <w:r>
        <w:t xml:space="preserve"> has also reviewed the cost estimates for the </w:t>
      </w:r>
      <w:r w:rsidR="00CF1D4B">
        <w:t xml:space="preserve">eleven </w:t>
      </w:r>
      <w:r>
        <w:t>assays, including the analytical chemistry costs, and adjusted the costs for inflation.</w:t>
      </w:r>
      <w:r w:rsidR="000C6CB0">
        <w:t xml:space="preserve"> </w:t>
      </w:r>
      <w:r>
        <w:t>As before, the total costs of the tests are used to calculate the paperwork burdens and costs for this ICR.</w:t>
      </w:r>
    </w:p>
    <w:p w:rsidR="000F0DF3" w:rsidRDefault="000F0DF3" w:rsidP="000F0DF3">
      <w:pPr>
        <w:pStyle w:val="Heading1"/>
      </w:pPr>
      <w:r>
        <w:t>2.</w:t>
      </w:r>
      <w:r>
        <w:tab/>
        <w:t>Need for and Use of the Collection</w:t>
      </w:r>
    </w:p>
    <w:p w:rsidR="000F0DF3" w:rsidRDefault="001F435B" w:rsidP="002F2414">
      <w:pPr>
        <w:pStyle w:val="Heading2"/>
      </w:pPr>
      <w:r>
        <w:t>2(a)</w:t>
      </w:r>
      <w:r w:rsidR="000F0DF3">
        <w:tab/>
      </w:r>
      <w:r>
        <w:t>Need/Authority for the Collection</w:t>
      </w:r>
    </w:p>
    <w:p w:rsidR="00733994" w:rsidRDefault="001F435B" w:rsidP="00F16932">
      <w:r>
        <w:t xml:space="preserve">The </w:t>
      </w:r>
      <w:r w:rsidR="00CF1D4B">
        <w:t>agency'</w:t>
      </w:r>
      <w:r>
        <w:t>s authority for the information collection activities associated with the EDSP includes authorities under the FFDCA, the Safe Drinking Water Act (SDWA), the Federal Insecticide, Fungicide, and Rodenticide Act (FIFRA), and the Toxic Substances Control Act (TSCA).</w:t>
      </w:r>
      <w:r w:rsidR="000C6CB0">
        <w:t xml:space="preserve"> </w:t>
      </w:r>
      <w:r>
        <w:t xml:space="preserve">This information collection activity fulfills a direct statutory mandate and is needed in order to provide information that will allow the </w:t>
      </w:r>
      <w:r w:rsidR="00CF1D4B">
        <w:t>agency</w:t>
      </w:r>
      <w:r>
        <w:t xml:space="preserve"> to identify substances that have the potential to interact with the estrogen, androgen, or thyroid hormone systems.</w:t>
      </w:r>
    </w:p>
    <w:p w:rsidR="00733994" w:rsidRDefault="001F435B" w:rsidP="00F16932">
      <w:r>
        <w:t xml:space="preserve">The EDSP was established in 1998 to carry out the mandate in </w:t>
      </w:r>
      <w:r w:rsidR="004B1979">
        <w:t xml:space="preserve">section </w:t>
      </w:r>
      <w:r>
        <w:t xml:space="preserve">408(p) of the FFDCA (see Attachment A), which directs </w:t>
      </w:r>
      <w:r w:rsidR="0062657D">
        <w:t>the EPA</w:t>
      </w:r>
      <w:r>
        <w:t xml:space="preserve"> </w:t>
      </w:r>
      <w:r w:rsidR="00CF1D4B">
        <w:t>"</w:t>
      </w:r>
      <w:r>
        <w:t>to develop a screening program</w:t>
      </w:r>
      <w:r w:rsidR="001B4D0B">
        <w:t>…</w:t>
      </w:r>
      <w:r>
        <w:t>to determine whether certain substances may have an effect in humans that is similar to an effect produced by a naturally occurring estrogen, or such other endocrine effect as the Administrator may designate.</w:t>
      </w:r>
      <w:r w:rsidR="00CF1D4B">
        <w:t>"</w:t>
      </w:r>
      <w:r w:rsidR="000C6CB0">
        <w:t xml:space="preserve"> </w:t>
      </w:r>
      <w:r>
        <w:t>If a substance is found to have an effect, section 408(p</w:t>
      </w:r>
      <w:proofErr w:type="gramStart"/>
      <w:r>
        <w:t>)(</w:t>
      </w:r>
      <w:proofErr w:type="gramEnd"/>
      <w:r>
        <w:t>6) directs the administrator to take action under available statutory authority to ensure protection of public health.</w:t>
      </w:r>
      <w:r w:rsidR="000C6CB0">
        <w:t xml:space="preserve"> </w:t>
      </w:r>
      <w:r>
        <w:t xml:space="preserve">That is, the ultimate purpose of the EDSP is to provide information that will allow the </w:t>
      </w:r>
      <w:r w:rsidR="00CF1D4B">
        <w:t>agency</w:t>
      </w:r>
      <w:r>
        <w:t xml:space="preserve"> to evaluate the risks associated with the use of a chemical and take appropriate steps to mitigate any risks.</w:t>
      </w:r>
      <w:r w:rsidR="000C6CB0">
        <w:t xml:space="preserve"> </w:t>
      </w:r>
      <w:r>
        <w:t>The necessary information includes identifying any adverse effects that might result from the interaction of a substance with the endocrine system and establishing a dose-response curve.</w:t>
      </w:r>
    </w:p>
    <w:p w:rsidR="000F0DF3" w:rsidRDefault="001F435B" w:rsidP="00F16932">
      <w:r>
        <w:t xml:space="preserve">FFDCA section 408(p)(1) requires </w:t>
      </w:r>
      <w:r w:rsidR="0062657D">
        <w:t>the EPA</w:t>
      </w:r>
      <w:r>
        <w:t xml:space="preserve"> </w:t>
      </w:r>
      <w:r w:rsidR="00CF1D4B">
        <w:t>"</w:t>
      </w:r>
      <w:r>
        <w:t>to develop a screening program, using appropriate validated test systems and other scientifically relevant information to determine whether certain substances may have an effect in humans that is similar to an effect produced by a naturally occurring estrogen, or such other effects as [EPA] may designate.</w:t>
      </w:r>
      <w:r w:rsidR="00CF1D4B">
        <w:t>"</w:t>
      </w:r>
      <w:r>
        <w:t xml:space="preserve"> [21 U.S.C. </w:t>
      </w:r>
      <w:proofErr w:type="gramStart"/>
      <w:r>
        <w:t>346a(</w:t>
      </w:r>
      <w:proofErr w:type="gramEnd"/>
      <w:r>
        <w:t>p)].</w:t>
      </w:r>
    </w:p>
    <w:p w:rsidR="000F0DF3" w:rsidRDefault="001F435B" w:rsidP="00F16932">
      <w:r>
        <w:lastRenderedPageBreak/>
        <w:t>FFDCA section 408(p</w:t>
      </w:r>
      <w:proofErr w:type="gramStart"/>
      <w:r>
        <w:t>)(</w:t>
      </w:r>
      <w:proofErr w:type="gramEnd"/>
      <w:r>
        <w:t xml:space="preserve">3) expressly requires that </w:t>
      </w:r>
      <w:r w:rsidR="0062657D">
        <w:t>the EPA</w:t>
      </w:r>
      <w:r>
        <w:t xml:space="preserve"> </w:t>
      </w:r>
      <w:r w:rsidR="00CF1D4B">
        <w:t>"</w:t>
      </w:r>
      <w:r>
        <w:t>shall provide for the testing of all pesticide chemicals.</w:t>
      </w:r>
      <w:r w:rsidR="00CF1D4B">
        <w:t>"</w:t>
      </w:r>
      <w:r w:rsidR="000C6CB0">
        <w:t xml:space="preserve"> </w:t>
      </w:r>
      <w:r>
        <w:t xml:space="preserve">FFDCA section 201 defines </w:t>
      </w:r>
      <w:r w:rsidR="00CF1D4B">
        <w:t>"</w:t>
      </w:r>
      <w:r>
        <w:t>pesticide chemical</w:t>
      </w:r>
      <w:r w:rsidR="00CF1D4B">
        <w:t>"</w:t>
      </w:r>
      <w:r>
        <w:t xml:space="preserve"> as </w:t>
      </w:r>
      <w:r w:rsidR="00CF1D4B">
        <w:t>"</w:t>
      </w:r>
      <w:r>
        <w:t>any substance that is a pesticide within the meaning of the Federal Insecticide, Fungicide, and Rodenticide Act (FIFRA), including all active and pesticide inert ingredients of such pesticide.</w:t>
      </w:r>
      <w:r w:rsidR="00CF1D4B">
        <w:t>"</w:t>
      </w:r>
      <w:r>
        <w:t xml:space="preserve"> [FFDCA section 201(q</w:t>
      </w:r>
      <w:proofErr w:type="gramStart"/>
      <w:r>
        <w:t>)(</w:t>
      </w:r>
      <w:proofErr w:type="gramEnd"/>
      <w:r>
        <w:t>1), 21 U.S.C. 231(q)(1)].</w:t>
      </w:r>
      <w:r w:rsidR="000C6CB0">
        <w:t xml:space="preserve"> </w:t>
      </w:r>
      <w:r>
        <w:t xml:space="preserve">The statute also provides </w:t>
      </w:r>
      <w:r w:rsidR="0062657D">
        <w:t>the EPA</w:t>
      </w:r>
      <w:r>
        <w:t xml:space="preserve"> with discretionary authority to </w:t>
      </w:r>
      <w:r w:rsidR="00CF1D4B">
        <w:t>"</w:t>
      </w:r>
      <w:r>
        <w:t>provide for the testing of any other substance that may have an effect that is cumulative to an effect of a pesticide chemical if the Administrator determines that a substantial population may be exposed to such a substance.</w:t>
      </w:r>
      <w:r w:rsidR="00CF1D4B">
        <w:t>"</w:t>
      </w:r>
      <w:r>
        <w:t xml:space="preserve"> [21 U.S.C. </w:t>
      </w:r>
      <w:proofErr w:type="gramStart"/>
      <w:r>
        <w:t>346a(</w:t>
      </w:r>
      <w:proofErr w:type="gramEnd"/>
      <w:r>
        <w:t>p)(3)].</w:t>
      </w:r>
    </w:p>
    <w:p w:rsidR="000F0DF3" w:rsidRDefault="001F435B" w:rsidP="00F16932">
      <w:r>
        <w:t xml:space="preserve">FFDCA section 408(p)(5)(A) provides that the Administrator </w:t>
      </w:r>
      <w:r w:rsidR="00CF1D4B">
        <w:t>"</w:t>
      </w:r>
      <w:r>
        <w:t>shall issue an order to a registrant of a substance for which testing is required [under FFDCA section 408(p)], or to a person who manufactures or imports a substance for which testing is required [under FFDCA section 408(p)], to conduct testing in accordance with the screening program, and submit information obtained from the testing to the Administrator within a reasonable time period</w:t>
      </w:r>
      <w:r w:rsidR="00CF1D4B">
        <w:t>"</w:t>
      </w:r>
      <w:r>
        <w:t xml:space="preserve"> that the </w:t>
      </w:r>
      <w:r w:rsidR="00CF1D4B">
        <w:t>agency</w:t>
      </w:r>
      <w:r>
        <w:t xml:space="preserve"> determines is sufficient for the generation of the information.</w:t>
      </w:r>
      <w:r w:rsidR="00CF1D4B">
        <w:t>"</w:t>
      </w:r>
    </w:p>
    <w:p w:rsidR="000F0DF3" w:rsidRDefault="001F435B" w:rsidP="00F16932">
      <w:r>
        <w:t xml:space="preserve">FFDCA section 408(p)(5)(B) requires that, </w:t>
      </w:r>
      <w:r w:rsidR="00CF1D4B">
        <w:t>"</w:t>
      </w:r>
      <w:r>
        <w:t>to the extent practicable, the Administrator shall minimize duplicative testing of the same substance for the same endocrine effect, develop, as appropriate, procedures for fair and equitable sharing of test costs, and develop, as necessary, procedures for handling of confidential business information</w:t>
      </w:r>
      <w:r w:rsidR="001B4D0B">
        <w:t>…</w:t>
      </w:r>
      <w:r w:rsidR="00CF1D4B">
        <w:t>"</w:t>
      </w:r>
      <w:r>
        <w:t xml:space="preserve"> [21 U.S.C. 346a (p</w:t>
      </w:r>
      <w:proofErr w:type="gramStart"/>
      <w:r>
        <w:t>)(</w:t>
      </w:r>
      <w:proofErr w:type="gramEnd"/>
      <w:r>
        <w:t>5)(B)].</w:t>
      </w:r>
    </w:p>
    <w:p w:rsidR="000F0DF3" w:rsidRDefault="001F435B" w:rsidP="00F16932">
      <w:r>
        <w:t xml:space="preserve">If a registrant fails to comply with an </w:t>
      </w:r>
      <w:r w:rsidR="00D70092">
        <w:t>order</w:t>
      </w:r>
      <w:r>
        <w:t xml:space="preserve"> issued under FFDCA section 408(p</w:t>
      </w:r>
      <w:proofErr w:type="gramStart"/>
      <w:r>
        <w:t>)(</w:t>
      </w:r>
      <w:proofErr w:type="gramEnd"/>
      <w:r>
        <w:t xml:space="preserve">5), the Administrator is required to issue </w:t>
      </w:r>
      <w:r w:rsidR="00CF1D4B">
        <w:t>"</w:t>
      </w:r>
      <w:r>
        <w:t>a notice of intent to suspend the sale or distribution of the substance by the registrant.</w:t>
      </w:r>
      <w:r w:rsidR="000C6CB0">
        <w:t xml:space="preserve"> </w:t>
      </w:r>
      <w:r>
        <w:t>Any suspension proposed under this paragraph shall become final at the end of the 30–day period beginning on the date that the registrant receives the notice of intent to suspend, unless during that period, a person adversely affected by the notice requests a hearing or the Administrator determines that the registrant has complied fully with this paragraph.</w:t>
      </w:r>
      <w:r w:rsidR="00CF1D4B">
        <w:t>"</w:t>
      </w:r>
      <w:r>
        <w:t xml:space="preserve"> [21 U.S.C. 346a (p</w:t>
      </w:r>
      <w:proofErr w:type="gramStart"/>
      <w:r>
        <w:t>)(</w:t>
      </w:r>
      <w:proofErr w:type="gramEnd"/>
      <w:r>
        <w:t xml:space="preserve">5)(C)]. Any hearing is required to be conducted in accordance with section 554 of the Administrative Procedures Act (APA). </w:t>
      </w:r>
      <w:proofErr w:type="gramStart"/>
      <w:r>
        <w:t>[5</w:t>
      </w:r>
      <w:r w:rsidR="001B4D0B">
        <w:t> </w:t>
      </w:r>
      <w:r>
        <w:t>U.S.C. 554].</w:t>
      </w:r>
      <w:proofErr w:type="gramEnd"/>
      <w:r w:rsidR="000C6CB0">
        <w:t xml:space="preserve"> </w:t>
      </w:r>
      <w:r>
        <w:t xml:space="preserve">FFDCA section 408(p) explicitly provides that </w:t>
      </w:r>
      <w:r w:rsidR="00CF1D4B">
        <w:t>"</w:t>
      </w:r>
      <w:r>
        <w:t>the only matter for resolution at the hearing shall be whether the registrant has failed to comply with a test order under subparagraph (A) of this paragraph.</w:t>
      </w:r>
      <w:r w:rsidR="00CF1D4B">
        <w:t>"</w:t>
      </w:r>
      <w:r>
        <w:t xml:space="preserve"> [21 U.S.C. 346a (p</w:t>
      </w:r>
      <w:proofErr w:type="gramStart"/>
      <w:r>
        <w:t>)(</w:t>
      </w:r>
      <w:proofErr w:type="gramEnd"/>
      <w:r>
        <w:t>5)(C)(ii)].</w:t>
      </w:r>
      <w:r w:rsidR="000C6CB0">
        <w:t xml:space="preserve"> </w:t>
      </w:r>
      <w:r>
        <w:t xml:space="preserve">A decision by the Administrator after completion of a hearing is considered to be a final </w:t>
      </w:r>
      <w:r w:rsidR="00CF1D4B">
        <w:t>agency</w:t>
      </w:r>
      <w:r>
        <w:t xml:space="preserve"> action. [21 U.S.C. 346a (p</w:t>
      </w:r>
      <w:proofErr w:type="gramStart"/>
      <w:r>
        <w:t>)(</w:t>
      </w:r>
      <w:proofErr w:type="gramEnd"/>
      <w:r>
        <w:t>5)(C)(ii)].</w:t>
      </w:r>
      <w:r w:rsidR="000C6CB0">
        <w:t xml:space="preserve"> </w:t>
      </w:r>
      <w:r>
        <w:t>The Administrator shall terminate a suspension issued with respect to a registrant if the Administrator determines that the registrant has complied fully with FFDCA section 408(p</w:t>
      </w:r>
      <w:proofErr w:type="gramStart"/>
      <w:r>
        <w:t>)(</w:t>
      </w:r>
      <w:proofErr w:type="gramEnd"/>
      <w:r>
        <w:t>5). [21 U.S.C. 346a (p</w:t>
      </w:r>
      <w:proofErr w:type="gramStart"/>
      <w:r>
        <w:t>)(</w:t>
      </w:r>
      <w:proofErr w:type="gramEnd"/>
      <w:r>
        <w:t>5)(C)(iii)].</w:t>
      </w:r>
    </w:p>
    <w:p w:rsidR="000F0DF3" w:rsidRDefault="001F435B" w:rsidP="00F16932">
      <w:r>
        <w:t>FFDCA section 408(p)(5)(D) provides that any person (other than a registrant) who fails to comply with an order issued under FFDCA section 408(p)(5) shall be liable for the same penalties and sanctions as are provided for under section 16 of TSCA.</w:t>
      </w:r>
      <w:r w:rsidR="000C6CB0">
        <w:t xml:space="preserve"> </w:t>
      </w:r>
      <w:r>
        <w:t>[21 U.S.C. 346a (p</w:t>
      </w:r>
      <w:proofErr w:type="gramStart"/>
      <w:r>
        <w:t>)(</w:t>
      </w:r>
      <w:proofErr w:type="gramEnd"/>
      <w:r>
        <w:t>5)(D)].</w:t>
      </w:r>
      <w:r w:rsidR="000C6CB0">
        <w:t xml:space="preserve"> </w:t>
      </w:r>
      <w:r>
        <w:t>Such penalties and sanctions shall be assessed and imposed in the same manner as provided in TSCA section 16.</w:t>
      </w:r>
      <w:r w:rsidR="000C6CB0">
        <w:t xml:space="preserve"> </w:t>
      </w:r>
      <w:r>
        <w:t>Under section 16 of TSCA, civil penalties of up to $25,000 per day may be assessed, after notice and an administrative hearing held on the record in accordance with section 554 of the APA.</w:t>
      </w:r>
      <w:r w:rsidR="000C6CB0">
        <w:t xml:space="preserve"> </w:t>
      </w:r>
      <w:r>
        <w:t>[15 U.S.C. 2615(a</w:t>
      </w:r>
      <w:proofErr w:type="gramStart"/>
      <w:r>
        <w:t>)(</w:t>
      </w:r>
      <w:proofErr w:type="gramEnd"/>
      <w:r>
        <w:t>1)–(2)(A)].</w:t>
      </w:r>
    </w:p>
    <w:p w:rsidR="000F0DF3" w:rsidRDefault="001F435B" w:rsidP="00F16932">
      <w:r>
        <w:t xml:space="preserve">FFDCA section 408(f) establishes procedures that the </w:t>
      </w:r>
      <w:r w:rsidR="00CF1D4B">
        <w:t>agency</w:t>
      </w:r>
      <w:r>
        <w:t xml:space="preserve"> </w:t>
      </w:r>
      <w:r w:rsidR="00CF1D4B">
        <w:t>"</w:t>
      </w:r>
      <w:r>
        <w:t>shall use</w:t>
      </w:r>
      <w:r w:rsidR="00CF1D4B">
        <w:t>"</w:t>
      </w:r>
      <w:r>
        <w:t xml:space="preserve"> to require data to support the continuation of a tolerance or exemption that is in effect.</w:t>
      </w:r>
      <w:r w:rsidR="000C6CB0">
        <w:t xml:space="preserve"> </w:t>
      </w:r>
      <w:r>
        <w:t>The provision identifies three options:</w:t>
      </w:r>
    </w:p>
    <w:p w:rsidR="001F435B" w:rsidRDefault="001F435B" w:rsidP="00CB7A1A">
      <w:pPr>
        <w:pStyle w:val="ListParagraph"/>
        <w:numPr>
          <w:ilvl w:val="0"/>
          <w:numId w:val="1"/>
        </w:numPr>
      </w:pPr>
      <w:r>
        <w:t>Issuance of a notice to the person holding a pesticide registration under FIFRA section 3(c</w:t>
      </w:r>
      <w:proofErr w:type="gramStart"/>
      <w:r>
        <w:t>)(</w:t>
      </w:r>
      <w:proofErr w:type="gramEnd"/>
      <w:r>
        <w:t>2)(B) [FFDCA section 408(f)(1)(A)].</w:t>
      </w:r>
    </w:p>
    <w:p w:rsidR="001F435B" w:rsidRDefault="001F435B" w:rsidP="00CB7A1A">
      <w:pPr>
        <w:pStyle w:val="ListParagraph"/>
        <w:numPr>
          <w:ilvl w:val="0"/>
          <w:numId w:val="1"/>
        </w:numPr>
      </w:pPr>
      <w:r>
        <w:lastRenderedPageBreak/>
        <w:t>Issuance of a rule under section 4 of TSCA [FFDCA section 408(f</w:t>
      </w:r>
      <w:proofErr w:type="gramStart"/>
      <w:r>
        <w:t>)(</w:t>
      </w:r>
      <w:proofErr w:type="gramEnd"/>
      <w:r>
        <w:t>1)(B)].</w:t>
      </w:r>
    </w:p>
    <w:p w:rsidR="000F0DF3" w:rsidRDefault="001F435B" w:rsidP="00CB7A1A">
      <w:pPr>
        <w:pStyle w:val="ListParagraph"/>
        <w:numPr>
          <w:ilvl w:val="0"/>
          <w:numId w:val="1"/>
        </w:numPr>
      </w:pPr>
      <w:r>
        <w:t xml:space="preserve">Publication of a notice in the </w:t>
      </w:r>
      <w:r w:rsidRPr="00CF1D4B">
        <w:rPr>
          <w:i/>
        </w:rPr>
        <w:t>Federal Register</w:t>
      </w:r>
      <w:r>
        <w:t xml:space="preserve"> requiring submission, by certain dates, of a commitment to generate the data </w:t>
      </w:r>
      <w:r w:rsidR="00CF1D4B">
        <w:t>"</w:t>
      </w:r>
      <w:r>
        <w:t>by one or more interested persons.</w:t>
      </w:r>
      <w:r w:rsidR="00CF1D4B">
        <w:t>"</w:t>
      </w:r>
      <w:r>
        <w:t xml:space="preserve"> [FFDCA section 408(f</w:t>
      </w:r>
      <w:proofErr w:type="gramStart"/>
      <w:r>
        <w:t>)(</w:t>
      </w:r>
      <w:proofErr w:type="gramEnd"/>
      <w:r>
        <w:t>1)(C)].</w:t>
      </w:r>
    </w:p>
    <w:p w:rsidR="000F0DF3" w:rsidRDefault="001F435B" w:rsidP="00F16932">
      <w:r>
        <w:t xml:space="preserve">Before using the third option, however, </w:t>
      </w:r>
      <w:r w:rsidR="0062657D">
        <w:t>the EPA</w:t>
      </w:r>
      <w:r>
        <w:t xml:space="preserve"> must demonstrate why the data </w:t>
      </w:r>
      <w:r w:rsidR="00CF1D4B">
        <w:t>"</w:t>
      </w:r>
      <w:r>
        <w:t>could not be obtained</w:t>
      </w:r>
      <w:r w:rsidR="00CF1D4B">
        <w:t>"</w:t>
      </w:r>
      <w:r>
        <w:t xml:space="preserve"> using either of the first two options.</w:t>
      </w:r>
      <w:r w:rsidR="000C6CB0">
        <w:t xml:space="preserve"> </w:t>
      </w:r>
      <w:r>
        <w:t xml:space="preserve">FFDCA section 408(f)(1) expressly provides that </w:t>
      </w:r>
      <w:r w:rsidR="0062657D">
        <w:t>the EPA</w:t>
      </w:r>
      <w:r>
        <w:t xml:space="preserve"> may use these procedures to </w:t>
      </w:r>
      <w:r w:rsidR="00CF1D4B">
        <w:t>"</w:t>
      </w:r>
      <w:r>
        <w:t>require data or information pertaining to whether the pesticide chemical may have an effect in humans that is similar to an effect produced by a naturally occurring estrogen or other endocrine effects.</w:t>
      </w:r>
      <w:r w:rsidR="00CF1D4B">
        <w:t>"</w:t>
      </w:r>
      <w:r w:rsidR="000C6CB0">
        <w:t xml:space="preserve"> </w:t>
      </w:r>
      <w:r>
        <w:t xml:space="preserve">Finally, FFDCA section 408(f)(1)(B) provides that, in the event of failure to comply with a rule under TSCA section 4 or an order under FFDCA section 408(f)(1)(C), </w:t>
      </w:r>
      <w:r w:rsidR="0062657D">
        <w:t>the EPA</w:t>
      </w:r>
      <w:r>
        <w:t xml:space="preserve"> may, after notice and opportunity for public comment, modify or revoke any tolerance or exemption to which the data are relevant.</w:t>
      </w:r>
    </w:p>
    <w:p w:rsidR="000F0DF3" w:rsidRDefault="001F435B" w:rsidP="00F16932">
      <w:r>
        <w:t>In addition, FFDCA section 408(</w:t>
      </w:r>
      <w:proofErr w:type="spellStart"/>
      <w:r>
        <w:t>i</w:t>
      </w:r>
      <w:proofErr w:type="spellEnd"/>
      <w:r>
        <w:t xml:space="preserve">) provides that </w:t>
      </w:r>
      <w:r w:rsidR="00CF1D4B">
        <w:t>"</w:t>
      </w:r>
      <w:r>
        <w:t>[d]</w:t>
      </w:r>
      <w:proofErr w:type="spellStart"/>
      <w:r>
        <w:t>ata</w:t>
      </w:r>
      <w:proofErr w:type="spellEnd"/>
      <w:r>
        <w:t xml:space="preserve"> that are or have been submitted to the Administrator under this section or FFDCA section 409 in support of a tolerance or an exemption from a tolerance shall be entitled to confidential treatment for reasons of business confidentiality and to exclusive use and data compensation to the same extent provided by section 3 and section 10 of [FIFRA].</w:t>
      </w:r>
      <w:r w:rsidR="00CF1D4B">
        <w:t>"</w:t>
      </w:r>
    </w:p>
    <w:p w:rsidR="00733994" w:rsidRDefault="001F435B" w:rsidP="00F16932">
      <w:r>
        <w:t>FIFRA section 3(c</w:t>
      </w:r>
      <w:proofErr w:type="gramStart"/>
      <w:r>
        <w:t>)(</w:t>
      </w:r>
      <w:proofErr w:type="gramEnd"/>
      <w:r>
        <w:t xml:space="preserve">1)(F) provides certain protections for people who submit data to </w:t>
      </w:r>
      <w:r w:rsidR="0062657D">
        <w:t>the EPA</w:t>
      </w:r>
      <w:r>
        <w:t xml:space="preserve"> in connection with decisions under </w:t>
      </w:r>
      <w:r w:rsidR="0062657D">
        <w:t>the EPA</w:t>
      </w:r>
      <w:r w:rsidR="00CF1D4B">
        <w:t>'</w:t>
      </w:r>
      <w:r>
        <w:t>s pesticide regulatory program.</w:t>
      </w:r>
      <w:r w:rsidR="000C6CB0">
        <w:t xml:space="preserve"> </w:t>
      </w:r>
      <w:r>
        <w:t>Specifically, FIFRA section 3(c</w:t>
      </w:r>
      <w:proofErr w:type="gramStart"/>
      <w:r>
        <w:t>)(</w:t>
      </w:r>
      <w:proofErr w:type="gramEnd"/>
      <w:r>
        <w:t xml:space="preserve">1)(F) confers </w:t>
      </w:r>
      <w:r w:rsidR="00CF1D4B">
        <w:t>"</w:t>
      </w:r>
      <w:r>
        <w:t>exclusive use</w:t>
      </w:r>
      <w:r w:rsidR="00CF1D4B">
        <w:t>"</w:t>
      </w:r>
      <w:r>
        <w:t xml:space="preserve"> or </w:t>
      </w:r>
      <w:r w:rsidR="00CF1D4B">
        <w:t>"</w:t>
      </w:r>
      <w:r>
        <w:t>data compensation</w:t>
      </w:r>
      <w:r w:rsidR="00CF1D4B">
        <w:t>"</w:t>
      </w:r>
      <w:r>
        <w:t xml:space="preserve"> rights on certain persons (</w:t>
      </w:r>
      <w:r w:rsidR="00CF1D4B">
        <w:t>"</w:t>
      </w:r>
      <w:r>
        <w:t>original data submitters</w:t>
      </w:r>
      <w:r w:rsidR="00CF1D4B">
        <w:t>"</w:t>
      </w:r>
      <w:r>
        <w:t>) who submit data (in which they have an ownership interest), in support of an application for registration, reregistration, or experimental use permit, or to maintain an existing registration.</w:t>
      </w:r>
    </w:p>
    <w:p w:rsidR="00733994" w:rsidRDefault="001F435B" w:rsidP="00F16932">
      <w:r>
        <w:t xml:space="preserve">Applicants who cite qualifying data previously submitted to the </w:t>
      </w:r>
      <w:r w:rsidR="00CF1D4B">
        <w:t>agency</w:t>
      </w:r>
      <w:r>
        <w:t xml:space="preserve"> by the original data submitter must certify that the original data submitter has granted permission to the applicant to cite data or that the applicant has made an offer of compensation to the original data submitter.</w:t>
      </w:r>
      <w:r w:rsidR="000C6CB0">
        <w:t xml:space="preserve"> </w:t>
      </w:r>
      <w:r>
        <w:t xml:space="preserve">In the case of </w:t>
      </w:r>
      <w:r w:rsidR="00CF1D4B">
        <w:t>"</w:t>
      </w:r>
      <w:r>
        <w:t>exclusive use</w:t>
      </w:r>
      <w:r w:rsidR="00CF1D4B">
        <w:t>"</w:t>
      </w:r>
      <w:r>
        <w:t xml:space="preserve"> data, the applicant must obtain the permission of the original data submitter and certify to the </w:t>
      </w:r>
      <w:r w:rsidR="00CF1D4B">
        <w:t>agency</w:t>
      </w:r>
      <w:r>
        <w:t xml:space="preserve"> that the applicant has obtained written authorization from the original data submitter.</w:t>
      </w:r>
      <w:r w:rsidR="000C6CB0">
        <w:t xml:space="preserve"> </w:t>
      </w:r>
      <w:r>
        <w:t xml:space="preserve">(Data are generally entitled to </w:t>
      </w:r>
      <w:r w:rsidR="00CF1D4B">
        <w:t>"</w:t>
      </w:r>
      <w:r>
        <w:t>exclusive use</w:t>
      </w:r>
      <w:r w:rsidR="00CF1D4B">
        <w:t>"</w:t>
      </w:r>
      <w:r>
        <w:t xml:space="preserve"> for 10 years after the date of the initial registration of a pesticide product containing a new active ingredient.)</w:t>
      </w:r>
      <w:r w:rsidR="000C6CB0">
        <w:t xml:space="preserve"> </w:t>
      </w:r>
      <w:r>
        <w:t>If data are not subject to exclusive use but are compensable, an applicant may cite the data without the permission of the original data submitter, so long as the applicant offers to pay compensation for the right to rely on the data.</w:t>
      </w:r>
      <w:r w:rsidR="000C6CB0">
        <w:t xml:space="preserve"> </w:t>
      </w:r>
      <w:r>
        <w:t xml:space="preserve">(Data are </w:t>
      </w:r>
      <w:r w:rsidR="00CF1D4B">
        <w:t>"</w:t>
      </w:r>
      <w:r>
        <w:t>compensable</w:t>
      </w:r>
      <w:r w:rsidR="00CF1D4B">
        <w:t>"</w:t>
      </w:r>
      <w:r>
        <w:t xml:space="preserve"> for 15 years after the date on which the data were originally submitted.)</w:t>
      </w:r>
      <w:r w:rsidR="000C6CB0">
        <w:t xml:space="preserve"> </w:t>
      </w:r>
      <w:r>
        <w:t>If an applicant and an original data submitter cannot agree on the appropriate amount of compensation, either may initiate binding arbitration to reach a determination.</w:t>
      </w:r>
      <w:r w:rsidR="000C6CB0">
        <w:t xml:space="preserve"> </w:t>
      </w:r>
      <w:r>
        <w:t>If an applicant fails to comply with either the statutory requirements or the provisions of a compensation agreement or an arbitration decision, the application or registration is subject to denial or cancellation.</w:t>
      </w:r>
      <w:r w:rsidR="000C6CB0">
        <w:t xml:space="preserve"> </w:t>
      </w:r>
      <w:r>
        <w:t>[See also 7 U.S.C. 136a (c</w:t>
      </w:r>
      <w:proofErr w:type="gramStart"/>
      <w:r>
        <w:t>)(</w:t>
      </w:r>
      <w:proofErr w:type="gramEnd"/>
      <w:r>
        <w:t>1)(F)(ii)–(iii)].</w:t>
      </w:r>
    </w:p>
    <w:p w:rsidR="000F0DF3" w:rsidRDefault="001F435B" w:rsidP="00F16932">
      <w:r>
        <w:t xml:space="preserve">FIFRA section 3(c)(2)(B) provides that </w:t>
      </w:r>
      <w:r w:rsidR="00CF1D4B">
        <w:t>"</w:t>
      </w:r>
      <w:r w:rsidR="001B4D0B">
        <w:t>…</w:t>
      </w:r>
      <w:r>
        <w:t>[</w:t>
      </w:r>
      <w:proofErr w:type="spellStart"/>
      <w:r>
        <w:t>i</w:t>
      </w:r>
      <w:proofErr w:type="spellEnd"/>
      <w:r>
        <w:t>]f the Administrator determines that additional data are required to maintain in effect an existing registration of a pesticide, the Administrator shall notify all existing registrants of the pesticide to which the determination relates and provide a list of such registrants to any interested person.</w:t>
      </w:r>
      <w:r w:rsidR="00CF1D4B">
        <w:t>"</w:t>
      </w:r>
      <w:r>
        <w:t xml:space="preserve"> [7 U.S.C. 136a(c</w:t>
      </w:r>
      <w:proofErr w:type="gramStart"/>
      <w:r>
        <w:t>)(</w:t>
      </w:r>
      <w:proofErr w:type="gramEnd"/>
      <w:r>
        <w:t>2)(B)].</w:t>
      </w:r>
      <w:r w:rsidR="000C6CB0">
        <w:t xml:space="preserve"> </w:t>
      </w:r>
      <w:r>
        <w:t xml:space="preserve">Continued registration of a pesticide requires that its use not result in </w:t>
      </w:r>
      <w:r w:rsidR="00CF1D4B">
        <w:t>"</w:t>
      </w:r>
      <w:r>
        <w:t>unreasonable adverse effects on the environment</w:t>
      </w:r>
      <w:r w:rsidR="00CF1D4B">
        <w:t>"</w:t>
      </w:r>
      <w:r>
        <w:t xml:space="preserve"> </w:t>
      </w:r>
      <w:r w:rsidR="001B4D0B">
        <w:t>[</w:t>
      </w:r>
      <w:r>
        <w:t xml:space="preserve">defined as </w:t>
      </w:r>
      <w:r w:rsidR="00CF1D4B">
        <w:t>"</w:t>
      </w:r>
      <w:r>
        <w:t>(1)</w:t>
      </w:r>
      <w:r w:rsidR="001B4D0B">
        <w:t> </w:t>
      </w:r>
      <w:r>
        <w:t xml:space="preserve">any unreasonable risk to man or the environment, taking into account the economic, social, and </w:t>
      </w:r>
      <w:r>
        <w:lastRenderedPageBreak/>
        <w:t>environmental cost and benefits of the use of any pesticide, or (2) a human dietary risk from residues that results from a use of a pesticide in or on any food inconsistent with the standard under section 408 of the [FFDCA].</w:t>
      </w:r>
      <w:r w:rsidR="00CF1D4B">
        <w:t>"</w:t>
      </w:r>
      <w:r w:rsidR="000C6CB0">
        <w:t xml:space="preserve"> </w:t>
      </w:r>
      <w:proofErr w:type="gramStart"/>
      <w:r>
        <w:t>[7 U.S.C. 136(bb)].</w:t>
      </w:r>
      <w:proofErr w:type="gramEnd"/>
    </w:p>
    <w:p w:rsidR="000F0DF3" w:rsidRDefault="001F435B" w:rsidP="00F16932">
      <w:r>
        <w:t>FIFRA section 3(c</w:t>
      </w:r>
      <w:proofErr w:type="gramStart"/>
      <w:r>
        <w:t>)(</w:t>
      </w:r>
      <w:proofErr w:type="gramEnd"/>
      <w:r>
        <w:t xml:space="preserve">2)(B) contains a mechanism by which recipients of notices of data requirements (referred to as </w:t>
      </w:r>
      <w:r w:rsidR="00CF1D4B">
        <w:t>"</w:t>
      </w:r>
      <w:r>
        <w:t>Data Call-In notices</w:t>
      </w:r>
      <w:r w:rsidR="00CF1D4B">
        <w:t>"</w:t>
      </w:r>
      <w:r>
        <w:t xml:space="preserve"> or </w:t>
      </w:r>
      <w:r w:rsidR="00CF1D4B">
        <w:t>"</w:t>
      </w:r>
      <w:r>
        <w:t>DCI notices</w:t>
      </w:r>
      <w:r w:rsidR="00CF1D4B">
        <w:t>"</w:t>
      </w:r>
      <w:r>
        <w:t xml:space="preserve">) may jointly develop data and provides that </w:t>
      </w:r>
      <w:r w:rsidR="00CF1D4B">
        <w:t>"</w:t>
      </w:r>
      <w:r>
        <w:t>[a]</w:t>
      </w:r>
      <w:proofErr w:type="spellStart"/>
      <w:r>
        <w:t>ny</w:t>
      </w:r>
      <w:proofErr w:type="spellEnd"/>
      <w:r>
        <w:t xml:space="preserve"> registrant who offers to share in the cost of producing the data shall be entitled to examine and rely upon such data in support of maintenance of such registration.</w:t>
      </w:r>
      <w:r w:rsidR="00CF1D4B">
        <w:t>"</w:t>
      </w:r>
      <w:r w:rsidR="000C6CB0">
        <w:t xml:space="preserve"> </w:t>
      </w:r>
      <w:r>
        <w:t>The section establishes procedures to allow registrants who received DCI notices to use binding arbitration to resolve disputes about each person</w:t>
      </w:r>
      <w:r w:rsidR="00CF1D4B">
        <w:t>'</w:t>
      </w:r>
      <w:r>
        <w:t>s fair share of the testing costs.</w:t>
      </w:r>
    </w:p>
    <w:p w:rsidR="000F0DF3" w:rsidRDefault="001F435B" w:rsidP="00F16932">
      <w:r>
        <w:t>Further, FIFRA section 3(c</w:t>
      </w:r>
      <w:proofErr w:type="gramStart"/>
      <w:r>
        <w:t>)(</w:t>
      </w:r>
      <w:proofErr w:type="gramEnd"/>
      <w:r>
        <w:t xml:space="preserve">1)(F) makes clear that data submitted under FIFRA section 3(c)(2)(B) are also </w:t>
      </w:r>
      <w:r w:rsidR="00CF1D4B">
        <w:t>"</w:t>
      </w:r>
      <w:r>
        <w:t>compensable</w:t>
      </w:r>
      <w:r w:rsidR="00CF1D4B">
        <w:t>"</w:t>
      </w:r>
      <w:r>
        <w:t xml:space="preserve"> when cited in support of an application for a registration.</w:t>
      </w:r>
      <w:r w:rsidR="000C6CB0">
        <w:t xml:space="preserve"> </w:t>
      </w:r>
      <w:r>
        <w:t>In other words, a pesticide company that chooses to rely on such data rather than develop its own data must offer compensation to the original data submitter – usually the data generator.</w:t>
      </w:r>
      <w:r w:rsidR="000C6CB0">
        <w:t xml:space="preserve"> </w:t>
      </w:r>
      <w:r>
        <w:t xml:space="preserve">Lastly, the </w:t>
      </w:r>
      <w:r w:rsidR="00CF1D4B">
        <w:t>agency</w:t>
      </w:r>
      <w:r>
        <w:t xml:space="preserve"> may suspend the registration of a pesticide if the registrant fails to take appropriate steps to provide data required under a DCI notice in a timely manner.</w:t>
      </w:r>
    </w:p>
    <w:p w:rsidR="000F0DF3" w:rsidRDefault="001F435B" w:rsidP="00F16932">
      <w:r>
        <w:t>Finally, FIFRA section 3(c</w:t>
      </w:r>
      <w:proofErr w:type="gramStart"/>
      <w:r>
        <w:t>)(</w:t>
      </w:r>
      <w:proofErr w:type="gramEnd"/>
      <w:r>
        <w:t xml:space="preserve">2)(D) contains a provision, referred to as the </w:t>
      </w:r>
      <w:r w:rsidR="00CF1D4B">
        <w:t>"</w:t>
      </w:r>
      <w:r>
        <w:t>formulator</w:t>
      </w:r>
      <w:r w:rsidR="00CF1D4B">
        <w:t>'</w:t>
      </w:r>
      <w:r>
        <w:t>s exemption</w:t>
      </w:r>
      <w:r w:rsidR="00CF1D4B">
        <w:t>"</w:t>
      </w:r>
      <w:r>
        <w:t xml:space="preserve"> that is intended to simplify and promote equity in the implementation of the data compensation program under FIFRA section 3(c)(1)(F).</w:t>
      </w:r>
      <w:r w:rsidR="000C6CB0">
        <w:t xml:space="preserve"> </w:t>
      </w:r>
      <w:r>
        <w:t xml:space="preserve">This exemption relieves an applicant of the obligation to submit a study, or to cite and obtain permission or offer to pay data compensation to cite the results of a study if the study is relevant to the safety assessment of a registered product that the applicant buys from another </w:t>
      </w:r>
      <w:r w:rsidR="002F5096">
        <w:t>entity</w:t>
      </w:r>
      <w:r>
        <w:t xml:space="preserve"> and uses to make the applicant</w:t>
      </w:r>
      <w:r w:rsidR="00CF1D4B">
        <w:t>'</w:t>
      </w:r>
      <w:r>
        <w:t>s product.</w:t>
      </w:r>
      <w:r w:rsidR="000C6CB0">
        <w:t xml:space="preserve"> </w:t>
      </w:r>
      <w:r>
        <w:t>Congress</w:t>
      </w:r>
      <w:r w:rsidR="00CF1D4B">
        <w:t>'</w:t>
      </w:r>
      <w:r>
        <w:t xml:space="preserve"> rationale for this exemption is that the seller will recover any data generation costs through the purchase price of its product.</w:t>
      </w:r>
      <w:r w:rsidR="000C6CB0">
        <w:t xml:space="preserve"> </w:t>
      </w:r>
      <w:r>
        <w:t>Thus, if a pesticide formulator applies to register a product containing an active ingredient that the formulator purchased from the basic manufacturer of the active ingredient, the formulator does not need to submit or cite and offer to pay compensation for any data specifically relevant to the purchased product.</w:t>
      </w:r>
      <w:r w:rsidR="000C6CB0">
        <w:t xml:space="preserve"> </w:t>
      </w:r>
      <w:r>
        <w:t xml:space="preserve">The </w:t>
      </w:r>
      <w:r w:rsidR="00CF1D4B">
        <w:t>agency</w:t>
      </w:r>
      <w:r>
        <w:t xml:space="preserve"> has extended the principles of the formulator</w:t>
      </w:r>
      <w:r w:rsidR="00CF1D4B">
        <w:t>'</w:t>
      </w:r>
      <w:r>
        <w:t>s exemption to data requirements under FIFRA section 3(c</w:t>
      </w:r>
      <w:proofErr w:type="gramStart"/>
      <w:r>
        <w:t>)(</w:t>
      </w:r>
      <w:proofErr w:type="gramEnd"/>
      <w:r>
        <w:t>2)(B).</w:t>
      </w:r>
      <w:r w:rsidR="000C6CB0">
        <w:t xml:space="preserve"> </w:t>
      </w:r>
      <w:r>
        <w:t>Consequently, if the formulator received a DCI notice requiring data on the active ingredient, the formulator could comply by providing documentation that it bought the active ingredient from another registrant.</w:t>
      </w:r>
    </w:p>
    <w:p w:rsidR="000F0DF3" w:rsidRDefault="001F435B" w:rsidP="00F16932">
      <w:r>
        <w:t xml:space="preserve">In addition, section 1457 of SDWA provides </w:t>
      </w:r>
      <w:r w:rsidR="0062657D">
        <w:t>the EPA</w:t>
      </w:r>
      <w:r>
        <w:t xml:space="preserve"> with discretionary authority to require testing, under the FFDCA section 408(p) screening program, </w:t>
      </w:r>
      <w:r w:rsidR="00CF1D4B">
        <w:t>"</w:t>
      </w:r>
      <w:r>
        <w:t>of any other substances that may be found in sources of drinking water if the Administrator determines that a substantial population may be exposed to such substance.</w:t>
      </w:r>
      <w:r w:rsidR="00CF1D4B">
        <w:t>"</w:t>
      </w:r>
      <w:r>
        <w:t xml:space="preserve"> </w:t>
      </w:r>
      <w:proofErr w:type="gramStart"/>
      <w:r>
        <w:t>[42 U.S.C. 300j–17].</w:t>
      </w:r>
      <w:proofErr w:type="gramEnd"/>
    </w:p>
    <w:p w:rsidR="000F0DF3" w:rsidRDefault="001F435B" w:rsidP="002F2414">
      <w:pPr>
        <w:pStyle w:val="Heading2"/>
      </w:pPr>
      <w:r>
        <w:t>2(b)</w:t>
      </w:r>
      <w:r w:rsidR="00CB7A1A">
        <w:tab/>
      </w:r>
      <w:r>
        <w:t>Use/Users of the Data</w:t>
      </w:r>
    </w:p>
    <w:p w:rsidR="00733994" w:rsidRDefault="001F435B" w:rsidP="00F16932">
      <w:r>
        <w:t xml:space="preserve">In general, </w:t>
      </w:r>
      <w:r w:rsidR="0062657D">
        <w:t>the EPA</w:t>
      </w:r>
      <w:r>
        <w:t xml:space="preserve"> intends to use the data collected under the EDSP, along with other information, to determine if the chemical may pose a risk to human health or the environment due to disruption of the endocrine system.</w:t>
      </w:r>
      <w:r w:rsidR="00CB7A1A">
        <w:rPr>
          <w:rStyle w:val="FootnoteReference"/>
        </w:rPr>
        <w:footnoteReference w:id="6"/>
      </w:r>
      <w:r w:rsidR="000C6CB0">
        <w:t xml:space="preserve"> </w:t>
      </w:r>
      <w:r>
        <w:t>The determination that a chemical does or is not likely to have the potential to interact with the endocrine system (</w:t>
      </w:r>
      <w:r w:rsidRPr="00924FAB">
        <w:rPr>
          <w:i/>
        </w:rPr>
        <w:t>i.e.</w:t>
      </w:r>
      <w:r>
        <w:t xml:space="preserve">, disruption of the estrogen, androgen, or thyroid hormone </w:t>
      </w:r>
      <w:r>
        <w:lastRenderedPageBreak/>
        <w:t>systems) will be made on a weight-of-evidence basis taking into account data from the Tier 1 assays and/or other scientifically relevant information.</w:t>
      </w:r>
      <w:r w:rsidR="000C6CB0">
        <w:t xml:space="preserve"> </w:t>
      </w:r>
      <w:r>
        <w:t>The fact that a substance may interact with a hormone system, however, does not mean that when the substance is used, it will cause adverse effects in humans or ecological systems.</w:t>
      </w:r>
    </w:p>
    <w:p w:rsidR="000F0DF3" w:rsidRDefault="001F435B" w:rsidP="00F16932">
      <w:r>
        <w:t>Subsequently, when used with the Tier 2 testing data</w:t>
      </w:r>
      <w:r w:rsidR="00DF73FD">
        <w:rPr>
          <w:rStyle w:val="FootnoteReference"/>
        </w:rPr>
        <w:footnoteReference w:id="7"/>
      </w:r>
      <w:r>
        <w:t xml:space="preserve"> and other available information</w:t>
      </w:r>
      <w:r w:rsidR="002C151C">
        <w:t>,</w:t>
      </w:r>
      <w:r w:rsidR="00DF73FD">
        <w:rPr>
          <w:rStyle w:val="FootnoteReference"/>
        </w:rPr>
        <w:footnoteReference w:id="8"/>
      </w:r>
      <w:r>
        <w:t xml:space="preserve"> the Tier 1 screening data obtained through this information collection activity will be used by </w:t>
      </w:r>
      <w:r w:rsidR="0062657D">
        <w:t>the EPA</w:t>
      </w:r>
      <w:r>
        <w:t xml:space="preserve"> and others as part of the </w:t>
      </w:r>
      <w:r w:rsidR="003D2886">
        <w:t>hazard</w:t>
      </w:r>
      <w:r>
        <w:t xml:space="preserve"> characterization of a chemical that is </w:t>
      </w:r>
      <w:r w:rsidR="002F5096">
        <w:t>regulated by</w:t>
      </w:r>
      <w:r>
        <w:t xml:space="preserve"> FIFRA, FFDCA, TSCA and</w:t>
      </w:r>
      <w:r w:rsidR="002F5096">
        <w:t xml:space="preserve"> SDWA</w:t>
      </w:r>
      <w:r>
        <w:t>.</w:t>
      </w:r>
    </w:p>
    <w:p w:rsidR="00733994" w:rsidRDefault="001F435B" w:rsidP="00F16932">
      <w:r>
        <w:t xml:space="preserve">More specifically, the data collected under Tier 1 will allow the </w:t>
      </w:r>
      <w:r w:rsidR="00CF1D4B">
        <w:t>agency</w:t>
      </w:r>
      <w:r>
        <w:t xml:space="preserve"> to evaluate the potential interaction of a chemical with the endocrine system.</w:t>
      </w:r>
      <w:r w:rsidR="000C6CB0">
        <w:t xml:space="preserve"> </w:t>
      </w:r>
      <w:r w:rsidR="0062657D">
        <w:t xml:space="preserve">The </w:t>
      </w:r>
      <w:r>
        <w:t>EPA has extensive experience in using data from multiple sources to develop integrated assessments of hazard, modes of action / mechanisms of toxicity, and overall potential for risk.</w:t>
      </w:r>
      <w:r w:rsidR="000C6CB0">
        <w:t xml:space="preserve"> </w:t>
      </w:r>
      <w:r>
        <w:t>EPA scientists will continue to use such experience to address the potential of chemicals to cause adverse effects as a consequence of interaction with the endocrine system.</w:t>
      </w:r>
      <w:r w:rsidR="000C6CB0">
        <w:t xml:space="preserve"> </w:t>
      </w:r>
      <w:r>
        <w:t xml:space="preserve">In fact, </w:t>
      </w:r>
      <w:r w:rsidR="0062657D">
        <w:t>the EPA</w:t>
      </w:r>
      <w:r>
        <w:t xml:space="preserve"> has considered the potential interaction of a chemical with the endocrine system in making certain pesticide registration decisions.</w:t>
      </w:r>
      <w:r w:rsidR="000C6CB0">
        <w:t xml:space="preserve"> </w:t>
      </w:r>
      <w:r>
        <w:t xml:space="preserve">For example, </w:t>
      </w:r>
      <w:r w:rsidR="0062657D">
        <w:t>the</w:t>
      </w:r>
      <w:r w:rsidR="00FF73A1">
        <w:t xml:space="preserve"> </w:t>
      </w:r>
      <w:r w:rsidR="0062657D">
        <w:t>EPA</w:t>
      </w:r>
      <w:r>
        <w:t xml:space="preserve"> considered data from prototypes of the assays included in the current EDSP Tier 1 screen, along with other existing data, in preparing the risk assessments of procymidone</w:t>
      </w:r>
      <w:r w:rsidR="00CB7A1A">
        <w:rPr>
          <w:rStyle w:val="FootnoteReference"/>
        </w:rPr>
        <w:footnoteReference w:id="9"/>
      </w:r>
      <w:r>
        <w:t xml:space="preserve"> and vinclozolin.</w:t>
      </w:r>
      <w:r w:rsidR="00CB7A1A">
        <w:rPr>
          <w:rStyle w:val="FootnoteReference"/>
        </w:rPr>
        <w:footnoteReference w:id="10"/>
      </w:r>
    </w:p>
    <w:p w:rsidR="000F0DF3" w:rsidRDefault="001F435B" w:rsidP="00F16932">
      <w:r>
        <w:t xml:space="preserve">The </w:t>
      </w:r>
      <w:r w:rsidR="00CF1D4B">
        <w:t>agency</w:t>
      </w:r>
      <w:r>
        <w:t xml:space="preserve"> intends to take a weight-of-evidence approach to evaluate the available </w:t>
      </w:r>
      <w:r w:rsidR="005736C1">
        <w:t xml:space="preserve">Tier 1 </w:t>
      </w:r>
      <w:r>
        <w:t xml:space="preserve">data for a particular chemical to determine </w:t>
      </w:r>
      <w:r w:rsidR="005736C1">
        <w:t xml:space="preserve">its </w:t>
      </w:r>
      <w:r>
        <w:t xml:space="preserve">potential </w:t>
      </w:r>
      <w:r w:rsidR="005736C1">
        <w:t xml:space="preserve">to interact with the </w:t>
      </w:r>
      <w:r>
        <w:t xml:space="preserve">endocrine </w:t>
      </w:r>
      <w:r w:rsidR="005736C1">
        <w:t xml:space="preserve">system, and if so, </w:t>
      </w:r>
      <w:r>
        <w:t xml:space="preserve">whether additional data </w:t>
      </w:r>
      <w:r w:rsidR="005736C1">
        <w:t xml:space="preserve">are </w:t>
      </w:r>
      <w:r>
        <w:t>needed.</w:t>
      </w:r>
      <w:r w:rsidR="000C6CB0">
        <w:t xml:space="preserve"> </w:t>
      </w:r>
      <w:r>
        <w:t xml:space="preserve">Chemicals that go through Tier 1 screening and are found to have the potential to interact with the estrogen, androgen, or thyroid hormone systems will proceed to the next stage of the EDSP where </w:t>
      </w:r>
      <w:r w:rsidR="0062657D">
        <w:t>the EPA</w:t>
      </w:r>
      <w:r>
        <w:t xml:space="preserve"> will determine which, if any, of the Tier 2 tests are necessary based on the available data.</w:t>
      </w:r>
      <w:r w:rsidR="000C6CB0">
        <w:t xml:space="preserve"> </w:t>
      </w:r>
      <w:r>
        <w:t>Tier 2 testing is designed to identify any adverse endocrine-related effects caused by the substance, and establish a quantitative relationship between the dose and that endocrine effect</w:t>
      </w:r>
      <w:r w:rsidR="005736C1">
        <w:t xml:space="preserve"> for risk </w:t>
      </w:r>
      <w:r w:rsidR="00DC6A9C">
        <w:t>assessment</w:t>
      </w:r>
      <w:r>
        <w:t>.</w:t>
      </w:r>
    </w:p>
    <w:p w:rsidR="00733994" w:rsidRDefault="001F435B" w:rsidP="00F16932">
      <w:r>
        <w:t xml:space="preserve">In addition to helping determine whether Tier 2 testing is necessary for a particular substance, the Tier 1 screening data may also be used to determine what kind of Tier 2 data </w:t>
      </w:r>
      <w:r w:rsidR="005736C1">
        <w:t xml:space="preserve">are </w:t>
      </w:r>
      <w:r>
        <w:t>appropriate, and whether or not similar substances might share common mechanisms.</w:t>
      </w:r>
      <w:r w:rsidR="000C6CB0">
        <w:t xml:space="preserve"> </w:t>
      </w:r>
      <w:r w:rsidR="005736C1" w:rsidRPr="005736C1">
        <w:t xml:space="preserve">Subsequently, Tier 1 screening data may be used to </w:t>
      </w:r>
      <w:r w:rsidR="00FF73A1">
        <w:t xml:space="preserve">qualitatively </w:t>
      </w:r>
      <w:r w:rsidR="005736C1" w:rsidRPr="005736C1">
        <w:t>characterize the risk of pesticides.</w:t>
      </w:r>
    </w:p>
    <w:p w:rsidR="00733994" w:rsidRDefault="001F435B" w:rsidP="00F16932">
      <w:r>
        <w:t xml:space="preserve">The tiered approach for screening (Tier 1) and testing (Tier 2) that </w:t>
      </w:r>
      <w:r w:rsidR="0062657D">
        <w:t>the EPA</w:t>
      </w:r>
      <w:r>
        <w:t xml:space="preserve"> is using under the EDSP is the most cost-effective and least burdensome approach for complying with the statutory mandate to screen all pesticides </w:t>
      </w:r>
      <w:r w:rsidR="00FF73A1">
        <w:t xml:space="preserve">in </w:t>
      </w:r>
      <w:r w:rsidR="00C90C7B">
        <w:t>the initial list of chemicals</w:t>
      </w:r>
      <w:r w:rsidR="00FF73A1">
        <w:t xml:space="preserve"> </w:t>
      </w:r>
      <w:r>
        <w:t>for endocrine disruptor effects.</w:t>
      </w:r>
      <w:r w:rsidR="000C6CB0">
        <w:t xml:space="preserve"> </w:t>
      </w:r>
      <w:r>
        <w:t xml:space="preserve">Instead of requiring that all pesticides undergo the testing that would be necessary to determine (a) whether the substance causes adverse endocrine-related effects, (b) identify the adverse endocrine-related effects caused by the substance, and (c) establish a quantitative relationship between the dose and the adverse endocrine-related effect, </w:t>
      </w:r>
      <w:r w:rsidR="0062657D">
        <w:t>the EPA</w:t>
      </w:r>
      <w:r>
        <w:t xml:space="preserve"> determined that it would be more efficient (and would use fewer animals) to </w:t>
      </w:r>
      <w:r>
        <w:lastRenderedPageBreak/>
        <w:t>conduct the less expensive and less complex Tier 1 screening to identify those substances that have the potential to interact with the estrogen, androgen and thyroid hormone systems.</w:t>
      </w:r>
    </w:p>
    <w:p w:rsidR="000F0DF3" w:rsidRDefault="001F435B" w:rsidP="00F16932">
      <w:r>
        <w:t xml:space="preserve">The paperwork related requirements imposed on the respondents as part of Tier 1 screening under the EDSP allow </w:t>
      </w:r>
      <w:r w:rsidR="0062657D">
        <w:t>the EPA</w:t>
      </w:r>
      <w:r>
        <w:t xml:space="preserve"> to ensure that the identified screening data will be developed, that the results will meet basic scientific standards, that unforeseen complications or issues can be promptly addressed, and that the screening is progressing on schedule so that the data will be available for consideration in time for anticipated regulatory decisions as required under FIFRA and FFDCA.</w:t>
      </w:r>
    </w:p>
    <w:p w:rsidR="00733994" w:rsidRDefault="001F435B" w:rsidP="00F16932">
      <w:r>
        <w:t xml:space="preserve">Within the Office of Chemical Safety and Pollution Prevention (OCSPP), the Office or Pollution Prevention and Toxics (OPPT), the Office of Pesticide Programs (OPP), and the Office of Science Coordination and Policy (OSCP) will be responsible for the EPA activities related to the issuance of the </w:t>
      </w:r>
      <w:r w:rsidR="001E640A">
        <w:t>orders</w:t>
      </w:r>
      <w:r>
        <w:t xml:space="preserve">, receiving, processing and maintaining records of responses to the </w:t>
      </w:r>
      <w:r w:rsidR="001E640A">
        <w:t>orders</w:t>
      </w:r>
      <w:r>
        <w:t xml:space="preserve">, as well as other administrative functions related to the </w:t>
      </w:r>
      <w:r w:rsidR="001E640A">
        <w:t>orders</w:t>
      </w:r>
      <w:r>
        <w:t>.</w:t>
      </w:r>
      <w:r w:rsidR="000C6CB0">
        <w:t xml:space="preserve"> </w:t>
      </w:r>
      <w:r>
        <w:t xml:space="preserve">The review of Tier 1 screening data received and resulting determinations related to the subject chemical will be based on a coordinated EPA effort that will also include other EPA offices, </w:t>
      </w:r>
      <w:r w:rsidRPr="00924FAB">
        <w:rPr>
          <w:i/>
        </w:rPr>
        <w:t>e.g.</w:t>
      </w:r>
      <w:r>
        <w:t>, Office of Research and Development (ORD), etc.</w:t>
      </w:r>
    </w:p>
    <w:p w:rsidR="000F0DF3" w:rsidRDefault="001F435B" w:rsidP="00F16932">
      <w:r>
        <w:t>As indicated previously, this ICR only applies to Tier 1 screening</w:t>
      </w:r>
      <w:r w:rsidR="00FF73A1">
        <w:t xml:space="preserve"> for the initial list of EDSP chemicals</w:t>
      </w:r>
      <w:r>
        <w:t>.</w:t>
      </w:r>
      <w:r w:rsidR="000C6CB0">
        <w:t xml:space="preserve"> </w:t>
      </w:r>
      <w:r>
        <w:t>A subsequent ICR will address Tier 2 testing.</w:t>
      </w:r>
      <w:r w:rsidR="000C6CB0">
        <w:t xml:space="preserve"> </w:t>
      </w:r>
      <w:r>
        <w:t>Tier 2 is discussed here only in the context of the use of the Tier 1 data collected under this ICR.</w:t>
      </w:r>
    </w:p>
    <w:p w:rsidR="000F0DF3" w:rsidRDefault="00CB7A1A" w:rsidP="00CB7A1A">
      <w:pPr>
        <w:pStyle w:val="Heading1"/>
      </w:pPr>
      <w:r>
        <w:t>3.</w:t>
      </w:r>
      <w:r>
        <w:tab/>
        <w:t>Non-Duplication, Consultation,</w:t>
      </w:r>
      <w:r w:rsidR="00674E1C">
        <w:t xml:space="preserve"> and </w:t>
      </w:r>
      <w:r>
        <w:t>Other Collection Criteria</w:t>
      </w:r>
    </w:p>
    <w:p w:rsidR="000F0DF3" w:rsidRDefault="001F435B" w:rsidP="002F2414">
      <w:pPr>
        <w:pStyle w:val="Heading2"/>
      </w:pPr>
      <w:r>
        <w:t>3(a)</w:t>
      </w:r>
      <w:r w:rsidR="00CB7A1A">
        <w:tab/>
      </w:r>
      <w:r>
        <w:t>Non-duplication</w:t>
      </w:r>
    </w:p>
    <w:p w:rsidR="000F0DF3" w:rsidRDefault="001F435B" w:rsidP="00F16932">
      <w:r>
        <w:t xml:space="preserve">The information collected under this program is collected by no other federal agency or any other office within </w:t>
      </w:r>
      <w:r w:rsidR="0062657D">
        <w:t>the EPA</w:t>
      </w:r>
      <w:r>
        <w:t>.</w:t>
      </w:r>
      <w:r w:rsidR="000C6CB0">
        <w:t xml:space="preserve"> </w:t>
      </w:r>
      <w:r>
        <w:t xml:space="preserve">FFDCA specifically assigns this task to </w:t>
      </w:r>
      <w:r w:rsidR="0062657D">
        <w:t>the EPA</w:t>
      </w:r>
      <w:r>
        <w:t>.</w:t>
      </w:r>
      <w:r w:rsidR="000C6CB0">
        <w:t xml:space="preserve"> </w:t>
      </w:r>
      <w:r>
        <w:t>The EDSP is the only program in the United States mandated to validate assays and require testing of chemicals for their potential to disrupt the endocrine system.</w:t>
      </w:r>
      <w:r w:rsidR="000C6CB0">
        <w:t xml:space="preserve"> </w:t>
      </w:r>
      <w:r>
        <w:t>Prior to the enactment of FFDCA section 408(p) and initiation of EDSP, there were no validated methods to screen or test chemicals for their potential to affect the endocrine system.</w:t>
      </w:r>
    </w:p>
    <w:p w:rsidR="00733994" w:rsidRDefault="001F435B" w:rsidP="00F16932">
      <w:r>
        <w:t xml:space="preserve">In addition, the </w:t>
      </w:r>
      <w:r w:rsidR="00CF1D4B">
        <w:t>agency</w:t>
      </w:r>
      <w:r>
        <w:t xml:space="preserve"> has a strong commitment to avoiding potential duplication in all of its testing programs, as well as in its implementation of the EDSP.</w:t>
      </w:r>
      <w:r w:rsidR="000C6CB0">
        <w:t xml:space="preserve"> </w:t>
      </w:r>
      <w:r w:rsidR="0062657D">
        <w:t>The EPA</w:t>
      </w:r>
      <w:r>
        <w:t xml:space="preserve"> also actively promotes efficiency through its harmonized test guidelines and active participation in the rigorous scientific effort to identify data needs for risk assessments, develop testing protocols, and develop new methods for testing chemicals that minimize potential duplication, create greater efficiencies in testing, and minimize the use of animals in testing.</w:t>
      </w:r>
    </w:p>
    <w:p w:rsidR="00733994" w:rsidRDefault="001F435B" w:rsidP="00F16932">
      <w:r>
        <w:t xml:space="preserve">As a charter member of the Interagency Coordinating Committee on the Validation of Alternative Methods (ICCVAM), </w:t>
      </w:r>
      <w:r w:rsidR="0062657D">
        <w:t>the EPA</w:t>
      </w:r>
      <w:r>
        <w:t xml:space="preserve"> is working in a manner consistent with the interagency validation framework in the development and refinement of assays to reduce animal use, refine procedures involving animals to make them less stressful, and replace the use of animals in tests where scientifically appropriate. </w:t>
      </w:r>
      <w:r w:rsidR="00FF73A1">
        <w:t>T</w:t>
      </w:r>
      <w:r w:rsidR="0062657D">
        <w:t>he EPA</w:t>
      </w:r>
      <w:r>
        <w:t xml:space="preserve"> </w:t>
      </w:r>
      <w:r w:rsidR="00273B98">
        <w:t xml:space="preserve">is using </w:t>
      </w:r>
      <w:r>
        <w:t>validated methods or assays to identify and characterize the endocrine activity of pesticides</w:t>
      </w:r>
      <w:r w:rsidR="00FF73A1">
        <w:t xml:space="preserve"> and inert ingredients</w:t>
      </w:r>
      <w:r>
        <w:t xml:space="preserve"> specifically in relation to estrogen, androgen, and thyroid hormones.</w:t>
      </w:r>
    </w:p>
    <w:p w:rsidR="000F0DF3" w:rsidRDefault="001F435B" w:rsidP="00F16932">
      <w:r>
        <w:lastRenderedPageBreak/>
        <w:t xml:space="preserve">The </w:t>
      </w:r>
      <w:r w:rsidR="00CF1D4B">
        <w:t>agency</w:t>
      </w:r>
      <w:r>
        <w:t xml:space="preserve"> considered these goals in developing the procedures for the EDSP, both those procedures used within </w:t>
      </w:r>
      <w:r w:rsidR="0062657D">
        <w:t>the EPA</w:t>
      </w:r>
      <w:r>
        <w:t xml:space="preserve"> and those that might be used by the respondents.</w:t>
      </w:r>
      <w:r w:rsidR="000C6CB0">
        <w:t xml:space="preserve"> </w:t>
      </w:r>
      <w:r>
        <w:t xml:space="preserve">For example, when a chemical is manufactured by several companies, the procedures encourage the companies to join together to develop and submit the requested data to </w:t>
      </w:r>
      <w:r w:rsidR="0062657D">
        <w:t>the EPA</w:t>
      </w:r>
      <w:r>
        <w:t>.</w:t>
      </w:r>
      <w:r w:rsidR="000C6CB0">
        <w:t xml:space="preserve"> </w:t>
      </w:r>
      <w:r>
        <w:t xml:space="preserve">In addition, </w:t>
      </w:r>
      <w:r w:rsidR="00D70092">
        <w:t>order</w:t>
      </w:r>
      <w:r>
        <w:t xml:space="preserve"> recipients and other interested stakeholders </w:t>
      </w:r>
      <w:r w:rsidR="00273B98">
        <w:t xml:space="preserve">may </w:t>
      </w:r>
      <w:r>
        <w:t xml:space="preserve">cite existing or submit other scientifically relevant data that they believe meet the screening requirements defined in the </w:t>
      </w:r>
      <w:r w:rsidR="00D70092">
        <w:t>order</w:t>
      </w:r>
      <w:r>
        <w:t>.</w:t>
      </w:r>
      <w:r w:rsidR="000C6CB0">
        <w:t xml:space="preserve"> </w:t>
      </w:r>
      <w:r>
        <w:t xml:space="preserve">This is described in more detail in the </w:t>
      </w:r>
      <w:r w:rsidR="00873A4A">
        <w:t>policies and procedures d</w:t>
      </w:r>
      <w:r>
        <w:t>ocument (Attachment B).</w:t>
      </w:r>
    </w:p>
    <w:p w:rsidR="000F0DF3" w:rsidRDefault="001F435B" w:rsidP="002F2414">
      <w:pPr>
        <w:pStyle w:val="Heading2"/>
      </w:pPr>
      <w:r>
        <w:t>3(</w:t>
      </w:r>
      <w:r w:rsidR="00AC3862">
        <w:t>b</w:t>
      </w:r>
      <w:r>
        <w:t>)</w:t>
      </w:r>
      <w:r w:rsidR="00CB7A1A">
        <w:tab/>
      </w:r>
      <w:r>
        <w:t>Consultations</w:t>
      </w:r>
    </w:p>
    <w:p w:rsidR="00367DF2" w:rsidRDefault="00367DF2" w:rsidP="0067595B">
      <w:r>
        <w:t xml:space="preserve">In addition to the notice and comment requirement, the EPA is required under 5 CFR 1320.8(d)(1) to consult with potential respondents and data users about specific aspects of an ICR before submitting it to OMB for review and approval, regardless of whether changes have or have not been made to the collection activity. </w:t>
      </w:r>
      <w:r w:rsidR="0067595B">
        <w:t xml:space="preserve">The </w:t>
      </w:r>
      <w:r w:rsidR="00AC3862">
        <w:t xml:space="preserve">EPA identified eight entities based on </w:t>
      </w:r>
      <w:r w:rsidR="0067595B">
        <w:t xml:space="preserve">previous interactions related to the existing </w:t>
      </w:r>
      <w:r w:rsidR="0067595B" w:rsidRPr="0067595B">
        <w:t xml:space="preserve">ICR </w:t>
      </w:r>
      <w:r w:rsidR="0067595B">
        <w:t xml:space="preserve">and </w:t>
      </w:r>
      <w:r w:rsidR="0067595B" w:rsidRPr="0067595B">
        <w:t xml:space="preserve">consulted with </w:t>
      </w:r>
      <w:r w:rsidR="0067595B">
        <w:t xml:space="preserve">them about </w:t>
      </w:r>
      <w:r w:rsidR="0067595B" w:rsidRPr="0067595B">
        <w:t xml:space="preserve">the information collection activities </w:t>
      </w:r>
      <w:r w:rsidR="0067595B">
        <w:t xml:space="preserve">and related burden estimates provided in the public review draft </w:t>
      </w:r>
      <w:r w:rsidR="0067595B" w:rsidRPr="0067595B">
        <w:t>for th</w:t>
      </w:r>
      <w:r w:rsidR="0067595B">
        <w:t>is</w:t>
      </w:r>
      <w:r w:rsidR="0067595B" w:rsidRPr="0067595B">
        <w:t xml:space="preserve"> ICR.</w:t>
      </w:r>
      <w:r w:rsidR="0067595B">
        <w:t xml:space="preserve"> The details of that consultation, including specific information about the entities, questions posed, and responses received, is provided in </w:t>
      </w:r>
      <w:r>
        <w:t xml:space="preserve">Attachment </w:t>
      </w:r>
      <w:r w:rsidR="00AC3862">
        <w:t>H</w:t>
      </w:r>
      <w:r>
        <w:t xml:space="preserve"> of this document</w:t>
      </w:r>
      <w:r w:rsidR="0067595B">
        <w:t>.  The following is a summary of the consultation and the agency’s response</w:t>
      </w:r>
      <w:r>
        <w:t>.</w:t>
      </w:r>
    </w:p>
    <w:p w:rsidR="00367DF2" w:rsidRDefault="00367DF2" w:rsidP="00367DF2">
      <w:r w:rsidRPr="00BE31FE">
        <w:rPr>
          <w:b/>
          <w:i/>
        </w:rPr>
        <w:t>Publicly Available Data</w:t>
      </w:r>
      <w:r>
        <w:t>:  Most respondents indicated that the submission of "other scientifically relevant information" (OSRI) was expensive and time consuming. It was stated that the agency was too strict in its review of the OSRI. Respondents stated that by not accepting OSRI, portions of the EDSP Tier 1 battery were duplicative.</w:t>
      </w:r>
    </w:p>
    <w:p w:rsidR="00367DF2" w:rsidRDefault="00367DF2" w:rsidP="00367DF2">
      <w:r w:rsidRPr="00BE31FE">
        <w:rPr>
          <w:b/>
          <w:i/>
        </w:rPr>
        <w:t>Frequency of Collection</w:t>
      </w:r>
      <w:r>
        <w:t>:  Most participants responded that the frequency of the data collection was fine given the fact that Tier 1 EDSP orders would only be issued "once" per chemical (except in rare situations). One consultation participant noted the lack of practical utility for the one-year progress report that is required of order recipients to be submitted to the EPA.</w:t>
      </w:r>
    </w:p>
    <w:p w:rsidR="00367DF2" w:rsidRDefault="00367DF2" w:rsidP="00367DF2">
      <w:r w:rsidRPr="00BE31FE">
        <w:rPr>
          <w:b/>
          <w:i/>
        </w:rPr>
        <w:t>Clarity of Instructions</w:t>
      </w:r>
      <w:r>
        <w:t>:  All respondents indicated that instructions could be improved in terms of clarity. However, most respondents indicated that the forms that needed to be submitted were clear and easy to understand.</w:t>
      </w:r>
    </w:p>
    <w:p w:rsidR="00367DF2" w:rsidRDefault="00367DF2" w:rsidP="00367DF2">
      <w:r w:rsidRPr="00BE31FE">
        <w:rPr>
          <w:b/>
          <w:i/>
        </w:rPr>
        <w:t>Electronic Reporting and Record Keeping</w:t>
      </w:r>
      <w:r w:rsidRPr="00BE31FE">
        <w:t>:</w:t>
      </w:r>
      <w:r>
        <w:t xml:space="preserve">  All respondents encouraged the EPA to move to electronic reporting and record keeping as quickly as possible.</w:t>
      </w:r>
    </w:p>
    <w:p w:rsidR="00367DF2" w:rsidRDefault="00367DF2" w:rsidP="00367DF2">
      <w:r w:rsidRPr="00BE31FE">
        <w:rPr>
          <w:b/>
          <w:i/>
        </w:rPr>
        <w:t>Burden and Costs</w:t>
      </w:r>
      <w:r>
        <w:t>:  All respondents felt that the costs associated with the EDSP Tier 1 Battery were underestimated. Most respondents also felt that the EPA could do a better job explaining exactly how the ICR is calculated and where specific figures are "pulled" from. CropLife America stated that they felt the current cost estimate for the EDSP Tier 1 Battery is 15% lower than "real world" costs. CropLife America also indicated that the labor categories (currently managerial, technical, and clerical) should be expanded to include legal and consultant categories.</w:t>
      </w:r>
    </w:p>
    <w:p w:rsidR="00367DF2" w:rsidRPr="0067595B" w:rsidRDefault="00367DF2" w:rsidP="00A35BC3">
      <w:r w:rsidRPr="00A35BC3">
        <w:rPr>
          <w:b/>
          <w:i/>
        </w:rPr>
        <w:t>EPA Response to Consultation</w:t>
      </w:r>
      <w:r w:rsidR="0067595B" w:rsidRPr="00A35BC3">
        <w:rPr>
          <w:b/>
          <w:i/>
        </w:rPr>
        <w:t xml:space="preserve"> Feedback</w:t>
      </w:r>
      <w:r w:rsidR="0067595B" w:rsidRPr="0067595B">
        <w:rPr>
          <w:i/>
        </w:rPr>
        <w:t>:</w:t>
      </w:r>
      <w:r w:rsidR="0067595B">
        <w:t xml:space="preserve"> </w:t>
      </w:r>
      <w:r w:rsidRPr="0067595B">
        <w:t>Because of the similarity in comments received during the consultation process and the public comment period and the general overlap of participants, please refer to the section 3(</w:t>
      </w:r>
      <w:r w:rsidR="00AC3862" w:rsidRPr="0067595B">
        <w:t>c</w:t>
      </w:r>
      <w:r w:rsidRPr="0067595B">
        <w:t>) of this document.</w:t>
      </w:r>
    </w:p>
    <w:p w:rsidR="00AC3862" w:rsidRDefault="00AC3862" w:rsidP="00AC3862">
      <w:pPr>
        <w:pStyle w:val="Heading2"/>
      </w:pPr>
      <w:r>
        <w:lastRenderedPageBreak/>
        <w:t>3(c)</w:t>
      </w:r>
      <w:r>
        <w:tab/>
        <w:t>Public Notice Required Prior to ICR Submission to OMB</w:t>
      </w:r>
    </w:p>
    <w:p w:rsidR="00AC3862" w:rsidRDefault="00AC3862" w:rsidP="00AC3862">
      <w:r>
        <w:t xml:space="preserve">The </w:t>
      </w:r>
      <w:r w:rsidRPr="000554A0">
        <w:t xml:space="preserve">EPA received </w:t>
      </w:r>
      <w:r>
        <w:t xml:space="preserve">four </w:t>
      </w:r>
      <w:r w:rsidRPr="000554A0">
        <w:t>response</w:t>
      </w:r>
      <w:r>
        <w:t>s</w:t>
      </w:r>
      <w:r w:rsidRPr="000554A0">
        <w:t xml:space="preserve"> to the 60-day public notice and comment period for the draft ICR </w:t>
      </w:r>
      <w:r>
        <w:t>r</w:t>
      </w:r>
      <w:r w:rsidRPr="000554A0">
        <w:t>enewal</w:t>
      </w:r>
      <w:r>
        <w:t xml:space="preserve"> (</w:t>
      </w:r>
      <w:r w:rsidRPr="000554A0">
        <w:t>77 FR 47640, August 9, 2012</w:t>
      </w:r>
      <w:r>
        <w:t>)</w:t>
      </w:r>
      <w:r w:rsidRPr="000554A0">
        <w:t>:</w:t>
      </w:r>
    </w:p>
    <w:tbl>
      <w:tblPr>
        <w:tblStyle w:val="TableGrid"/>
        <w:tblW w:w="0" w:type="auto"/>
        <w:tblLook w:val="04A0"/>
      </w:tblPr>
      <w:tblGrid>
        <w:gridCol w:w="1491"/>
        <w:gridCol w:w="1866"/>
        <w:gridCol w:w="3284"/>
        <w:gridCol w:w="3655"/>
      </w:tblGrid>
      <w:tr w:rsidR="00AC3862" w:rsidRPr="000554A0" w:rsidTr="00AC3862">
        <w:trPr>
          <w:tblHeader/>
        </w:trPr>
        <w:tc>
          <w:tcPr>
            <w:tcW w:w="1491" w:type="dxa"/>
            <w:vAlign w:val="bottom"/>
          </w:tcPr>
          <w:p w:rsidR="00AC3862" w:rsidRPr="000554A0" w:rsidRDefault="00AC3862" w:rsidP="00AC3862">
            <w:pPr>
              <w:keepNext/>
              <w:spacing w:after="0"/>
              <w:jc w:val="center"/>
              <w:rPr>
                <w:b/>
                <w:sz w:val="20"/>
                <w:szCs w:val="20"/>
              </w:rPr>
            </w:pPr>
            <w:r w:rsidRPr="000554A0">
              <w:rPr>
                <w:b/>
                <w:sz w:val="20"/>
                <w:szCs w:val="20"/>
              </w:rPr>
              <w:t>Comment</w:t>
            </w:r>
            <w:r>
              <w:rPr>
                <w:b/>
                <w:sz w:val="20"/>
                <w:szCs w:val="20"/>
              </w:rPr>
              <w:t>e</w:t>
            </w:r>
            <w:r w:rsidRPr="000554A0">
              <w:rPr>
                <w:b/>
                <w:sz w:val="20"/>
                <w:szCs w:val="20"/>
              </w:rPr>
              <w:t>r#</w:t>
            </w:r>
            <w:r w:rsidRPr="008A0EBD">
              <w:rPr>
                <w:b/>
                <w:sz w:val="20"/>
                <w:szCs w:val="20"/>
                <w:vertAlign w:val="superscript"/>
              </w:rPr>
              <w:t>(1)</w:t>
            </w:r>
          </w:p>
        </w:tc>
        <w:tc>
          <w:tcPr>
            <w:tcW w:w="1866" w:type="dxa"/>
            <w:vAlign w:val="bottom"/>
          </w:tcPr>
          <w:p w:rsidR="00AC3862" w:rsidRPr="000554A0" w:rsidRDefault="00AC3862" w:rsidP="00AC3862">
            <w:pPr>
              <w:keepNext/>
              <w:spacing w:after="0"/>
              <w:rPr>
                <w:b/>
                <w:sz w:val="20"/>
                <w:szCs w:val="20"/>
              </w:rPr>
            </w:pPr>
            <w:r>
              <w:rPr>
                <w:b/>
                <w:sz w:val="20"/>
                <w:szCs w:val="20"/>
              </w:rPr>
              <w:t>DCN</w:t>
            </w:r>
            <w:r w:rsidRPr="008A0EBD">
              <w:rPr>
                <w:b/>
                <w:sz w:val="20"/>
                <w:szCs w:val="20"/>
                <w:vertAlign w:val="superscript"/>
              </w:rPr>
              <w:t>(2)</w:t>
            </w:r>
          </w:p>
        </w:tc>
        <w:tc>
          <w:tcPr>
            <w:tcW w:w="3284" w:type="dxa"/>
            <w:vAlign w:val="bottom"/>
          </w:tcPr>
          <w:p w:rsidR="00AC3862" w:rsidRPr="000554A0" w:rsidRDefault="00AC3862" w:rsidP="00AC3862">
            <w:pPr>
              <w:keepNext/>
              <w:spacing w:after="0"/>
              <w:rPr>
                <w:b/>
                <w:sz w:val="20"/>
                <w:szCs w:val="20"/>
              </w:rPr>
            </w:pPr>
            <w:r>
              <w:rPr>
                <w:b/>
                <w:sz w:val="20"/>
                <w:szCs w:val="20"/>
              </w:rPr>
              <w:t>Commenter Name</w:t>
            </w:r>
            <w:r w:rsidRPr="008A0EBD">
              <w:rPr>
                <w:b/>
                <w:sz w:val="20"/>
                <w:szCs w:val="20"/>
                <w:vertAlign w:val="superscript"/>
              </w:rPr>
              <w:t>(3)</w:t>
            </w:r>
          </w:p>
        </w:tc>
        <w:tc>
          <w:tcPr>
            <w:tcW w:w="3655" w:type="dxa"/>
            <w:vAlign w:val="bottom"/>
          </w:tcPr>
          <w:p w:rsidR="00AC3862" w:rsidRPr="000554A0" w:rsidRDefault="00AC3862" w:rsidP="00AC3862">
            <w:pPr>
              <w:keepNext/>
              <w:spacing w:after="0"/>
              <w:rPr>
                <w:b/>
                <w:sz w:val="20"/>
                <w:szCs w:val="20"/>
              </w:rPr>
            </w:pPr>
            <w:r w:rsidRPr="000554A0">
              <w:rPr>
                <w:b/>
                <w:sz w:val="20"/>
                <w:szCs w:val="20"/>
              </w:rPr>
              <w:t>Affiliate</w:t>
            </w:r>
          </w:p>
        </w:tc>
      </w:tr>
      <w:tr w:rsidR="00AC3862" w:rsidRPr="000554A0" w:rsidTr="00AC3862">
        <w:tc>
          <w:tcPr>
            <w:tcW w:w="1491" w:type="dxa"/>
          </w:tcPr>
          <w:p w:rsidR="00AC3862" w:rsidRPr="000554A0" w:rsidRDefault="00AC3862" w:rsidP="00AC3862">
            <w:pPr>
              <w:spacing w:after="0"/>
              <w:jc w:val="center"/>
              <w:rPr>
                <w:sz w:val="20"/>
                <w:szCs w:val="20"/>
              </w:rPr>
            </w:pPr>
            <w:r w:rsidRPr="000554A0">
              <w:rPr>
                <w:sz w:val="20"/>
                <w:szCs w:val="20"/>
              </w:rPr>
              <w:t>1</w:t>
            </w:r>
          </w:p>
        </w:tc>
        <w:tc>
          <w:tcPr>
            <w:tcW w:w="1866" w:type="dxa"/>
          </w:tcPr>
          <w:p w:rsidR="00AC3862" w:rsidRPr="000554A0" w:rsidRDefault="00AC3862" w:rsidP="00AC3862">
            <w:pPr>
              <w:spacing w:after="0"/>
              <w:rPr>
                <w:sz w:val="20"/>
                <w:szCs w:val="20"/>
              </w:rPr>
            </w:pPr>
            <w:r w:rsidRPr="000554A0">
              <w:rPr>
                <w:sz w:val="20"/>
                <w:szCs w:val="20"/>
              </w:rPr>
              <w:t>EPA-HQ-OPPT-2011-0966-0012</w:t>
            </w:r>
          </w:p>
        </w:tc>
        <w:tc>
          <w:tcPr>
            <w:tcW w:w="3284" w:type="dxa"/>
          </w:tcPr>
          <w:p w:rsidR="00AC3862" w:rsidRPr="000554A0" w:rsidRDefault="00AC3862" w:rsidP="00AC3862">
            <w:pPr>
              <w:spacing w:after="0"/>
              <w:rPr>
                <w:sz w:val="20"/>
                <w:szCs w:val="20"/>
              </w:rPr>
            </w:pPr>
            <w:r w:rsidRPr="000554A0">
              <w:rPr>
                <w:sz w:val="20"/>
                <w:szCs w:val="20"/>
              </w:rPr>
              <w:t xml:space="preserve">Bayer </w:t>
            </w:r>
            <w:proofErr w:type="spellStart"/>
            <w:r w:rsidRPr="000554A0">
              <w:rPr>
                <w:sz w:val="20"/>
                <w:szCs w:val="20"/>
              </w:rPr>
              <w:t>CropScience</w:t>
            </w:r>
            <w:proofErr w:type="spellEnd"/>
            <w:r w:rsidRPr="000554A0">
              <w:rPr>
                <w:sz w:val="20"/>
                <w:szCs w:val="20"/>
              </w:rPr>
              <w:t xml:space="preserve"> Endocrine Drive Team</w:t>
            </w:r>
          </w:p>
        </w:tc>
        <w:tc>
          <w:tcPr>
            <w:tcW w:w="3655" w:type="dxa"/>
          </w:tcPr>
          <w:p w:rsidR="00AC3862" w:rsidRPr="000554A0" w:rsidRDefault="00AC3862" w:rsidP="00AC3862">
            <w:pPr>
              <w:spacing w:after="0"/>
              <w:rPr>
                <w:sz w:val="20"/>
                <w:szCs w:val="20"/>
              </w:rPr>
            </w:pPr>
            <w:r w:rsidRPr="000554A0">
              <w:rPr>
                <w:sz w:val="20"/>
                <w:szCs w:val="20"/>
              </w:rPr>
              <w:t xml:space="preserve">Bayer </w:t>
            </w:r>
            <w:proofErr w:type="spellStart"/>
            <w:r w:rsidRPr="000554A0">
              <w:rPr>
                <w:sz w:val="20"/>
                <w:szCs w:val="20"/>
              </w:rPr>
              <w:t>CropScience</w:t>
            </w:r>
            <w:proofErr w:type="spellEnd"/>
            <w:r w:rsidRPr="000554A0">
              <w:rPr>
                <w:sz w:val="20"/>
                <w:szCs w:val="20"/>
              </w:rPr>
              <w:t xml:space="preserve"> LP</w:t>
            </w:r>
          </w:p>
        </w:tc>
      </w:tr>
      <w:tr w:rsidR="00AC3862" w:rsidRPr="000554A0" w:rsidTr="00AC3862">
        <w:tc>
          <w:tcPr>
            <w:tcW w:w="1491" w:type="dxa"/>
          </w:tcPr>
          <w:p w:rsidR="00AC3862" w:rsidRPr="000554A0" w:rsidRDefault="00AC3862" w:rsidP="00AC3862">
            <w:pPr>
              <w:spacing w:after="0"/>
              <w:jc w:val="center"/>
              <w:rPr>
                <w:sz w:val="20"/>
                <w:szCs w:val="20"/>
              </w:rPr>
            </w:pPr>
            <w:r w:rsidRPr="000554A0">
              <w:rPr>
                <w:sz w:val="20"/>
                <w:szCs w:val="20"/>
              </w:rPr>
              <w:t>2</w:t>
            </w:r>
          </w:p>
        </w:tc>
        <w:tc>
          <w:tcPr>
            <w:tcW w:w="1866" w:type="dxa"/>
          </w:tcPr>
          <w:p w:rsidR="00AC3862" w:rsidRPr="000554A0" w:rsidRDefault="00AC3862" w:rsidP="00AC3862">
            <w:pPr>
              <w:spacing w:after="0"/>
              <w:rPr>
                <w:sz w:val="20"/>
                <w:szCs w:val="20"/>
              </w:rPr>
            </w:pPr>
            <w:r w:rsidRPr="000554A0">
              <w:rPr>
                <w:sz w:val="20"/>
                <w:szCs w:val="20"/>
              </w:rPr>
              <w:t>EPA-HQ-OPPT-2011-0966-0013</w:t>
            </w:r>
          </w:p>
        </w:tc>
        <w:tc>
          <w:tcPr>
            <w:tcW w:w="3284" w:type="dxa"/>
          </w:tcPr>
          <w:p w:rsidR="00AC3862" w:rsidRPr="000554A0" w:rsidRDefault="00AC3862" w:rsidP="00AC3862">
            <w:pPr>
              <w:spacing w:after="0"/>
              <w:rPr>
                <w:sz w:val="20"/>
                <w:szCs w:val="20"/>
              </w:rPr>
            </w:pPr>
            <w:r w:rsidRPr="000554A0">
              <w:rPr>
                <w:sz w:val="20"/>
                <w:szCs w:val="20"/>
              </w:rPr>
              <w:t>Clare Thorpe, Senior Director Human Health Policy</w:t>
            </w:r>
          </w:p>
        </w:tc>
        <w:tc>
          <w:tcPr>
            <w:tcW w:w="3655" w:type="dxa"/>
          </w:tcPr>
          <w:p w:rsidR="00AC3862" w:rsidRPr="000554A0" w:rsidRDefault="00AC3862" w:rsidP="00AC3862">
            <w:pPr>
              <w:spacing w:after="0"/>
              <w:rPr>
                <w:sz w:val="20"/>
                <w:szCs w:val="20"/>
              </w:rPr>
            </w:pPr>
            <w:proofErr w:type="spellStart"/>
            <w:r w:rsidRPr="000554A0">
              <w:rPr>
                <w:sz w:val="20"/>
                <w:szCs w:val="20"/>
              </w:rPr>
              <w:t>CropLife</w:t>
            </w:r>
            <w:proofErr w:type="spellEnd"/>
            <w:r w:rsidRPr="000554A0">
              <w:rPr>
                <w:sz w:val="20"/>
                <w:szCs w:val="20"/>
              </w:rPr>
              <w:t xml:space="preserve"> America (CLA) and Endocrine Policy Forum (EPF)</w:t>
            </w:r>
          </w:p>
        </w:tc>
      </w:tr>
      <w:tr w:rsidR="00AC3862" w:rsidRPr="000554A0" w:rsidTr="00AC3862">
        <w:tc>
          <w:tcPr>
            <w:tcW w:w="1491" w:type="dxa"/>
          </w:tcPr>
          <w:p w:rsidR="00AC3862" w:rsidRPr="000554A0" w:rsidRDefault="00AC3862" w:rsidP="00AC3862">
            <w:pPr>
              <w:spacing w:after="0"/>
              <w:jc w:val="center"/>
              <w:rPr>
                <w:sz w:val="20"/>
                <w:szCs w:val="20"/>
              </w:rPr>
            </w:pPr>
            <w:r w:rsidRPr="000554A0">
              <w:rPr>
                <w:sz w:val="20"/>
                <w:szCs w:val="20"/>
              </w:rPr>
              <w:t>3</w:t>
            </w:r>
          </w:p>
        </w:tc>
        <w:tc>
          <w:tcPr>
            <w:tcW w:w="1866" w:type="dxa"/>
          </w:tcPr>
          <w:p w:rsidR="00AC3862" w:rsidRPr="000554A0" w:rsidRDefault="00AC3862" w:rsidP="00AC3862">
            <w:pPr>
              <w:spacing w:after="0"/>
              <w:rPr>
                <w:sz w:val="20"/>
                <w:szCs w:val="20"/>
              </w:rPr>
            </w:pPr>
            <w:r w:rsidRPr="000554A0">
              <w:rPr>
                <w:sz w:val="20"/>
                <w:szCs w:val="20"/>
              </w:rPr>
              <w:t>EPA-HQ-OPPT-2011-0966-0014</w:t>
            </w:r>
          </w:p>
        </w:tc>
        <w:tc>
          <w:tcPr>
            <w:tcW w:w="3284" w:type="dxa"/>
          </w:tcPr>
          <w:p w:rsidR="00AC3862" w:rsidRPr="000554A0" w:rsidRDefault="00AC3862" w:rsidP="00AC3862">
            <w:pPr>
              <w:spacing w:after="0"/>
              <w:rPr>
                <w:sz w:val="20"/>
                <w:szCs w:val="20"/>
              </w:rPr>
            </w:pPr>
            <w:r w:rsidRPr="000554A0">
              <w:rPr>
                <w:sz w:val="20"/>
                <w:szCs w:val="20"/>
              </w:rPr>
              <w:t>Scott Slaughter</w:t>
            </w:r>
          </w:p>
        </w:tc>
        <w:tc>
          <w:tcPr>
            <w:tcW w:w="3655" w:type="dxa"/>
          </w:tcPr>
          <w:p w:rsidR="00AC3862" w:rsidRPr="000554A0" w:rsidRDefault="00AC3862" w:rsidP="00AC3862">
            <w:pPr>
              <w:spacing w:after="0"/>
              <w:rPr>
                <w:sz w:val="20"/>
                <w:szCs w:val="20"/>
              </w:rPr>
            </w:pPr>
            <w:r w:rsidRPr="000554A0">
              <w:rPr>
                <w:sz w:val="20"/>
                <w:szCs w:val="20"/>
              </w:rPr>
              <w:t>Center for Regulatory Effectiveness (CRE)</w:t>
            </w:r>
          </w:p>
        </w:tc>
      </w:tr>
      <w:tr w:rsidR="00AC3862" w:rsidRPr="000554A0" w:rsidTr="00AC3862">
        <w:tc>
          <w:tcPr>
            <w:tcW w:w="1491" w:type="dxa"/>
            <w:tcBorders>
              <w:bottom w:val="single" w:sz="4" w:space="0" w:color="auto"/>
            </w:tcBorders>
          </w:tcPr>
          <w:p w:rsidR="00AC3862" w:rsidRPr="000554A0" w:rsidRDefault="00AC3862" w:rsidP="00AC3862">
            <w:pPr>
              <w:spacing w:after="0"/>
              <w:jc w:val="center"/>
              <w:rPr>
                <w:sz w:val="20"/>
                <w:szCs w:val="20"/>
              </w:rPr>
            </w:pPr>
            <w:r w:rsidRPr="000554A0">
              <w:rPr>
                <w:sz w:val="20"/>
                <w:szCs w:val="20"/>
              </w:rPr>
              <w:t>4</w:t>
            </w:r>
          </w:p>
        </w:tc>
        <w:tc>
          <w:tcPr>
            <w:tcW w:w="1866" w:type="dxa"/>
            <w:tcBorders>
              <w:bottom w:val="single" w:sz="4" w:space="0" w:color="auto"/>
            </w:tcBorders>
          </w:tcPr>
          <w:p w:rsidR="00AC3862" w:rsidRPr="000554A0" w:rsidRDefault="00AC3862" w:rsidP="00AC3862">
            <w:pPr>
              <w:spacing w:after="0"/>
              <w:rPr>
                <w:sz w:val="20"/>
                <w:szCs w:val="20"/>
              </w:rPr>
            </w:pPr>
            <w:r w:rsidRPr="000554A0">
              <w:rPr>
                <w:sz w:val="20"/>
                <w:szCs w:val="20"/>
              </w:rPr>
              <w:t>EPA-HQ-OPPT-2011-0966-0015</w:t>
            </w:r>
          </w:p>
        </w:tc>
        <w:tc>
          <w:tcPr>
            <w:tcW w:w="3284" w:type="dxa"/>
            <w:tcBorders>
              <w:bottom w:val="single" w:sz="4" w:space="0" w:color="auto"/>
            </w:tcBorders>
          </w:tcPr>
          <w:p w:rsidR="00AC3862" w:rsidRPr="000554A0" w:rsidRDefault="00AC3862" w:rsidP="00AC3862">
            <w:pPr>
              <w:spacing w:after="0"/>
              <w:rPr>
                <w:sz w:val="20"/>
                <w:szCs w:val="20"/>
              </w:rPr>
            </w:pPr>
            <w:r w:rsidRPr="000554A0">
              <w:rPr>
                <w:sz w:val="20"/>
                <w:szCs w:val="20"/>
              </w:rPr>
              <w:t>Patricia L. Bishop, Research Associate, Regulatory Testing Division and Kristie Sullivan, Director, Regulatory Testing Issues</w:t>
            </w:r>
          </w:p>
        </w:tc>
        <w:tc>
          <w:tcPr>
            <w:tcW w:w="3655" w:type="dxa"/>
            <w:tcBorders>
              <w:bottom w:val="single" w:sz="4" w:space="0" w:color="auto"/>
            </w:tcBorders>
          </w:tcPr>
          <w:p w:rsidR="00AC3862" w:rsidRPr="000554A0" w:rsidRDefault="00AC3862" w:rsidP="00AC3862">
            <w:pPr>
              <w:spacing w:after="0"/>
              <w:rPr>
                <w:sz w:val="20"/>
                <w:szCs w:val="20"/>
              </w:rPr>
            </w:pPr>
            <w:r w:rsidRPr="000554A0">
              <w:rPr>
                <w:sz w:val="20"/>
                <w:szCs w:val="20"/>
              </w:rPr>
              <w:t>People for the Ethical Treatment of Animals (PETA) and Physicians Committee for Responsible Medicine (PCRM)</w:t>
            </w:r>
          </w:p>
        </w:tc>
      </w:tr>
      <w:tr w:rsidR="00AC3862" w:rsidRPr="000554A0" w:rsidTr="00AC3862">
        <w:tc>
          <w:tcPr>
            <w:tcW w:w="10296" w:type="dxa"/>
            <w:gridSpan w:val="4"/>
            <w:tcBorders>
              <w:left w:val="nil"/>
              <w:bottom w:val="nil"/>
              <w:right w:val="nil"/>
            </w:tcBorders>
          </w:tcPr>
          <w:p w:rsidR="00AC3862" w:rsidRPr="000554A0" w:rsidRDefault="00AC3862" w:rsidP="00AC3862">
            <w:pPr>
              <w:spacing w:after="0"/>
              <w:rPr>
                <w:sz w:val="20"/>
                <w:szCs w:val="20"/>
              </w:rPr>
            </w:pPr>
            <w:r>
              <w:rPr>
                <w:sz w:val="20"/>
                <w:szCs w:val="20"/>
              </w:rPr>
              <w:t>Key:</w:t>
            </w:r>
          </w:p>
        </w:tc>
      </w:tr>
      <w:tr w:rsidR="00AC3862" w:rsidRPr="000554A0" w:rsidTr="00AC3862">
        <w:tc>
          <w:tcPr>
            <w:tcW w:w="10296" w:type="dxa"/>
            <w:gridSpan w:val="4"/>
            <w:tcBorders>
              <w:top w:val="nil"/>
              <w:left w:val="nil"/>
              <w:bottom w:val="nil"/>
              <w:right w:val="nil"/>
            </w:tcBorders>
          </w:tcPr>
          <w:p w:rsidR="00AC3862" w:rsidRPr="000554A0" w:rsidRDefault="00AC3862" w:rsidP="00AC3862">
            <w:pPr>
              <w:spacing w:after="0"/>
              <w:ind w:left="360" w:hanging="360"/>
              <w:rPr>
                <w:sz w:val="20"/>
                <w:szCs w:val="20"/>
              </w:rPr>
            </w:pPr>
            <w:r w:rsidRPr="008A0EBD">
              <w:rPr>
                <w:sz w:val="20"/>
                <w:szCs w:val="20"/>
              </w:rPr>
              <w:t>(1)</w:t>
            </w:r>
            <w:r w:rsidRPr="008A0EBD">
              <w:rPr>
                <w:sz w:val="20"/>
                <w:szCs w:val="20"/>
              </w:rPr>
              <w:tab/>
              <w:t>This is the number that is used in this document to refer to this particular commenter.</w:t>
            </w:r>
          </w:p>
        </w:tc>
      </w:tr>
      <w:tr w:rsidR="00AC3862" w:rsidRPr="000554A0" w:rsidTr="00AC3862">
        <w:tc>
          <w:tcPr>
            <w:tcW w:w="10296" w:type="dxa"/>
            <w:gridSpan w:val="4"/>
            <w:tcBorders>
              <w:top w:val="nil"/>
              <w:left w:val="nil"/>
              <w:bottom w:val="nil"/>
              <w:right w:val="nil"/>
            </w:tcBorders>
          </w:tcPr>
          <w:p w:rsidR="00AC3862" w:rsidRPr="000554A0" w:rsidRDefault="00AC3862" w:rsidP="00AC3862">
            <w:pPr>
              <w:spacing w:after="0"/>
              <w:ind w:left="360" w:hanging="360"/>
              <w:rPr>
                <w:sz w:val="20"/>
                <w:szCs w:val="20"/>
              </w:rPr>
            </w:pPr>
            <w:r w:rsidRPr="008A0EBD">
              <w:rPr>
                <w:sz w:val="20"/>
                <w:szCs w:val="20"/>
              </w:rPr>
              <w:t>(2)</w:t>
            </w:r>
            <w:r w:rsidRPr="008A0EBD">
              <w:rPr>
                <w:sz w:val="20"/>
                <w:szCs w:val="20"/>
              </w:rPr>
              <w:tab/>
              <w:t xml:space="preserve">This is the number that is used to identify this comment in the docket at </w:t>
            </w:r>
            <w:hyperlink r:id="rId11" w:history="1">
              <w:r w:rsidRPr="00056984">
                <w:rPr>
                  <w:rStyle w:val="Hyperlink"/>
                  <w:sz w:val="20"/>
                  <w:szCs w:val="20"/>
                </w:rPr>
                <w:t>http://www.regulations.gov</w:t>
              </w:r>
            </w:hyperlink>
            <w:r>
              <w:rPr>
                <w:sz w:val="20"/>
                <w:szCs w:val="20"/>
              </w:rPr>
              <w:t xml:space="preserve">, </w:t>
            </w:r>
          </w:p>
        </w:tc>
      </w:tr>
      <w:tr w:rsidR="00AC3862" w:rsidRPr="000554A0" w:rsidTr="00AC3862">
        <w:tc>
          <w:tcPr>
            <w:tcW w:w="10296" w:type="dxa"/>
            <w:gridSpan w:val="4"/>
            <w:tcBorders>
              <w:top w:val="nil"/>
              <w:left w:val="nil"/>
              <w:bottom w:val="nil"/>
              <w:right w:val="nil"/>
            </w:tcBorders>
          </w:tcPr>
          <w:p w:rsidR="00AC3862" w:rsidRPr="000554A0" w:rsidRDefault="00AC3862" w:rsidP="00AC3862">
            <w:pPr>
              <w:spacing w:after="0"/>
              <w:ind w:left="360" w:hanging="360"/>
              <w:rPr>
                <w:sz w:val="20"/>
                <w:szCs w:val="20"/>
              </w:rPr>
            </w:pPr>
            <w:r w:rsidRPr="008A0EBD">
              <w:rPr>
                <w:sz w:val="20"/>
                <w:szCs w:val="20"/>
              </w:rPr>
              <w:t>(3)</w:t>
            </w:r>
            <w:r w:rsidRPr="008A0EBD">
              <w:rPr>
                <w:sz w:val="20"/>
                <w:szCs w:val="20"/>
              </w:rPr>
              <w:tab/>
              <w:t>This is the name of the individual or entity that submitted the comments, along with their affiliation, if provided.</w:t>
            </w:r>
          </w:p>
        </w:tc>
      </w:tr>
    </w:tbl>
    <w:p w:rsidR="00AC3862" w:rsidRPr="006A189D" w:rsidRDefault="00AC3862" w:rsidP="00AC3862">
      <w:pPr>
        <w:spacing w:before="240"/>
      </w:pPr>
      <w:r w:rsidRPr="000554A0">
        <w:t xml:space="preserve">A complete </w:t>
      </w:r>
      <w:r w:rsidRPr="000554A0">
        <w:rPr>
          <w:i/>
        </w:rPr>
        <w:t>Response to Public Comments Document</w:t>
      </w:r>
      <w:r w:rsidRPr="000554A0">
        <w:t xml:space="preserve"> </w:t>
      </w:r>
      <w:r>
        <w:t xml:space="preserve">is in Attachment I, and is also in the </w:t>
      </w:r>
      <w:r w:rsidRPr="000554A0">
        <w:t xml:space="preserve">docket at </w:t>
      </w:r>
      <w:hyperlink r:id="rId12" w:history="1">
        <w:r w:rsidRPr="002352AE">
          <w:rPr>
            <w:rStyle w:val="Hyperlink"/>
          </w:rPr>
          <w:t>http://www.regulations.gov</w:t>
        </w:r>
      </w:hyperlink>
      <w:r w:rsidRPr="000554A0">
        <w:t xml:space="preserve"> under Docket ID number </w:t>
      </w:r>
      <w:r>
        <w:t>EPA</w:t>
      </w:r>
      <w:r>
        <w:noBreakHyphen/>
      </w:r>
      <w:r w:rsidRPr="000554A0">
        <w:t>HQ</w:t>
      </w:r>
      <w:r>
        <w:noBreakHyphen/>
      </w:r>
      <w:r w:rsidRPr="000554A0">
        <w:t>OPPT</w:t>
      </w:r>
      <w:r>
        <w:noBreakHyphen/>
      </w:r>
      <w:r w:rsidRPr="000554A0">
        <w:t>2011</w:t>
      </w:r>
      <w:r>
        <w:noBreakHyphen/>
      </w:r>
      <w:r w:rsidRPr="000554A0">
        <w:t>0966.</w:t>
      </w:r>
    </w:p>
    <w:p w:rsidR="000F0DF3" w:rsidRDefault="001F435B" w:rsidP="002F2414">
      <w:pPr>
        <w:pStyle w:val="Heading2"/>
      </w:pPr>
      <w:r>
        <w:t>3(d)</w:t>
      </w:r>
      <w:r w:rsidR="00CB7A1A">
        <w:tab/>
      </w:r>
      <w:r>
        <w:t>Effects of Less Frequent Collection</w:t>
      </w:r>
    </w:p>
    <w:p w:rsidR="00733994" w:rsidRDefault="001F435B" w:rsidP="00F16932">
      <w:r>
        <w:t xml:space="preserve">Once per chemical substance is the statutory minimum, because FFDCA section 408(p)(3) specifically requires that </w:t>
      </w:r>
      <w:r w:rsidR="0062657D">
        <w:t>the EPA</w:t>
      </w:r>
      <w:r>
        <w:t xml:space="preserve"> </w:t>
      </w:r>
      <w:r w:rsidR="00CF1D4B">
        <w:t>"</w:t>
      </w:r>
      <w:r>
        <w:t>shall provide for the testing of all pesticide chemicals,</w:t>
      </w:r>
      <w:r w:rsidR="00CF1D4B">
        <w:t>"</w:t>
      </w:r>
      <w:r>
        <w:t xml:space="preserve"> unless the </w:t>
      </w:r>
      <w:r w:rsidR="00CF1D4B">
        <w:t>agency</w:t>
      </w:r>
      <w:r>
        <w:t xml:space="preserve"> can determine that the chemical qualifies for the statutory exemption—</w:t>
      </w:r>
      <w:r w:rsidRPr="00924FAB">
        <w:rPr>
          <w:i/>
        </w:rPr>
        <w:t>i.e.</w:t>
      </w:r>
      <w:r>
        <w:t>, that it is not anticipated to interact with the endocrine system.</w:t>
      </w:r>
    </w:p>
    <w:p w:rsidR="00733994" w:rsidRDefault="001F435B" w:rsidP="00F16932">
      <w:r>
        <w:t xml:space="preserve">In addition, a recipient of an </w:t>
      </w:r>
      <w:r w:rsidR="00D70092">
        <w:t>order</w:t>
      </w:r>
      <w:r>
        <w:t xml:space="preserve"> for Tier 1 screening may provide an initial response that could justify delaying Tier 1 screening or, although expected to be rare for the initial group of chemicals, allowing the company to go directly to Tier 2.</w:t>
      </w:r>
      <w:r w:rsidR="000C6CB0">
        <w:t xml:space="preserve"> </w:t>
      </w:r>
      <w:r>
        <w:t xml:space="preserve">The </w:t>
      </w:r>
      <w:r w:rsidR="00CF1D4B">
        <w:t>agency</w:t>
      </w:r>
      <w:r>
        <w:t xml:space="preserve"> will consider any such requests on a case-by-case or chemical-by-chemical basis and will provide a written response that will be made publicly available.</w:t>
      </w:r>
      <w:r w:rsidR="000C6CB0">
        <w:t xml:space="preserve"> </w:t>
      </w:r>
      <w:r>
        <w:t xml:space="preserve">In some cases, the </w:t>
      </w:r>
      <w:r w:rsidR="00CF1D4B">
        <w:t>agency'</w:t>
      </w:r>
      <w:r>
        <w:t xml:space="preserve">s response to an individual requester may be applicable to all </w:t>
      </w:r>
      <w:r w:rsidR="00D70092">
        <w:t>order</w:t>
      </w:r>
      <w:r>
        <w:t xml:space="preserve"> recipients for that chemical or could otherwise provide insight to recipients of </w:t>
      </w:r>
      <w:r w:rsidR="001E640A">
        <w:t>orders</w:t>
      </w:r>
      <w:r>
        <w:t xml:space="preserve"> for other chemicals.</w:t>
      </w:r>
    </w:p>
    <w:p w:rsidR="000F0DF3" w:rsidRDefault="001F435B" w:rsidP="00F16932">
      <w:r>
        <w:t xml:space="preserve">For purposes of this ICR, the </w:t>
      </w:r>
      <w:r w:rsidR="00CF1D4B">
        <w:t>agency</w:t>
      </w:r>
      <w:r>
        <w:t xml:space="preserve"> assumes that all recipients of an </w:t>
      </w:r>
      <w:r w:rsidR="00D70092">
        <w:t>order</w:t>
      </w:r>
      <w:r>
        <w:t xml:space="preserve"> for Tier 1 screening will provide an initial response and either generate the data or join a consortium to generate the data, while the submission of a progress report and the data will occur only once per chemical</w:t>
      </w:r>
      <w:r w:rsidR="001B4D0B">
        <w:t>.</w:t>
      </w:r>
      <w:r w:rsidR="001417D1">
        <w:t xml:space="preserve"> For the purposes of this ICR renewal, the agency assumes that the only additional new work will be that associated with the issuance of new "catch-up" orders.</w:t>
      </w:r>
    </w:p>
    <w:p w:rsidR="000F0DF3" w:rsidRDefault="001F435B" w:rsidP="002F2414">
      <w:pPr>
        <w:pStyle w:val="Heading2"/>
      </w:pPr>
      <w:r>
        <w:t>3(e)</w:t>
      </w:r>
      <w:r w:rsidR="00CB7A1A">
        <w:tab/>
      </w:r>
      <w:r>
        <w:t>General PRA Guidelines</w:t>
      </w:r>
    </w:p>
    <w:p w:rsidR="00733994" w:rsidRDefault="001F435B" w:rsidP="00F16932">
      <w:r>
        <w:t>The one general PRA guideline that is exceeded by this collection is the time period for retaining records.</w:t>
      </w:r>
      <w:r w:rsidR="000C6CB0">
        <w:t xml:space="preserve"> </w:t>
      </w:r>
      <w:r>
        <w:t xml:space="preserve">When data are generated to support a pesticide registration under FIFRA, </w:t>
      </w:r>
      <w:r w:rsidR="0062657D">
        <w:t>the EPA</w:t>
      </w:r>
      <w:r>
        <w:t xml:space="preserve"> requirements in 40</w:t>
      </w:r>
      <w:r w:rsidR="00F92A48">
        <w:t> CFR </w:t>
      </w:r>
      <w:r>
        <w:t xml:space="preserve">169.2(k) apply, which state that records containing research data relating to registered </w:t>
      </w:r>
      <w:r>
        <w:lastRenderedPageBreak/>
        <w:t>pesticides be retained for as long as the registration is valid and the producer remains in business.</w:t>
      </w:r>
      <w:r w:rsidR="000C6CB0">
        <w:t xml:space="preserve"> </w:t>
      </w:r>
      <w:r>
        <w:t xml:space="preserve">Registrations are valid until they are either voluntarily cancelled or withdrawn by the registrant or until </w:t>
      </w:r>
      <w:r w:rsidR="0062657D">
        <w:t>the EPA</w:t>
      </w:r>
      <w:r>
        <w:t xml:space="preserve"> has cause to suspend or cancel the registration.</w:t>
      </w:r>
      <w:r w:rsidR="000C6CB0">
        <w:t xml:space="preserve"> </w:t>
      </w:r>
      <w:r>
        <w:t xml:space="preserve">Since the average period of marketability of a pesticide ranges from 15 to 30 years, the PRA guidelines specifying that data other than health, medical or tax records not </w:t>
      </w:r>
      <w:proofErr w:type="gramStart"/>
      <w:r>
        <w:t>be</w:t>
      </w:r>
      <w:proofErr w:type="gramEnd"/>
      <w:r>
        <w:t xml:space="preserve"> required to be retained for more than three years will be exceeded in this ICR.</w:t>
      </w:r>
    </w:p>
    <w:p w:rsidR="001F435B" w:rsidRDefault="001F435B" w:rsidP="00F16932">
      <w:r>
        <w:t xml:space="preserve">In those regulatory cases where the </w:t>
      </w:r>
      <w:r w:rsidR="00CF1D4B">
        <w:t>agency'</w:t>
      </w:r>
      <w:r>
        <w:t>s action may be challenged, it is imperative that all records, raw data, and specimens be available.</w:t>
      </w:r>
      <w:r w:rsidR="000C6CB0">
        <w:t xml:space="preserve"> </w:t>
      </w:r>
      <w:r>
        <w:t xml:space="preserve">Recognizing this, the recordkeeping requirements in 40 CFR </w:t>
      </w:r>
      <w:proofErr w:type="gramStart"/>
      <w:r>
        <w:t>part</w:t>
      </w:r>
      <w:proofErr w:type="gramEnd"/>
      <w:r>
        <w:t xml:space="preserve"> 169 were authorized to exceed the PRA general guidelines when they were established.</w:t>
      </w:r>
      <w:r w:rsidR="000C6CB0">
        <w:t xml:space="preserve"> </w:t>
      </w:r>
      <w:r>
        <w:t>Those requirements are being adopted unchanged under the EDSP for these chemicals because the data submitted would be used to support pesticide registration related decisions under FIFRA and FFDCA.</w:t>
      </w:r>
    </w:p>
    <w:p w:rsidR="000F0DF3" w:rsidRDefault="001F435B" w:rsidP="00F16932">
      <w:r>
        <w:t>It is important to note that the same record retention requirements do not apply to non-pesticides.</w:t>
      </w:r>
    </w:p>
    <w:p w:rsidR="000F0DF3" w:rsidRDefault="001F435B" w:rsidP="002F2414">
      <w:pPr>
        <w:pStyle w:val="Heading2"/>
      </w:pPr>
      <w:r>
        <w:t>3(f)</w:t>
      </w:r>
      <w:r w:rsidR="00CB7A1A">
        <w:tab/>
      </w:r>
      <w:r>
        <w:t>Confidentiality</w:t>
      </w:r>
    </w:p>
    <w:p w:rsidR="001F435B" w:rsidRDefault="001F435B" w:rsidP="00F16932">
      <w:r>
        <w:t>In general, most health and safety data submitted by registrants, manufacturers, and importers under FFDCA are considered to contain no Confidential Business Information (CBI).</w:t>
      </w:r>
      <w:r w:rsidR="000C6CB0">
        <w:t xml:space="preserve"> </w:t>
      </w:r>
      <w:r>
        <w:t xml:space="preserve">Although FFDCA </w:t>
      </w:r>
      <w:r w:rsidR="004B1979">
        <w:t xml:space="preserve">section </w:t>
      </w:r>
      <w:r>
        <w:t xml:space="preserve">408(p)(5)(B) requires that </w:t>
      </w:r>
      <w:r w:rsidR="0062657D">
        <w:t>the EPA</w:t>
      </w:r>
      <w:r>
        <w:t xml:space="preserve"> develop, to the extent practicable and as necessary, procedures for the handling of confidential business information, it does not provide the authority for the </w:t>
      </w:r>
      <w:r w:rsidR="00CF1D4B">
        <w:t>agency</w:t>
      </w:r>
      <w:r>
        <w:t xml:space="preserve"> to either create new rights or to modify existing rights to confidentiality.</w:t>
      </w:r>
      <w:r w:rsidR="000C6CB0">
        <w:t xml:space="preserve"> </w:t>
      </w:r>
      <w:r>
        <w:t xml:space="preserve">Rather, </w:t>
      </w:r>
      <w:r w:rsidR="0062657D">
        <w:t>the EPA</w:t>
      </w:r>
      <w:r>
        <w:t xml:space="preserve"> believes that this provision directs the </w:t>
      </w:r>
      <w:r w:rsidR="00CF1D4B">
        <w:t>agency</w:t>
      </w:r>
      <w:r>
        <w:t xml:space="preserve"> to create procedures that operate within the existing confines of FIFRA </w:t>
      </w:r>
      <w:r w:rsidR="004B1979">
        <w:t xml:space="preserve">section </w:t>
      </w:r>
      <w:r>
        <w:t>10, the Freedom of Information Act (FOIA), and the Trade Secrets Act.</w:t>
      </w:r>
    </w:p>
    <w:p w:rsidR="00733994" w:rsidRDefault="001F435B" w:rsidP="00F16932">
      <w:r>
        <w:t xml:space="preserve">As discussed in more detail in the </w:t>
      </w:r>
      <w:r w:rsidR="00873A4A">
        <w:t>policies and procedures document</w:t>
      </w:r>
      <w:r>
        <w:t xml:space="preserve"> (Attachment B), because the data would support a tolerance or exemption from the requirement of a tolerance, FFDCA </w:t>
      </w:r>
      <w:r w:rsidR="004B1979">
        <w:t xml:space="preserve">section </w:t>
      </w:r>
      <w:r>
        <w:t>408(</w:t>
      </w:r>
      <w:proofErr w:type="spellStart"/>
      <w:r>
        <w:t>i</w:t>
      </w:r>
      <w:proofErr w:type="spellEnd"/>
      <w:r>
        <w:t xml:space="preserve">) provides that much of the data submitted in response to an </w:t>
      </w:r>
      <w:r w:rsidR="00D70092">
        <w:t>order</w:t>
      </w:r>
      <w:r>
        <w:t xml:space="preserve"> issued under FFDCA </w:t>
      </w:r>
      <w:r w:rsidR="004B1979">
        <w:t xml:space="preserve">section </w:t>
      </w:r>
      <w:r>
        <w:t xml:space="preserve">408(p) would be subject to the protections in FIFRA </w:t>
      </w:r>
      <w:r w:rsidR="004B1979">
        <w:t xml:space="preserve">section </w:t>
      </w:r>
      <w:r>
        <w:t>10.</w:t>
      </w:r>
      <w:r w:rsidR="000C6CB0">
        <w:t xml:space="preserve"> </w:t>
      </w:r>
      <w:r>
        <w:t xml:space="preserve">In addition, CBI submitted by pesticide registrants in response to an </w:t>
      </w:r>
      <w:r w:rsidR="00D70092">
        <w:t>order</w:t>
      </w:r>
      <w:r>
        <w:t xml:space="preserve"> issued under FFDCA </w:t>
      </w:r>
      <w:r w:rsidR="004B1979">
        <w:t xml:space="preserve">section </w:t>
      </w:r>
      <w:r>
        <w:t>408(p) would be considered as part of the registration process, and would therefore be considered to be data submitted in support of a registration.</w:t>
      </w:r>
      <w:r w:rsidR="000C6CB0">
        <w:t xml:space="preserve"> </w:t>
      </w:r>
      <w:r>
        <w:t xml:space="preserve">However covered, data subject to FIFRA </w:t>
      </w:r>
      <w:r w:rsidR="004B1979">
        <w:t xml:space="preserve">section </w:t>
      </w:r>
      <w:r>
        <w:t>10 would be provided certain protections that go beyond those authorized by FOIA.</w:t>
      </w:r>
      <w:r w:rsidR="000C6CB0">
        <w:t xml:space="preserve"> </w:t>
      </w:r>
      <w:r>
        <w:t xml:space="preserve">For example, FIFRA </w:t>
      </w:r>
      <w:r w:rsidR="004B1979">
        <w:t xml:space="preserve">section </w:t>
      </w:r>
      <w:r>
        <w:t xml:space="preserve">10(g) generally prohibits </w:t>
      </w:r>
      <w:r w:rsidR="0062657D">
        <w:t>the EPA</w:t>
      </w:r>
      <w:r>
        <w:t xml:space="preserve"> from releasing information submitted by a registrant under FIFRA to a foreign or multinational pesticide producer, and requires the </w:t>
      </w:r>
      <w:r w:rsidR="00CF1D4B">
        <w:t>agency</w:t>
      </w:r>
      <w:r>
        <w:t xml:space="preserve"> to obtain an affirmation from all persons seeking access to such information that they will not disclose the information to a foreign or multinational producer.</w:t>
      </w:r>
      <w:r w:rsidR="000C6CB0">
        <w:t xml:space="preserve"> </w:t>
      </w:r>
      <w:r>
        <w:t xml:space="preserve">FFDCA </w:t>
      </w:r>
      <w:r w:rsidR="004B1979">
        <w:t xml:space="preserve">section </w:t>
      </w:r>
      <w:r>
        <w:t>408(</w:t>
      </w:r>
      <w:proofErr w:type="spellStart"/>
      <w:r>
        <w:t>i</w:t>
      </w:r>
      <w:proofErr w:type="spellEnd"/>
      <w:r>
        <w:t xml:space="preserve">) extends the protection available under FIFRA </w:t>
      </w:r>
      <w:r w:rsidR="004B1979">
        <w:t xml:space="preserve">section </w:t>
      </w:r>
      <w:r>
        <w:t>10 for data submitted in support of a tolerance or tolerance exemption.</w:t>
      </w:r>
    </w:p>
    <w:p w:rsidR="001F435B" w:rsidRDefault="001F435B" w:rsidP="00F16932">
      <w:r>
        <w:t xml:space="preserve">All other confidential business information submitted in response to an </w:t>
      </w:r>
      <w:r w:rsidR="00D70092">
        <w:t>order</w:t>
      </w:r>
      <w:r>
        <w:t xml:space="preserve"> issued under FFDCA </w:t>
      </w:r>
      <w:r w:rsidR="004B1979">
        <w:t xml:space="preserve">section </w:t>
      </w:r>
      <w:r>
        <w:t>408(p) (</w:t>
      </w:r>
      <w:r w:rsidRPr="00924FAB">
        <w:rPr>
          <w:i/>
        </w:rPr>
        <w:t>i.e.</w:t>
      </w:r>
      <w:r>
        <w:t>, data not in support of a registration or tolerance/tolerance exemption) is only protected by the provisions of FOIA and the Trade Secret Act.</w:t>
      </w:r>
      <w:r w:rsidR="000C6CB0">
        <w:t xml:space="preserve"> </w:t>
      </w:r>
      <w:r>
        <w:t xml:space="preserve">FOIA requires agencies to make information available to the public upon request, except for information that is </w:t>
      </w:r>
      <w:r w:rsidR="00CF1D4B">
        <w:t>"</w:t>
      </w:r>
      <w:r>
        <w:t>specifically made confidential by other statutes</w:t>
      </w:r>
      <w:r w:rsidR="00CF1D4B">
        <w:t>"</w:t>
      </w:r>
      <w:r>
        <w:t xml:space="preserve"> or data that are </w:t>
      </w:r>
      <w:r w:rsidR="00CF1D4B">
        <w:t>"</w:t>
      </w:r>
      <w:r>
        <w:t>trade secrets and commercial or financial information obtained from a person and is privileged or confidential.</w:t>
      </w:r>
      <w:r w:rsidR="00CF1D4B">
        <w:t>"</w:t>
      </w:r>
      <w:r>
        <w:t xml:space="preserve"> </w:t>
      </w:r>
      <w:proofErr w:type="gramStart"/>
      <w:r>
        <w:t>[5 U.S.C. 552].</w:t>
      </w:r>
      <w:proofErr w:type="gramEnd"/>
      <w:r w:rsidR="000C6CB0">
        <w:t xml:space="preserve"> </w:t>
      </w:r>
      <w:r>
        <w:t>Note that substantive criteria must be met to claim confidentiality of business information, as specified in 40</w:t>
      </w:r>
      <w:r w:rsidR="00F92A48">
        <w:t> CFR </w:t>
      </w:r>
      <w:r>
        <w:t>2.208.</w:t>
      </w:r>
    </w:p>
    <w:p w:rsidR="000F0DF3" w:rsidRDefault="001F435B" w:rsidP="00F16932">
      <w:r>
        <w:lastRenderedPageBreak/>
        <w:t xml:space="preserve">As indicated in the </w:t>
      </w:r>
      <w:r w:rsidR="00873A4A">
        <w:t xml:space="preserve">policies and procedures </w:t>
      </w:r>
      <w:r>
        <w:t xml:space="preserve">document (Attachment B), </w:t>
      </w:r>
      <w:r w:rsidR="0062657D">
        <w:t>the EPA</w:t>
      </w:r>
      <w:r>
        <w:t xml:space="preserve"> would consider that data submitted jointly with a registrant, or as part of a consortium in which pesticide registrants participate, to be data submitted in support of a tolerance/tolerance exemption or registration, and therefore entitled to protection under FIFRA </w:t>
      </w:r>
      <w:r w:rsidR="004B1979">
        <w:t xml:space="preserve">section </w:t>
      </w:r>
      <w:r>
        <w:t>10. However, if a non-registrant chooses not to partner with a registrant, such data would only be subject to the protections available under FOIA and the Trade Secrets Act.</w:t>
      </w:r>
    </w:p>
    <w:p w:rsidR="000F0DF3" w:rsidRDefault="001F435B" w:rsidP="002F2414">
      <w:pPr>
        <w:pStyle w:val="Heading2"/>
      </w:pPr>
      <w:r>
        <w:t>3(g)</w:t>
      </w:r>
      <w:r w:rsidR="00CB7A1A">
        <w:tab/>
      </w:r>
      <w:r>
        <w:t>Sensitive Questions</w:t>
      </w:r>
    </w:p>
    <w:p w:rsidR="000F0DF3" w:rsidRDefault="001F435B" w:rsidP="00F16932">
      <w:r>
        <w:t>No information of a sensitive or private nature is requested in conjunction with this information collection activity. Further, this information collection activity complies with the provisions of the Privacy Act of 1974 and OMB Circular A-108.</w:t>
      </w:r>
    </w:p>
    <w:p w:rsidR="000F0DF3" w:rsidRDefault="00CB7A1A" w:rsidP="00CB7A1A">
      <w:pPr>
        <w:pStyle w:val="Heading1"/>
      </w:pPr>
      <w:r>
        <w:t>4.</w:t>
      </w:r>
      <w:r>
        <w:tab/>
        <w:t>The Respondents and the Information Requested</w:t>
      </w:r>
    </w:p>
    <w:p w:rsidR="000F0DF3" w:rsidRDefault="001F435B" w:rsidP="002F2414">
      <w:pPr>
        <w:pStyle w:val="Heading2"/>
      </w:pPr>
      <w:r>
        <w:t>4(a)</w:t>
      </w:r>
      <w:r w:rsidR="00CB7A1A">
        <w:tab/>
      </w:r>
      <w:r>
        <w:t>Respondents</w:t>
      </w:r>
    </w:p>
    <w:p w:rsidR="00733994" w:rsidRDefault="001F435B" w:rsidP="00F16932">
      <w:r>
        <w:t xml:space="preserve">Respondents to this ICR consist of those individuals and companies that receive an </w:t>
      </w:r>
      <w:r w:rsidR="00D70092">
        <w:t>order</w:t>
      </w:r>
      <w:r>
        <w:t xml:space="preserve"> issued under FFDCA </w:t>
      </w:r>
      <w:r w:rsidR="004B1979">
        <w:t xml:space="preserve">section </w:t>
      </w:r>
      <w:r>
        <w:t xml:space="preserve">408(p) by the </w:t>
      </w:r>
      <w:r w:rsidR="00CF1D4B">
        <w:t>agency</w:t>
      </w:r>
      <w:r>
        <w:t xml:space="preserve"> to collect Tier 1 screening data under the EDSP.</w:t>
      </w:r>
      <w:r w:rsidR="000C6CB0">
        <w:t xml:space="preserve"> </w:t>
      </w:r>
      <w:r>
        <w:t xml:space="preserve">Under FFDCA </w:t>
      </w:r>
      <w:r w:rsidR="004B1979">
        <w:t xml:space="preserve">section </w:t>
      </w:r>
      <w:r>
        <w:t xml:space="preserve">408(p)(5)(A), </w:t>
      </w:r>
      <w:r w:rsidR="0062657D">
        <w:t>the EPA</w:t>
      </w:r>
      <w:r>
        <w:t xml:space="preserve"> </w:t>
      </w:r>
      <w:r w:rsidR="00CF1D4B">
        <w:t>"</w:t>
      </w:r>
      <w:r>
        <w:t>shall issue</w:t>
      </w:r>
      <w:r w:rsidR="00CF1D4B">
        <w:t>"</w:t>
      </w:r>
      <w:r>
        <w:t xml:space="preserve"> orders </w:t>
      </w:r>
      <w:r w:rsidR="00CF1D4B">
        <w:t>"</w:t>
      </w:r>
      <w:r>
        <w:t xml:space="preserve">to </w:t>
      </w:r>
      <w:r w:rsidRPr="00D53E0A">
        <w:rPr>
          <w:b/>
        </w:rPr>
        <w:t>a registrant</w:t>
      </w:r>
      <w:r>
        <w:t xml:space="preserve"> of a substance for which testing is required</w:t>
      </w:r>
      <w:r w:rsidR="001B4D0B">
        <w:t>…</w:t>
      </w:r>
      <w:r w:rsidRPr="00D53E0A">
        <w:rPr>
          <w:b/>
        </w:rPr>
        <w:t>or to a person who manufactures or imports</w:t>
      </w:r>
      <w:r>
        <w:t xml:space="preserve"> a substance for which testing is required</w:t>
      </w:r>
      <w:r w:rsidR="00CF1D4B">
        <w:t>"</w:t>
      </w:r>
      <w:r>
        <w:t xml:space="preserve"> [emphasis added].</w:t>
      </w:r>
      <w:r w:rsidR="000C6CB0">
        <w:t xml:space="preserve"> </w:t>
      </w:r>
      <w:r>
        <w:t>As such, the potential respondent universe as described in the existing ICR remains the same.</w:t>
      </w:r>
    </w:p>
    <w:p w:rsidR="000F0DF3" w:rsidRPr="00DF73FD" w:rsidRDefault="001F435B" w:rsidP="00DF73FD">
      <w:pPr>
        <w:pStyle w:val="Heading4"/>
        <w:rPr>
          <w:i w:val="0"/>
          <w:u w:val="none"/>
        </w:rPr>
      </w:pPr>
      <w:r>
        <w:t>Identification of Order Recipients</w:t>
      </w:r>
      <w:r w:rsidR="000C6CB0" w:rsidRPr="00FA7DE2">
        <w:rPr>
          <w:i w:val="0"/>
          <w:u w:val="none"/>
        </w:rPr>
        <w:t xml:space="preserve">:  </w:t>
      </w:r>
      <w:r w:rsidR="0062657D">
        <w:rPr>
          <w:i w:val="0"/>
          <w:u w:val="none"/>
        </w:rPr>
        <w:t>The EPA</w:t>
      </w:r>
      <w:r w:rsidRPr="00DF73FD">
        <w:rPr>
          <w:i w:val="0"/>
          <w:u w:val="none"/>
        </w:rPr>
        <w:t xml:space="preserve"> generally identified the following categories of potential recipients of the Tier 1 </w:t>
      </w:r>
      <w:r w:rsidR="001E640A">
        <w:rPr>
          <w:i w:val="0"/>
          <w:u w:val="none"/>
        </w:rPr>
        <w:t>orders</w:t>
      </w:r>
      <w:r w:rsidRPr="00DF73FD">
        <w:rPr>
          <w:i w:val="0"/>
          <w:u w:val="none"/>
        </w:rPr>
        <w:t>:</w:t>
      </w:r>
    </w:p>
    <w:p w:rsidR="000F0DF3" w:rsidRDefault="001F435B" w:rsidP="00D53E0A">
      <w:pPr>
        <w:pStyle w:val="ListParagraph"/>
        <w:numPr>
          <w:ilvl w:val="0"/>
          <w:numId w:val="2"/>
        </w:numPr>
        <w:contextualSpacing w:val="0"/>
      </w:pPr>
      <w:r w:rsidRPr="00D53E0A">
        <w:rPr>
          <w:i/>
        </w:rPr>
        <w:t>Pesticide Registrants</w:t>
      </w:r>
      <w:r>
        <w:t xml:space="preserve"> - Entities who manufacture or import a pesticide active ingredient or inert ingredient and hold an active EPA registration for that substance.</w:t>
      </w:r>
      <w:r w:rsidR="000C6CB0">
        <w:t xml:space="preserve"> </w:t>
      </w:r>
      <w:r>
        <w:t xml:space="preserve">In the pesticide universe, there are </w:t>
      </w:r>
      <w:r w:rsidRPr="00D53E0A">
        <w:rPr>
          <w:i/>
        </w:rPr>
        <w:t xml:space="preserve">Technical Registrants (basic manufacturers) </w:t>
      </w:r>
      <w:r w:rsidRPr="00D53E0A">
        <w:t>and</w:t>
      </w:r>
      <w:r w:rsidRPr="00D53E0A">
        <w:rPr>
          <w:i/>
        </w:rPr>
        <w:t xml:space="preserve"> End-Use Registrants (customers)</w:t>
      </w:r>
      <w:r>
        <w:t>.</w:t>
      </w:r>
      <w:r w:rsidR="000C6CB0">
        <w:t xml:space="preserve"> </w:t>
      </w:r>
      <w:r>
        <w:t xml:space="preserve">A </w:t>
      </w:r>
      <w:r w:rsidRPr="00D53E0A">
        <w:rPr>
          <w:i/>
        </w:rPr>
        <w:t>Technical Registrant</w:t>
      </w:r>
      <w:r>
        <w:t xml:space="preserve"> manufactures or imports the active ingredient or inert ingredient that is, in most cases, used in the formulation of other pesticide products.</w:t>
      </w:r>
      <w:r w:rsidR="000C6CB0">
        <w:t xml:space="preserve"> </w:t>
      </w:r>
      <w:r>
        <w:t xml:space="preserve">An </w:t>
      </w:r>
      <w:r w:rsidRPr="00D53E0A">
        <w:rPr>
          <w:i/>
        </w:rPr>
        <w:t>End-Use Registrant</w:t>
      </w:r>
      <w:r>
        <w:t xml:space="preserve"> manufactures or imports the end-use product that contains an active ingredient or an inert ingredient that they obtain from a technical registrant.</w:t>
      </w:r>
      <w:r w:rsidR="000C6CB0">
        <w:t xml:space="preserve"> </w:t>
      </w:r>
      <w:r>
        <w:t xml:space="preserve">Although the </w:t>
      </w:r>
      <w:r w:rsidRPr="00D53E0A">
        <w:rPr>
          <w:i/>
        </w:rPr>
        <w:t>Technical Registrant</w:t>
      </w:r>
      <w:r>
        <w:t xml:space="preserve"> can also be an </w:t>
      </w:r>
      <w:r w:rsidRPr="00D53E0A">
        <w:rPr>
          <w:i/>
        </w:rPr>
        <w:t>End-Use Registrant</w:t>
      </w:r>
      <w:r>
        <w:t xml:space="preserve">, the </w:t>
      </w:r>
      <w:r w:rsidR="00CF1D4B">
        <w:t>agency'</w:t>
      </w:r>
      <w:r>
        <w:t xml:space="preserve">s focus for purposes of the Tier 1 </w:t>
      </w:r>
      <w:r w:rsidR="001E640A">
        <w:t>orders</w:t>
      </w:r>
      <w:r>
        <w:t xml:space="preserve"> is on the </w:t>
      </w:r>
      <w:r w:rsidRPr="00D53E0A">
        <w:rPr>
          <w:i/>
        </w:rPr>
        <w:t>Technical Registrant</w:t>
      </w:r>
      <w:r>
        <w:t>.</w:t>
      </w:r>
    </w:p>
    <w:p w:rsidR="00733994" w:rsidRDefault="001F435B" w:rsidP="00D53E0A">
      <w:pPr>
        <w:pStyle w:val="ListParagraph"/>
        <w:numPr>
          <w:ilvl w:val="0"/>
          <w:numId w:val="2"/>
        </w:numPr>
        <w:contextualSpacing w:val="0"/>
      </w:pPr>
      <w:r w:rsidRPr="00D53E0A">
        <w:rPr>
          <w:i/>
        </w:rPr>
        <w:t xml:space="preserve">Manufacturers/Importer </w:t>
      </w:r>
      <w:r>
        <w:t xml:space="preserve">– Persons who manufacture or import a chemical substance but do </w:t>
      </w:r>
      <w:r w:rsidRPr="00D53E0A">
        <w:rPr>
          <w:u w:val="single"/>
        </w:rPr>
        <w:t>NOT</w:t>
      </w:r>
      <w:r>
        <w:t xml:space="preserve"> hold an EPA registration for that substance.</w:t>
      </w:r>
      <w:r w:rsidR="000C6CB0">
        <w:t xml:space="preserve"> </w:t>
      </w:r>
      <w:r>
        <w:t>For the most part, the chemical substances may be used as an inert ingredient in a pesticide, but also has other non-pesticidal uses.</w:t>
      </w:r>
    </w:p>
    <w:p w:rsidR="000F0DF3" w:rsidRDefault="001F435B" w:rsidP="00F16932">
      <w:r>
        <w:t xml:space="preserve">The </w:t>
      </w:r>
      <w:r w:rsidR="00CF1D4B">
        <w:t>agency</w:t>
      </w:r>
      <w:r>
        <w:t xml:space="preserve"> used the following North American Industrial Classification System (NAICS) codes to obtain publicly available information about potential respondents that informed the estimates presented in this ICR:</w:t>
      </w:r>
    </w:p>
    <w:p w:rsidR="000F0DF3" w:rsidRDefault="001F435B" w:rsidP="00D53E0A">
      <w:pPr>
        <w:pStyle w:val="ListParagraph"/>
        <w:numPr>
          <w:ilvl w:val="0"/>
          <w:numId w:val="3"/>
        </w:numPr>
        <w:contextualSpacing w:val="0"/>
      </w:pPr>
      <w:r>
        <w:t xml:space="preserve">Chemical Manufacturers and Processors (NAICS code 325), </w:t>
      </w:r>
      <w:r w:rsidRPr="00924FAB">
        <w:rPr>
          <w:i/>
        </w:rPr>
        <w:t>e.g.</w:t>
      </w:r>
      <w:r>
        <w:t>, persons who manufacture, import or process chemical substances.</w:t>
      </w:r>
    </w:p>
    <w:p w:rsidR="000F0DF3" w:rsidRDefault="001F435B" w:rsidP="00D53E0A">
      <w:pPr>
        <w:pStyle w:val="ListParagraph"/>
        <w:numPr>
          <w:ilvl w:val="0"/>
          <w:numId w:val="3"/>
        </w:numPr>
        <w:contextualSpacing w:val="0"/>
      </w:pPr>
      <w:r>
        <w:lastRenderedPageBreak/>
        <w:t xml:space="preserve">Pesticide, Fertilizer, and Other Agricultural Chemical Manufacturing (NAICS code 3253), </w:t>
      </w:r>
      <w:r w:rsidRPr="00924FAB">
        <w:rPr>
          <w:i/>
        </w:rPr>
        <w:t>e.g.</w:t>
      </w:r>
      <w:r>
        <w:t>, persons who manufacture, import or process pesticide, fertilizer and agricultural chemicals.</w:t>
      </w:r>
      <w:r w:rsidR="000C6CB0">
        <w:t xml:space="preserve"> </w:t>
      </w:r>
      <w:r>
        <w:t xml:space="preserve">This includes Producers </w:t>
      </w:r>
      <w:r w:rsidR="00DF73FD">
        <w:t>and</w:t>
      </w:r>
      <w:r>
        <w:t xml:space="preserve"> Formulators of Pesticide Products (NAICS code 32532); Producers of Antifouling Paints (NAICS code 32551); Producers of Antimicrobial Pesticides (NAICS code 32561); and Producers of Nitrogen Stabilizers (NAICS code 32531).</w:t>
      </w:r>
    </w:p>
    <w:p w:rsidR="00733994" w:rsidRDefault="001F435B" w:rsidP="00D53E0A">
      <w:pPr>
        <w:pStyle w:val="ListParagraph"/>
        <w:numPr>
          <w:ilvl w:val="0"/>
          <w:numId w:val="3"/>
        </w:numPr>
        <w:contextualSpacing w:val="0"/>
      </w:pPr>
      <w:r>
        <w:t xml:space="preserve">Scientific research and development services (NAICS code 5417), </w:t>
      </w:r>
      <w:r w:rsidRPr="00924FAB">
        <w:rPr>
          <w:i/>
        </w:rPr>
        <w:t>e.g.</w:t>
      </w:r>
      <w:r>
        <w:t>, persons who conduct testing of chemical substances for endocrine effects.</w:t>
      </w:r>
      <w:r w:rsidR="000C6CB0">
        <w:t xml:space="preserve"> </w:t>
      </w:r>
      <w:r>
        <w:t xml:space="preserve">These entities will not receive </w:t>
      </w:r>
      <w:r w:rsidR="001E640A">
        <w:t>orders</w:t>
      </w:r>
      <w:r>
        <w:t>, but their potential involvement in responding to paperwork activities did inform the estimates presented in this ICR.</w:t>
      </w:r>
    </w:p>
    <w:p w:rsidR="000F0DF3" w:rsidRDefault="001F435B" w:rsidP="00F16932">
      <w:r>
        <w:t xml:space="preserve">As stated earlier, for </w:t>
      </w:r>
      <w:proofErr w:type="gramStart"/>
      <w:r>
        <w:t>a duration</w:t>
      </w:r>
      <w:proofErr w:type="gramEnd"/>
      <w:r>
        <w:t xml:space="preserve"> of 15 years after the issuance of the initial orders in 2010, </w:t>
      </w:r>
      <w:r w:rsidR="0062657D">
        <w:t>the EPA</w:t>
      </w:r>
      <w:r>
        <w:t xml:space="preserve"> intends to issue a </w:t>
      </w:r>
      <w:r w:rsidR="00CF1D4B">
        <w:t>"</w:t>
      </w:r>
      <w:r>
        <w:t>catch-up</w:t>
      </w:r>
      <w:r w:rsidR="00CF1D4B">
        <w:t>"</w:t>
      </w:r>
      <w:r>
        <w:t xml:space="preserve"> order to any company who subsequently enters the marketplace to manufacture or import the substance that was the subject of an EDSP </w:t>
      </w:r>
      <w:r w:rsidR="00D70092">
        <w:t>order</w:t>
      </w:r>
      <w:r>
        <w:t>.</w:t>
      </w:r>
      <w:r w:rsidR="000C6CB0">
        <w:t xml:space="preserve"> </w:t>
      </w:r>
      <w:r>
        <w:t xml:space="preserve">Specifically, in addition to the </w:t>
      </w:r>
      <w:r w:rsidR="00D70092">
        <w:t>order</w:t>
      </w:r>
      <w:r>
        <w:t xml:space="preserve"> recipients identified by the </w:t>
      </w:r>
      <w:r w:rsidR="00CF1D4B">
        <w:t>agency</w:t>
      </w:r>
      <w:r>
        <w:t xml:space="preserve">, </w:t>
      </w:r>
      <w:r w:rsidR="0062657D">
        <w:t>the EPA</w:t>
      </w:r>
      <w:r>
        <w:t xml:space="preserve"> may issue an </w:t>
      </w:r>
      <w:r w:rsidR="00D70092">
        <w:t>order</w:t>
      </w:r>
      <w:r>
        <w:t xml:space="preserve"> under FFDCA </w:t>
      </w:r>
      <w:r w:rsidR="004B1979">
        <w:t xml:space="preserve">section </w:t>
      </w:r>
      <w:r>
        <w:t>408(p</w:t>
      </w:r>
      <w:proofErr w:type="gramStart"/>
      <w:r>
        <w:t>)(</w:t>
      </w:r>
      <w:proofErr w:type="gramEnd"/>
      <w:r>
        <w:t xml:space="preserve">5) to a manufacturer or importer who enters the marketplace after the issuance of the initial </w:t>
      </w:r>
      <w:r w:rsidR="00831D26">
        <w:t>orders</w:t>
      </w:r>
      <w:r>
        <w:t xml:space="preserve">, </w:t>
      </w:r>
      <w:r w:rsidRPr="00924FAB">
        <w:rPr>
          <w:i/>
        </w:rPr>
        <w:t>i.e.</w:t>
      </w:r>
      <w:r>
        <w:t xml:space="preserve">, when they begin to sell an inert ingredient following the submission of required EDSP data on the ingredient by manufacturers or importers who were in the marketplace when the initial </w:t>
      </w:r>
      <w:r w:rsidR="00831D26">
        <w:t xml:space="preserve">orders </w:t>
      </w:r>
      <w:r>
        <w:t>were issued.</w:t>
      </w:r>
      <w:r w:rsidR="000C6CB0">
        <w:t xml:space="preserve"> </w:t>
      </w:r>
      <w:r>
        <w:t xml:space="preserve">The </w:t>
      </w:r>
      <w:r w:rsidR="00CF1D4B">
        <w:t>agency</w:t>
      </w:r>
      <w:r>
        <w:t xml:space="preserve"> refers to these as </w:t>
      </w:r>
      <w:r w:rsidR="00CF1D4B">
        <w:t>"</w:t>
      </w:r>
      <w:r>
        <w:t>catch-up</w:t>
      </w:r>
      <w:r w:rsidR="00CF1D4B">
        <w:t>"</w:t>
      </w:r>
      <w:r>
        <w:t xml:space="preserve"> </w:t>
      </w:r>
      <w:r w:rsidR="00831D26">
        <w:t>o</w:t>
      </w:r>
      <w:r>
        <w:t>rders.</w:t>
      </w:r>
      <w:r w:rsidR="000C6CB0">
        <w:t xml:space="preserve"> </w:t>
      </w:r>
      <w:r>
        <w:t xml:space="preserve">As with the initial </w:t>
      </w:r>
      <w:r w:rsidR="00D70092">
        <w:t>order</w:t>
      </w:r>
      <w:r>
        <w:t xml:space="preserve"> issued under FFDCA </w:t>
      </w:r>
      <w:r w:rsidR="004B1979">
        <w:t xml:space="preserve">section </w:t>
      </w:r>
      <w:r>
        <w:t xml:space="preserve">408(p), recipients of a </w:t>
      </w:r>
      <w:r w:rsidR="00CF1D4B">
        <w:t>"</w:t>
      </w:r>
      <w:r>
        <w:t>catch-up</w:t>
      </w:r>
      <w:r w:rsidR="00CF1D4B">
        <w:t>"</w:t>
      </w:r>
      <w:r>
        <w:t xml:space="preserve"> </w:t>
      </w:r>
      <w:r w:rsidR="00D70092">
        <w:t>order</w:t>
      </w:r>
      <w:r>
        <w:t xml:space="preserve"> could fulfill the testing requirement either by submitting the results of a new study or by citing the data submitted by another person. In furtherance of the goal of </w:t>
      </w:r>
      <w:r w:rsidR="00CF1D4B">
        <w:t>"</w:t>
      </w:r>
      <w:r>
        <w:t>fair and equitable sharing of test costs,</w:t>
      </w:r>
      <w:r w:rsidR="00CF1D4B">
        <w:t>"</w:t>
      </w:r>
      <w:r>
        <w:t xml:space="preserve"> the </w:t>
      </w:r>
      <w:r w:rsidR="00CF1D4B">
        <w:t>agency</w:t>
      </w:r>
      <w:r>
        <w:t xml:space="preserve"> would accept citation of existing data only if the recipient either had the original data submitter</w:t>
      </w:r>
      <w:r w:rsidR="00CF1D4B">
        <w:t>'</w:t>
      </w:r>
      <w:r>
        <w:t>s permission</w:t>
      </w:r>
      <w:r w:rsidR="00831D26">
        <w:t>,</w:t>
      </w:r>
      <w:r>
        <w:t xml:space="preserve"> or the recipient had made an appropriate offer to pay compensation to the original </w:t>
      </w:r>
      <w:r w:rsidRPr="00FA7DE2">
        <w:t>data submitter that also determined how disputes would be resolved.</w:t>
      </w:r>
    </w:p>
    <w:p w:rsidR="000F0DF3" w:rsidRPr="00DF73FD" w:rsidRDefault="001F435B" w:rsidP="00DF73FD">
      <w:pPr>
        <w:pStyle w:val="Heading4"/>
        <w:rPr>
          <w:i w:val="0"/>
          <w:u w:val="none"/>
        </w:rPr>
      </w:pPr>
      <w:r>
        <w:t>Grouping Respondents by Information Collection (IC) Activities</w:t>
      </w:r>
      <w:r w:rsidR="000C6CB0" w:rsidRPr="00FA7DE2">
        <w:rPr>
          <w:i w:val="0"/>
          <w:u w:val="none"/>
        </w:rPr>
        <w:t xml:space="preserve">:  </w:t>
      </w:r>
      <w:r w:rsidRPr="00DF73FD">
        <w:rPr>
          <w:i w:val="0"/>
          <w:u w:val="none"/>
        </w:rPr>
        <w:t xml:space="preserve">The </w:t>
      </w:r>
      <w:r w:rsidR="00CF1D4B">
        <w:rPr>
          <w:i w:val="0"/>
          <w:u w:val="none"/>
        </w:rPr>
        <w:t>agency</w:t>
      </w:r>
      <w:r w:rsidRPr="00DF73FD">
        <w:rPr>
          <w:i w:val="0"/>
          <w:u w:val="none"/>
        </w:rPr>
        <w:t xml:space="preserve"> has divided the two identified respondent groups into the following distinct information collection (IC) categories:</w:t>
      </w:r>
    </w:p>
    <w:p w:rsidR="00733994" w:rsidRDefault="001F435B" w:rsidP="00D53E0A">
      <w:pPr>
        <w:pStyle w:val="ListParagraph"/>
        <w:numPr>
          <w:ilvl w:val="0"/>
          <w:numId w:val="4"/>
        </w:numPr>
      </w:pPr>
      <w:r w:rsidRPr="00DF73FD">
        <w:rPr>
          <w:i/>
          <w:u w:val="single"/>
        </w:rPr>
        <w:t>Order Recipients</w:t>
      </w:r>
      <w:r w:rsidRPr="00DF73FD">
        <w:rPr>
          <w:i/>
        </w:rPr>
        <w:t>.</w:t>
      </w:r>
      <w:r w:rsidR="000C6CB0">
        <w:rPr>
          <w:i/>
        </w:rPr>
        <w:t xml:space="preserve"> </w:t>
      </w:r>
      <w:r>
        <w:t xml:space="preserve">This category includes everyone that could receive an EDSP order for one or more of the chemicals on the </w:t>
      </w:r>
      <w:r w:rsidR="00812153">
        <w:t>initial</w:t>
      </w:r>
      <w:r>
        <w:t xml:space="preserve"> list, but has not already received an EDSP order.</w:t>
      </w:r>
    </w:p>
    <w:p w:rsidR="00733994" w:rsidRDefault="001F435B" w:rsidP="00D53E0A">
      <w:pPr>
        <w:pStyle w:val="ListParagraph"/>
        <w:numPr>
          <w:ilvl w:val="0"/>
          <w:numId w:val="4"/>
        </w:numPr>
      </w:pPr>
      <w:r w:rsidRPr="00DF73FD">
        <w:rPr>
          <w:i/>
          <w:u w:val="single"/>
        </w:rPr>
        <w:t>Data Generators/Submitters</w:t>
      </w:r>
      <w:r w:rsidRPr="00DF73FD">
        <w:rPr>
          <w:i/>
        </w:rPr>
        <w:t>.</w:t>
      </w:r>
      <w:r w:rsidR="000C6CB0">
        <w:t xml:space="preserve"> </w:t>
      </w:r>
      <w:r>
        <w:t xml:space="preserve">This category includes one company for each chemical because </w:t>
      </w:r>
      <w:r w:rsidR="0062657D">
        <w:t>the EPA</w:t>
      </w:r>
      <w:r>
        <w:t xml:space="preserve"> expects companies to work together to provide the required data so that they do not duplicate efforts.</w:t>
      </w:r>
    </w:p>
    <w:p w:rsidR="00733994" w:rsidRDefault="001F435B" w:rsidP="00D53E0A">
      <w:pPr>
        <w:pStyle w:val="ListParagraph"/>
        <w:numPr>
          <w:ilvl w:val="0"/>
          <w:numId w:val="4"/>
        </w:numPr>
      </w:pPr>
      <w:r w:rsidRPr="00DF73FD">
        <w:rPr>
          <w:i/>
          <w:u w:val="single"/>
        </w:rPr>
        <w:t>Consortium Participants</w:t>
      </w:r>
      <w:r w:rsidRPr="00DF73FD">
        <w:rPr>
          <w:i/>
        </w:rPr>
        <w:t>.</w:t>
      </w:r>
      <w:r w:rsidR="000C6CB0">
        <w:t xml:space="preserve"> </w:t>
      </w:r>
      <w:r>
        <w:t>This category includes the order recipients that are not in the Data Generators/Submitters category.</w:t>
      </w:r>
      <w:r w:rsidR="000C6CB0">
        <w:t xml:space="preserve"> </w:t>
      </w:r>
      <w:r>
        <w:t xml:space="preserve">These companies will actively participate in consortia activities, and includes the recipient of a subsequent </w:t>
      </w:r>
      <w:r w:rsidR="00CF1D4B">
        <w:t>"</w:t>
      </w:r>
      <w:r>
        <w:t>catch-up</w:t>
      </w:r>
      <w:r w:rsidR="00CF1D4B">
        <w:t>"</w:t>
      </w:r>
      <w:r>
        <w:t xml:space="preserve"> order that is expected to join the ongoing activities.</w:t>
      </w:r>
    </w:p>
    <w:p w:rsidR="00733994" w:rsidRPr="00DF73FD" w:rsidRDefault="001F435B" w:rsidP="00DF73FD">
      <w:pPr>
        <w:pStyle w:val="Heading4"/>
        <w:rPr>
          <w:i w:val="0"/>
          <w:u w:val="none"/>
        </w:rPr>
      </w:pPr>
      <w:proofErr w:type="gramStart"/>
      <w:r>
        <w:t>Calculating the Number of Respondents</w:t>
      </w:r>
      <w:r w:rsidR="000C6CB0" w:rsidRPr="00FA7DE2">
        <w:rPr>
          <w:i w:val="0"/>
          <w:u w:val="none"/>
        </w:rPr>
        <w:t xml:space="preserve">:  </w:t>
      </w:r>
      <w:r w:rsidR="00AA548D" w:rsidRPr="00DF73FD">
        <w:rPr>
          <w:i w:val="0"/>
          <w:u w:val="none"/>
        </w:rPr>
        <w:t>To date</w:t>
      </w:r>
      <w:r w:rsidRPr="00DF73FD">
        <w:rPr>
          <w:i w:val="0"/>
          <w:u w:val="none"/>
        </w:rPr>
        <w:t xml:space="preserve">, </w:t>
      </w:r>
      <w:r w:rsidR="0062657D">
        <w:rPr>
          <w:i w:val="0"/>
          <w:u w:val="none"/>
        </w:rPr>
        <w:t>the EPA</w:t>
      </w:r>
      <w:r w:rsidRPr="00DF73FD">
        <w:rPr>
          <w:i w:val="0"/>
          <w:u w:val="none"/>
        </w:rPr>
        <w:t xml:space="preserve"> has already issued the initial Tier 1 EDSP orders for the 67 chemicals, and those order recipients have already provided their initial responses.</w:t>
      </w:r>
      <w:proofErr w:type="gramEnd"/>
      <w:r w:rsidRPr="00DF73FD">
        <w:rPr>
          <w:i w:val="0"/>
          <w:u w:val="none"/>
        </w:rPr>
        <w:t xml:space="preserve"> This is specifically reflected in the estimated number of respondents for the different IC categories.</w:t>
      </w:r>
    </w:p>
    <w:p w:rsidR="00733994" w:rsidRPr="00BA2FCE" w:rsidRDefault="001F435B" w:rsidP="00F16932">
      <w:r w:rsidRPr="00BA2FCE">
        <w:t xml:space="preserve">In terms of estimating the potential number of </w:t>
      </w:r>
      <w:r w:rsidRPr="00BA2FCE">
        <w:rPr>
          <w:b/>
        </w:rPr>
        <w:t>order recipients</w:t>
      </w:r>
      <w:r w:rsidRPr="00BA2FCE">
        <w:t xml:space="preserve"> for purposes of estimating the burden in this ICR, </w:t>
      </w:r>
      <w:r w:rsidR="0062657D">
        <w:t>the EPA</w:t>
      </w:r>
      <w:r w:rsidRPr="00BA2FCE">
        <w:t xml:space="preserve"> is assuming the potential issuance of up to 20 additional orders each year (15 involving pesticide active ingredients and 5 involving pesticide inert ingredients).</w:t>
      </w:r>
      <w:r w:rsidR="000C6CB0" w:rsidRPr="00BA2FCE">
        <w:t xml:space="preserve"> </w:t>
      </w:r>
      <w:r w:rsidRPr="00BA2FCE">
        <w:t xml:space="preserve">Based on the </w:t>
      </w:r>
      <w:r w:rsidR="00CF1D4B" w:rsidRPr="00BA2FCE">
        <w:t>agency'</w:t>
      </w:r>
      <w:r w:rsidRPr="00BA2FCE">
        <w:t xml:space="preserve">s experience with </w:t>
      </w:r>
      <w:r w:rsidR="00CF1D4B" w:rsidRPr="00BA2FCE">
        <w:t>"</w:t>
      </w:r>
      <w:r w:rsidRPr="00BA2FCE">
        <w:t>catch-up</w:t>
      </w:r>
      <w:r w:rsidR="00CF1D4B" w:rsidRPr="00BA2FCE">
        <w:t>"</w:t>
      </w:r>
      <w:r w:rsidRPr="00BA2FCE">
        <w:t xml:space="preserve"> orders to date, this appears to be a reasonable approach for estimating the </w:t>
      </w:r>
      <w:r w:rsidRPr="00BA2FCE">
        <w:lastRenderedPageBreak/>
        <w:t>number of potential catch-up orders.</w:t>
      </w:r>
      <w:r w:rsidR="000C6CB0" w:rsidRPr="00BA2FCE">
        <w:t xml:space="preserve"> </w:t>
      </w:r>
      <w:r w:rsidR="0062657D">
        <w:t>The EPA</w:t>
      </w:r>
      <w:r w:rsidRPr="00BA2FCE">
        <w:t xml:space="preserve"> also assumes that all </w:t>
      </w:r>
      <w:r w:rsidR="00CF1D4B" w:rsidRPr="00BA2FCE">
        <w:t>"</w:t>
      </w:r>
      <w:r w:rsidRPr="00BA2FCE">
        <w:t>catch-up</w:t>
      </w:r>
      <w:r w:rsidR="00CF1D4B" w:rsidRPr="00BA2FCE">
        <w:t>"</w:t>
      </w:r>
      <w:r w:rsidRPr="00BA2FCE">
        <w:t xml:space="preserve"> order recipients will join an existing data generator (</w:t>
      </w:r>
      <w:r w:rsidRPr="00BA2FCE">
        <w:rPr>
          <w:i/>
        </w:rPr>
        <w:t>i.e.</w:t>
      </w:r>
      <w:r w:rsidRPr="00BA2FCE">
        <w:t>, a consortium).</w:t>
      </w:r>
    </w:p>
    <w:p w:rsidR="00CD765B" w:rsidRDefault="001F435B" w:rsidP="00F16932">
      <w:r w:rsidRPr="00BA2FCE">
        <w:t xml:space="preserve">In terms of estimating the potential number of </w:t>
      </w:r>
      <w:r w:rsidRPr="00BA2FCE">
        <w:rPr>
          <w:b/>
        </w:rPr>
        <w:t>data generators/submitters</w:t>
      </w:r>
      <w:r w:rsidRPr="00BA2FCE">
        <w:t xml:space="preserve"> for purposes of estimating the burden in this ICR, </w:t>
      </w:r>
      <w:r w:rsidR="0062657D">
        <w:t>the EPA</w:t>
      </w:r>
      <w:r w:rsidRPr="00BA2FCE">
        <w:t xml:space="preserve"> assumed that there would be one for each of the 67 chemicals.</w:t>
      </w:r>
      <w:r w:rsidR="0025535B">
        <w:t xml:space="preserve"> </w:t>
      </w:r>
      <w:r w:rsidR="00CD765B" w:rsidRPr="00CD765B">
        <w:t>The EDSP process is longer than three years, the term of an ICR. All of the orders</w:t>
      </w:r>
      <w:r w:rsidR="00CD765B">
        <w:t xml:space="preserve"> </w:t>
      </w:r>
      <w:r w:rsidR="00CD765B" w:rsidRPr="00CD765B">
        <w:t>have been issued, with the exception of catch-up orders. Therefore, for this ICR</w:t>
      </w:r>
      <w:r w:rsidR="00CD765B">
        <w:t>,</w:t>
      </w:r>
      <w:r w:rsidR="00CD765B" w:rsidRPr="00CD765B">
        <w:t xml:space="preserve"> </w:t>
      </w:r>
      <w:r w:rsidR="00CD765B">
        <w:t xml:space="preserve">the agency </w:t>
      </w:r>
      <w:r w:rsidR="00CD765B" w:rsidRPr="00CD765B">
        <w:t>know</w:t>
      </w:r>
      <w:r w:rsidR="00CD765B">
        <w:t>s</w:t>
      </w:r>
      <w:r w:rsidR="00CD765B" w:rsidRPr="00CD765B">
        <w:t xml:space="preserve"> that Tier 1 data are being generated only once </w:t>
      </w:r>
      <w:r w:rsidR="00CD765B">
        <w:t xml:space="preserve">for </w:t>
      </w:r>
      <w:r w:rsidR="00CD765B" w:rsidRPr="00CD765B">
        <w:t xml:space="preserve">each of </w:t>
      </w:r>
      <w:r w:rsidR="00CD765B">
        <w:t xml:space="preserve">the </w:t>
      </w:r>
      <w:r w:rsidR="00CD765B" w:rsidRPr="00CD765B">
        <w:t xml:space="preserve">52 chemicals of the original 67. </w:t>
      </w:r>
      <w:r w:rsidR="00CD765B">
        <w:t xml:space="preserve">Of the </w:t>
      </w:r>
      <w:r w:rsidR="00CD765B" w:rsidRPr="00CD765B">
        <w:t xml:space="preserve">52 </w:t>
      </w:r>
      <w:r w:rsidR="00CD765B">
        <w:t xml:space="preserve">remaining </w:t>
      </w:r>
      <w:r w:rsidR="00CD765B" w:rsidRPr="00CD765B">
        <w:t>chemicals</w:t>
      </w:r>
      <w:r w:rsidR="00CD765B">
        <w:t>,</w:t>
      </w:r>
      <w:r w:rsidR="00CD765B" w:rsidRPr="00CD765B">
        <w:t xml:space="preserve"> </w:t>
      </w:r>
      <w:r w:rsidR="00CD765B">
        <w:t xml:space="preserve">22 are supported </w:t>
      </w:r>
      <w:r w:rsidR="00CD765B" w:rsidRPr="00CD765B">
        <w:t>by a single respondent</w:t>
      </w:r>
      <w:r w:rsidR="00480852">
        <w:t xml:space="preserve">, while </w:t>
      </w:r>
      <w:r w:rsidR="00CD765B" w:rsidRPr="00CD765B">
        <w:t xml:space="preserve">a group of respondents that have formed </w:t>
      </w:r>
      <w:proofErr w:type="gramStart"/>
      <w:r w:rsidR="00CD765B" w:rsidRPr="00CD765B">
        <w:t>a consortia</w:t>
      </w:r>
      <w:proofErr w:type="gramEnd"/>
      <w:r w:rsidR="00CD765B" w:rsidRPr="00CD765B">
        <w:t xml:space="preserve"> for 30 chemicals. The orders for the remaining 15 chemicals were satisfied through cancellation in the case of (8) pesticides and withdrawn as a pesticidal inert for the 7 remaining (formerly) inert chemicals.</w:t>
      </w:r>
    </w:p>
    <w:p w:rsidR="00FF5F75" w:rsidRDefault="001F435B" w:rsidP="00F16932">
      <w:r>
        <w:t xml:space="preserve">In terms of estimating the potential number of </w:t>
      </w:r>
      <w:r w:rsidRPr="00831D26">
        <w:rPr>
          <w:b/>
        </w:rPr>
        <w:t>consortium participants</w:t>
      </w:r>
      <w:r>
        <w:t xml:space="preserve"> for purposes of estimating the burden in this ICR, </w:t>
      </w:r>
      <w:r w:rsidR="0062657D">
        <w:t>the EPA</w:t>
      </w:r>
      <w:r>
        <w:t xml:space="preserve"> assumed that the recipients of a catch-up order would join the ongoing </w:t>
      </w:r>
      <w:r w:rsidRPr="00831D26">
        <w:t>consortium.</w:t>
      </w:r>
      <w:r w:rsidR="000C6CB0" w:rsidRPr="00831D26">
        <w:t xml:space="preserve"> </w:t>
      </w:r>
      <w:r w:rsidRPr="00831D26">
        <w:t xml:space="preserve">Based on the initial responses received already, there are </w:t>
      </w:r>
      <w:r w:rsidR="00831D26">
        <w:t>30</w:t>
      </w:r>
      <w:r w:rsidRPr="00831D26">
        <w:t xml:space="preserve"> consortia currently underway that include a total of </w:t>
      </w:r>
      <w:r w:rsidR="00831D26">
        <w:t>213</w:t>
      </w:r>
      <w:r w:rsidRPr="00831D26">
        <w:t xml:space="preserve"> participants.</w:t>
      </w:r>
      <w:r>
        <w:t xml:space="preserve"> </w:t>
      </w:r>
    </w:p>
    <w:p w:rsidR="00733994" w:rsidRDefault="001F435B" w:rsidP="00F16932">
      <w:r>
        <w:t>Table 1 presents the estimated number of respondents for each IC category, which is used subsequently as a multiplier for the per response burden in order to calculate the total annual burdens.</w:t>
      </w:r>
    </w:p>
    <w:p w:rsidR="00662542" w:rsidRPr="00EB5743" w:rsidRDefault="00662542" w:rsidP="002F2414">
      <w:pPr>
        <w:pStyle w:val="TableCaption"/>
      </w:pPr>
      <w:r w:rsidRPr="00EB5743">
        <w:t>Table 1</w:t>
      </w:r>
      <w:r w:rsidR="0076212E">
        <w:t xml:space="preserve"> – </w:t>
      </w:r>
      <w:r w:rsidRPr="00EB5743">
        <w:t>Estimated Number of Potential Respondents</w:t>
      </w:r>
    </w:p>
    <w:tbl>
      <w:tblPr>
        <w:tblW w:w="4904" w:type="pct"/>
        <w:tblLook w:val="04A0"/>
      </w:tblPr>
      <w:tblGrid>
        <w:gridCol w:w="800"/>
        <w:gridCol w:w="7138"/>
        <w:gridCol w:w="2160"/>
      </w:tblGrid>
      <w:tr w:rsidR="00EB5743" w:rsidRPr="00991ACB" w:rsidTr="00F92A48">
        <w:trPr>
          <w:tblHeader/>
        </w:trPr>
        <w:tc>
          <w:tcPr>
            <w:tcW w:w="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rsidR="00EB5743" w:rsidRPr="00991ACB" w:rsidRDefault="00EB5743" w:rsidP="00F92A48">
            <w:pPr>
              <w:keepNext/>
              <w:spacing w:after="0"/>
              <w:jc w:val="center"/>
              <w:rPr>
                <w:rFonts w:cs="Arial"/>
                <w:b/>
                <w:bCs/>
                <w:sz w:val="20"/>
                <w:szCs w:val="20"/>
              </w:rPr>
            </w:pPr>
            <w:r w:rsidRPr="00991ACB">
              <w:rPr>
                <w:rFonts w:cs="Arial"/>
                <w:b/>
                <w:bCs/>
                <w:sz w:val="20"/>
                <w:szCs w:val="20"/>
              </w:rPr>
              <w:t>IC #</w:t>
            </w:r>
          </w:p>
        </w:tc>
        <w:tc>
          <w:tcPr>
            <w:tcW w:w="7138"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EB5743" w:rsidRPr="00991ACB" w:rsidRDefault="00EB5743" w:rsidP="00F92A48">
            <w:pPr>
              <w:keepNext/>
              <w:spacing w:after="0"/>
              <w:rPr>
                <w:rFonts w:cs="Arial"/>
                <w:b/>
                <w:bCs/>
                <w:sz w:val="20"/>
                <w:szCs w:val="20"/>
              </w:rPr>
            </w:pPr>
            <w:r w:rsidRPr="00991ACB">
              <w:rPr>
                <w:rFonts w:cs="Arial"/>
                <w:b/>
                <w:bCs/>
                <w:sz w:val="20"/>
                <w:szCs w:val="20"/>
              </w:rPr>
              <w:t>IC Category Name</w:t>
            </w:r>
          </w:p>
        </w:tc>
        <w:tc>
          <w:tcPr>
            <w:tcW w:w="2160" w:type="dxa"/>
            <w:tcBorders>
              <w:top w:val="single" w:sz="4" w:space="0" w:color="auto"/>
              <w:left w:val="nil"/>
              <w:bottom w:val="single" w:sz="4" w:space="0" w:color="auto"/>
              <w:right w:val="single" w:sz="4" w:space="0" w:color="auto"/>
            </w:tcBorders>
            <w:shd w:val="clear" w:color="auto" w:fill="B8CCE4" w:themeFill="accent1" w:themeFillTint="66"/>
            <w:vAlign w:val="bottom"/>
            <w:hideMark/>
          </w:tcPr>
          <w:p w:rsidR="00EB5743" w:rsidRPr="00991ACB" w:rsidRDefault="00EB5743" w:rsidP="00F92A48">
            <w:pPr>
              <w:keepNext/>
              <w:spacing w:after="0"/>
              <w:jc w:val="center"/>
              <w:rPr>
                <w:rFonts w:cs="Arial"/>
                <w:b/>
                <w:bCs/>
                <w:sz w:val="20"/>
                <w:szCs w:val="20"/>
              </w:rPr>
            </w:pPr>
            <w:r w:rsidRPr="00991ACB">
              <w:rPr>
                <w:rFonts w:cs="Arial"/>
                <w:b/>
                <w:bCs/>
                <w:sz w:val="20"/>
                <w:szCs w:val="20"/>
              </w:rPr>
              <w:t>Estimated Number of Respondents</w:t>
            </w:r>
          </w:p>
        </w:tc>
      </w:tr>
      <w:tr w:rsidR="00EB5743" w:rsidRPr="00E14CFD" w:rsidTr="00D70092">
        <w:tc>
          <w:tcPr>
            <w:tcW w:w="800" w:type="dxa"/>
            <w:tcBorders>
              <w:top w:val="nil"/>
              <w:left w:val="single" w:sz="4" w:space="0" w:color="auto"/>
              <w:bottom w:val="single" w:sz="4" w:space="0" w:color="auto"/>
              <w:right w:val="single" w:sz="4" w:space="0" w:color="auto"/>
            </w:tcBorders>
            <w:shd w:val="clear" w:color="auto" w:fill="D6E3BC" w:themeFill="accent3" w:themeFillTint="66"/>
            <w:hideMark/>
          </w:tcPr>
          <w:p w:rsidR="00EB5743" w:rsidRPr="00E14CFD" w:rsidRDefault="00EB5743" w:rsidP="00804A22">
            <w:pPr>
              <w:keepNext/>
              <w:spacing w:after="0"/>
              <w:jc w:val="center"/>
              <w:rPr>
                <w:rFonts w:cs="Arial"/>
                <w:b/>
                <w:sz w:val="20"/>
                <w:szCs w:val="20"/>
              </w:rPr>
            </w:pPr>
            <w:r w:rsidRPr="00E14CFD">
              <w:rPr>
                <w:rFonts w:cs="Arial"/>
                <w:b/>
                <w:sz w:val="20"/>
                <w:szCs w:val="20"/>
              </w:rPr>
              <w:t>1.</w:t>
            </w:r>
          </w:p>
        </w:tc>
        <w:tc>
          <w:tcPr>
            <w:tcW w:w="7138" w:type="dxa"/>
            <w:tcBorders>
              <w:top w:val="nil"/>
              <w:left w:val="nil"/>
              <w:bottom w:val="single" w:sz="4" w:space="0" w:color="auto"/>
              <w:right w:val="single" w:sz="4" w:space="0" w:color="auto"/>
            </w:tcBorders>
            <w:shd w:val="clear" w:color="auto" w:fill="D6E3BC" w:themeFill="accent3" w:themeFillTint="66"/>
            <w:hideMark/>
          </w:tcPr>
          <w:p w:rsidR="00EB5743" w:rsidRPr="00E14CFD" w:rsidRDefault="00EB5743" w:rsidP="00F92A48">
            <w:pPr>
              <w:keepNext/>
              <w:spacing w:after="0"/>
              <w:rPr>
                <w:rFonts w:cs="Arial"/>
                <w:b/>
                <w:sz w:val="20"/>
                <w:szCs w:val="20"/>
              </w:rPr>
            </w:pPr>
            <w:r w:rsidRPr="00E14CFD">
              <w:rPr>
                <w:rFonts w:cs="Arial"/>
                <w:b/>
                <w:sz w:val="20"/>
                <w:szCs w:val="20"/>
              </w:rPr>
              <w:t>Order Recipients</w:t>
            </w:r>
          </w:p>
        </w:tc>
        <w:tc>
          <w:tcPr>
            <w:tcW w:w="2160" w:type="dxa"/>
            <w:tcBorders>
              <w:top w:val="nil"/>
              <w:left w:val="nil"/>
              <w:bottom w:val="single" w:sz="4" w:space="0" w:color="auto"/>
              <w:right w:val="single" w:sz="4" w:space="0" w:color="auto"/>
            </w:tcBorders>
            <w:shd w:val="clear" w:color="auto" w:fill="D6E3BC" w:themeFill="accent3" w:themeFillTint="66"/>
            <w:hideMark/>
          </w:tcPr>
          <w:p w:rsidR="00EB5743" w:rsidRPr="00E14CFD" w:rsidRDefault="00EB5743" w:rsidP="00F92A48">
            <w:pPr>
              <w:keepNext/>
              <w:tabs>
                <w:tab w:val="decimal" w:pos="1242"/>
              </w:tabs>
              <w:spacing w:after="0"/>
              <w:rPr>
                <w:rFonts w:cs="Arial"/>
                <w:b/>
                <w:sz w:val="20"/>
                <w:szCs w:val="20"/>
              </w:rPr>
            </w:pPr>
            <w:r w:rsidRPr="00E14CFD">
              <w:rPr>
                <w:rFonts w:cs="Arial"/>
                <w:b/>
                <w:sz w:val="20"/>
                <w:szCs w:val="20"/>
              </w:rPr>
              <w:t>60</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EB5743" w:rsidP="00804A22">
            <w:pPr>
              <w:keepNext/>
              <w:spacing w:after="0"/>
              <w:jc w:val="center"/>
              <w:rPr>
                <w:rFonts w:cs="Arial"/>
                <w:sz w:val="20"/>
                <w:szCs w:val="20"/>
              </w:rPr>
            </w:pPr>
            <w:r w:rsidRPr="00991ACB">
              <w:rPr>
                <w:rFonts w:cs="Arial"/>
                <w:sz w:val="20"/>
                <w:szCs w:val="20"/>
              </w:rPr>
              <w:t>1(</w:t>
            </w:r>
            <w:r w:rsidR="00804A22">
              <w:rPr>
                <w:rFonts w:cs="Arial"/>
                <w:sz w:val="20"/>
                <w:szCs w:val="20"/>
              </w:rPr>
              <w:t>a</w:t>
            </w:r>
            <w:r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left="190"/>
              <w:rPr>
                <w:rFonts w:cs="Arial"/>
                <w:sz w:val="20"/>
                <w:szCs w:val="20"/>
              </w:rPr>
            </w:pPr>
            <w:r w:rsidRPr="00991ACB">
              <w:rPr>
                <w:rFonts w:cs="Arial"/>
                <w:sz w:val="20"/>
                <w:szCs w:val="20"/>
              </w:rPr>
              <w:t>– Registrants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67595B" w:rsidP="00F92A48">
            <w:pPr>
              <w:keepNext/>
              <w:tabs>
                <w:tab w:val="decimal" w:pos="1242"/>
              </w:tabs>
              <w:spacing w:after="0"/>
              <w:rPr>
                <w:rFonts w:cs="Arial"/>
                <w:sz w:val="20"/>
                <w:szCs w:val="20"/>
              </w:rPr>
            </w:pPr>
            <w:r>
              <w:rPr>
                <w:rFonts w:cs="Arial"/>
                <w:sz w:val="20"/>
                <w:szCs w:val="20"/>
              </w:rPr>
              <w:t>0</w:t>
            </w:r>
          </w:p>
        </w:tc>
      </w:tr>
      <w:tr w:rsidR="00E14CFD"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14CFD" w:rsidRPr="00991ACB" w:rsidRDefault="00E14CFD" w:rsidP="00F92A48">
            <w:pPr>
              <w:keepNext/>
              <w:spacing w:after="0"/>
              <w:jc w:val="center"/>
              <w:rPr>
                <w:rFonts w:cs="Arial"/>
                <w:sz w:val="20"/>
                <w:szCs w:val="20"/>
              </w:rPr>
            </w:pPr>
          </w:p>
        </w:tc>
        <w:tc>
          <w:tcPr>
            <w:tcW w:w="7138" w:type="dxa"/>
            <w:tcBorders>
              <w:top w:val="nil"/>
              <w:left w:val="nil"/>
              <w:bottom w:val="single" w:sz="4" w:space="0" w:color="auto"/>
              <w:right w:val="single" w:sz="4" w:space="0" w:color="auto"/>
            </w:tcBorders>
            <w:shd w:val="clear" w:color="auto" w:fill="auto"/>
            <w:hideMark/>
          </w:tcPr>
          <w:p w:rsidR="00E14CFD" w:rsidRPr="00991ACB" w:rsidRDefault="00E14CFD" w:rsidP="00F92A48">
            <w:pPr>
              <w:keepNext/>
              <w:spacing w:after="0"/>
              <w:ind w:left="460"/>
              <w:rPr>
                <w:rFonts w:cs="Arial"/>
                <w:sz w:val="20"/>
                <w:szCs w:val="20"/>
              </w:rPr>
            </w:pPr>
            <w:r>
              <w:rPr>
                <w:rFonts w:cs="Arial"/>
                <w:sz w:val="20"/>
                <w:szCs w:val="20"/>
              </w:rPr>
              <w:t>Catch-Up Orders</w:t>
            </w:r>
          </w:p>
        </w:tc>
        <w:tc>
          <w:tcPr>
            <w:tcW w:w="2160" w:type="dxa"/>
            <w:tcBorders>
              <w:top w:val="nil"/>
              <w:left w:val="nil"/>
              <w:bottom w:val="single" w:sz="4" w:space="0" w:color="auto"/>
              <w:right w:val="single" w:sz="4" w:space="0" w:color="auto"/>
            </w:tcBorders>
            <w:shd w:val="clear" w:color="auto" w:fill="auto"/>
            <w:hideMark/>
          </w:tcPr>
          <w:p w:rsidR="00E14CFD" w:rsidRPr="00991ACB" w:rsidRDefault="00E14CFD" w:rsidP="00F92A48">
            <w:pPr>
              <w:keepNext/>
              <w:tabs>
                <w:tab w:val="decimal" w:pos="1242"/>
              </w:tabs>
              <w:spacing w:after="0"/>
              <w:rPr>
                <w:rFonts w:cs="Arial"/>
                <w:sz w:val="20"/>
                <w:szCs w:val="20"/>
              </w:rPr>
            </w:pPr>
            <w:r>
              <w:rPr>
                <w:rFonts w:cs="Arial"/>
                <w:sz w:val="20"/>
                <w:szCs w:val="20"/>
              </w:rPr>
              <w:t>45</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EB5743" w:rsidP="00804A22">
            <w:pPr>
              <w:keepNext/>
              <w:spacing w:after="0"/>
              <w:jc w:val="center"/>
              <w:rPr>
                <w:rFonts w:cs="Arial"/>
                <w:sz w:val="20"/>
                <w:szCs w:val="20"/>
              </w:rPr>
            </w:pPr>
            <w:r w:rsidRPr="00991ACB">
              <w:rPr>
                <w:rFonts w:cs="Arial"/>
                <w:sz w:val="20"/>
                <w:szCs w:val="20"/>
              </w:rPr>
              <w:t>1(</w:t>
            </w:r>
            <w:r w:rsidR="00804A22">
              <w:rPr>
                <w:rFonts w:cs="Arial"/>
                <w:sz w:val="20"/>
                <w:szCs w:val="20"/>
              </w:rPr>
              <w:t>b</w:t>
            </w:r>
            <w:r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left="190"/>
              <w:rPr>
                <w:rFonts w:cs="Arial"/>
                <w:sz w:val="20"/>
                <w:szCs w:val="20"/>
              </w:rPr>
            </w:pPr>
            <w:r w:rsidRPr="00991ACB">
              <w:rPr>
                <w:rFonts w:cs="Arial"/>
                <w:sz w:val="20"/>
                <w:szCs w:val="20"/>
              </w:rPr>
              <w:t>– Manufacturers/Importers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67595B" w:rsidP="00F92A48">
            <w:pPr>
              <w:keepNext/>
              <w:tabs>
                <w:tab w:val="decimal" w:pos="1242"/>
              </w:tabs>
              <w:spacing w:after="0"/>
              <w:rPr>
                <w:rFonts w:cs="Arial"/>
                <w:sz w:val="20"/>
                <w:szCs w:val="20"/>
              </w:rPr>
            </w:pPr>
            <w:r>
              <w:rPr>
                <w:rFonts w:cs="Arial"/>
                <w:sz w:val="20"/>
                <w:szCs w:val="20"/>
              </w:rPr>
              <w:t>0</w:t>
            </w:r>
          </w:p>
        </w:tc>
      </w:tr>
      <w:tr w:rsidR="00E14CFD"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14CFD" w:rsidRPr="00991ACB" w:rsidRDefault="00E14CFD" w:rsidP="00F92A48">
            <w:pPr>
              <w:keepNext/>
              <w:spacing w:after="0"/>
              <w:jc w:val="center"/>
              <w:rPr>
                <w:rFonts w:cs="Arial"/>
                <w:sz w:val="20"/>
                <w:szCs w:val="20"/>
              </w:rPr>
            </w:pPr>
          </w:p>
        </w:tc>
        <w:tc>
          <w:tcPr>
            <w:tcW w:w="7138" w:type="dxa"/>
            <w:tcBorders>
              <w:top w:val="nil"/>
              <w:left w:val="nil"/>
              <w:bottom w:val="single" w:sz="4" w:space="0" w:color="auto"/>
              <w:right w:val="single" w:sz="4" w:space="0" w:color="auto"/>
            </w:tcBorders>
            <w:shd w:val="clear" w:color="auto" w:fill="auto"/>
            <w:hideMark/>
          </w:tcPr>
          <w:p w:rsidR="00E14CFD" w:rsidRPr="00991ACB" w:rsidRDefault="00E14CFD" w:rsidP="00F92A48">
            <w:pPr>
              <w:keepNext/>
              <w:spacing w:after="0"/>
              <w:ind w:left="460"/>
              <w:rPr>
                <w:rFonts w:cs="Arial"/>
                <w:sz w:val="20"/>
                <w:szCs w:val="20"/>
              </w:rPr>
            </w:pPr>
            <w:r>
              <w:rPr>
                <w:rFonts w:cs="Arial"/>
                <w:sz w:val="20"/>
                <w:szCs w:val="20"/>
              </w:rPr>
              <w:t>Catch-Up Orders</w:t>
            </w:r>
          </w:p>
        </w:tc>
        <w:tc>
          <w:tcPr>
            <w:tcW w:w="2160" w:type="dxa"/>
            <w:tcBorders>
              <w:top w:val="nil"/>
              <w:left w:val="nil"/>
              <w:bottom w:val="single" w:sz="4" w:space="0" w:color="auto"/>
              <w:right w:val="single" w:sz="4" w:space="0" w:color="auto"/>
            </w:tcBorders>
            <w:shd w:val="clear" w:color="auto" w:fill="auto"/>
            <w:hideMark/>
          </w:tcPr>
          <w:p w:rsidR="00E14CFD" w:rsidRPr="00991ACB" w:rsidRDefault="00D70092" w:rsidP="00F92A48">
            <w:pPr>
              <w:keepNext/>
              <w:tabs>
                <w:tab w:val="decimal" w:pos="1242"/>
              </w:tabs>
              <w:spacing w:after="0"/>
              <w:rPr>
                <w:rFonts w:cs="Arial"/>
                <w:sz w:val="20"/>
                <w:szCs w:val="20"/>
              </w:rPr>
            </w:pPr>
            <w:r>
              <w:rPr>
                <w:rFonts w:cs="Arial"/>
                <w:sz w:val="20"/>
                <w:szCs w:val="20"/>
              </w:rPr>
              <w:t>15</w:t>
            </w:r>
          </w:p>
        </w:tc>
      </w:tr>
      <w:tr w:rsidR="00EB5743" w:rsidRPr="00D70092" w:rsidTr="00D70092">
        <w:tc>
          <w:tcPr>
            <w:tcW w:w="800" w:type="dxa"/>
            <w:tcBorders>
              <w:top w:val="nil"/>
              <w:left w:val="single" w:sz="4" w:space="0" w:color="auto"/>
              <w:bottom w:val="single" w:sz="4" w:space="0" w:color="auto"/>
              <w:right w:val="single" w:sz="4" w:space="0" w:color="auto"/>
            </w:tcBorders>
            <w:shd w:val="clear" w:color="auto" w:fill="D6E3BC" w:themeFill="accent3" w:themeFillTint="66"/>
            <w:hideMark/>
          </w:tcPr>
          <w:p w:rsidR="00EB5743" w:rsidRPr="00D70092" w:rsidRDefault="00EB5743" w:rsidP="00804A22">
            <w:pPr>
              <w:keepNext/>
              <w:spacing w:after="0"/>
              <w:jc w:val="center"/>
              <w:rPr>
                <w:rFonts w:cs="Arial"/>
                <w:b/>
                <w:sz w:val="20"/>
                <w:szCs w:val="20"/>
              </w:rPr>
            </w:pPr>
            <w:r w:rsidRPr="00D70092">
              <w:rPr>
                <w:rFonts w:cs="Arial"/>
                <w:b/>
                <w:sz w:val="20"/>
                <w:szCs w:val="20"/>
              </w:rPr>
              <w:t>2.</w:t>
            </w:r>
          </w:p>
        </w:tc>
        <w:tc>
          <w:tcPr>
            <w:tcW w:w="7138" w:type="dxa"/>
            <w:tcBorders>
              <w:top w:val="nil"/>
              <w:left w:val="nil"/>
              <w:bottom w:val="single" w:sz="4" w:space="0" w:color="auto"/>
              <w:right w:val="single" w:sz="4" w:space="0" w:color="auto"/>
            </w:tcBorders>
            <w:shd w:val="clear" w:color="auto" w:fill="D6E3BC" w:themeFill="accent3" w:themeFillTint="66"/>
            <w:hideMark/>
          </w:tcPr>
          <w:p w:rsidR="00EB5743" w:rsidRPr="00D70092" w:rsidRDefault="00EB5743" w:rsidP="00F92A48">
            <w:pPr>
              <w:keepNext/>
              <w:spacing w:after="0"/>
              <w:rPr>
                <w:rFonts w:cs="Arial"/>
                <w:b/>
                <w:sz w:val="20"/>
                <w:szCs w:val="20"/>
              </w:rPr>
            </w:pPr>
            <w:r w:rsidRPr="00D70092">
              <w:rPr>
                <w:rFonts w:cs="Arial"/>
                <w:b/>
                <w:sz w:val="20"/>
                <w:szCs w:val="20"/>
              </w:rPr>
              <w:t>Data Generators/Submitters</w:t>
            </w:r>
          </w:p>
        </w:tc>
        <w:tc>
          <w:tcPr>
            <w:tcW w:w="2160" w:type="dxa"/>
            <w:tcBorders>
              <w:top w:val="nil"/>
              <w:left w:val="nil"/>
              <w:bottom w:val="single" w:sz="4" w:space="0" w:color="auto"/>
              <w:right w:val="single" w:sz="4" w:space="0" w:color="auto"/>
            </w:tcBorders>
            <w:shd w:val="clear" w:color="auto" w:fill="D6E3BC" w:themeFill="accent3" w:themeFillTint="66"/>
            <w:hideMark/>
          </w:tcPr>
          <w:p w:rsidR="00EB5743" w:rsidRPr="00D70092" w:rsidRDefault="00D70092" w:rsidP="00F92A48">
            <w:pPr>
              <w:keepNext/>
              <w:tabs>
                <w:tab w:val="decimal" w:pos="1242"/>
              </w:tabs>
              <w:spacing w:after="0"/>
              <w:rPr>
                <w:rFonts w:cs="Arial"/>
                <w:b/>
                <w:sz w:val="20"/>
                <w:szCs w:val="20"/>
              </w:rPr>
            </w:pPr>
            <w:r w:rsidRPr="00D70092">
              <w:rPr>
                <w:rFonts w:cs="Arial"/>
                <w:b/>
                <w:sz w:val="20"/>
                <w:szCs w:val="20"/>
              </w:rPr>
              <w:t>52</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804A22" w:rsidP="00F92A48">
            <w:pPr>
              <w:keepNext/>
              <w:spacing w:after="0"/>
              <w:jc w:val="center"/>
              <w:rPr>
                <w:rFonts w:cs="Arial"/>
                <w:sz w:val="20"/>
                <w:szCs w:val="20"/>
              </w:rPr>
            </w:pPr>
            <w:r>
              <w:rPr>
                <w:rFonts w:cs="Arial"/>
                <w:sz w:val="20"/>
                <w:szCs w:val="20"/>
              </w:rPr>
              <w:t>2(a</w:t>
            </w:r>
            <w:r w:rsidR="00EB5743"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left="190"/>
              <w:rPr>
                <w:rFonts w:cs="Arial"/>
                <w:sz w:val="20"/>
                <w:szCs w:val="20"/>
              </w:rPr>
            </w:pPr>
            <w:r w:rsidRPr="00991ACB">
              <w:rPr>
                <w:rFonts w:cs="Arial"/>
                <w:sz w:val="20"/>
                <w:szCs w:val="20"/>
              </w:rPr>
              <w:t>– Registrants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4100CE" w:rsidP="00F92A48">
            <w:pPr>
              <w:keepNext/>
              <w:tabs>
                <w:tab w:val="decimal" w:pos="1242"/>
              </w:tabs>
              <w:spacing w:after="0"/>
              <w:rPr>
                <w:rFonts w:cs="Arial"/>
                <w:sz w:val="20"/>
                <w:szCs w:val="20"/>
              </w:rPr>
            </w:pPr>
            <w:r>
              <w:rPr>
                <w:rFonts w:cs="Arial"/>
                <w:sz w:val="20"/>
                <w:szCs w:val="20"/>
              </w:rPr>
              <w:t>50</w:t>
            </w:r>
          </w:p>
        </w:tc>
      </w:tr>
      <w:tr w:rsidR="00E14CFD"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14CFD" w:rsidRPr="00991ACB" w:rsidRDefault="00E14CFD" w:rsidP="00F92A48">
            <w:pPr>
              <w:keepNext/>
              <w:spacing w:after="0"/>
              <w:jc w:val="center"/>
              <w:rPr>
                <w:rFonts w:cs="Arial"/>
                <w:sz w:val="20"/>
                <w:szCs w:val="20"/>
              </w:rPr>
            </w:pPr>
          </w:p>
        </w:tc>
        <w:tc>
          <w:tcPr>
            <w:tcW w:w="7138" w:type="dxa"/>
            <w:tcBorders>
              <w:top w:val="nil"/>
              <w:left w:val="nil"/>
              <w:bottom w:val="single" w:sz="4" w:space="0" w:color="auto"/>
              <w:right w:val="single" w:sz="4" w:space="0" w:color="auto"/>
            </w:tcBorders>
            <w:shd w:val="clear" w:color="auto" w:fill="auto"/>
            <w:hideMark/>
          </w:tcPr>
          <w:p w:rsidR="00E14CFD" w:rsidRPr="00991ACB" w:rsidRDefault="00D70092" w:rsidP="00F92A48">
            <w:pPr>
              <w:keepNext/>
              <w:spacing w:after="0"/>
              <w:ind w:left="460"/>
              <w:rPr>
                <w:rFonts w:cs="Arial"/>
                <w:sz w:val="20"/>
                <w:szCs w:val="20"/>
              </w:rPr>
            </w:pPr>
            <w:r>
              <w:rPr>
                <w:rFonts w:cs="Arial"/>
                <w:sz w:val="20"/>
                <w:szCs w:val="20"/>
              </w:rPr>
              <w:t>Catch-Up Orders</w:t>
            </w:r>
          </w:p>
        </w:tc>
        <w:tc>
          <w:tcPr>
            <w:tcW w:w="2160" w:type="dxa"/>
            <w:tcBorders>
              <w:top w:val="nil"/>
              <w:left w:val="nil"/>
              <w:bottom w:val="single" w:sz="4" w:space="0" w:color="auto"/>
              <w:right w:val="single" w:sz="4" w:space="0" w:color="auto"/>
            </w:tcBorders>
            <w:shd w:val="clear" w:color="auto" w:fill="auto"/>
            <w:hideMark/>
          </w:tcPr>
          <w:p w:rsidR="00E14CFD" w:rsidRPr="0067595B" w:rsidRDefault="0067595B" w:rsidP="00F92A48">
            <w:pPr>
              <w:keepNext/>
              <w:tabs>
                <w:tab w:val="decimal" w:pos="1242"/>
              </w:tabs>
              <w:spacing w:after="0"/>
              <w:rPr>
                <w:rFonts w:cs="Arial"/>
                <w:sz w:val="20"/>
                <w:szCs w:val="20"/>
              </w:rPr>
            </w:pPr>
            <w:r w:rsidRPr="0067595B">
              <w:rPr>
                <w:rFonts w:cs="Arial"/>
                <w:sz w:val="20"/>
                <w:szCs w:val="20"/>
              </w:rPr>
              <w:t>0</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804A22" w:rsidP="00F92A48">
            <w:pPr>
              <w:keepNext/>
              <w:spacing w:after="0"/>
              <w:jc w:val="center"/>
              <w:rPr>
                <w:rFonts w:cs="Arial"/>
                <w:sz w:val="20"/>
                <w:szCs w:val="20"/>
              </w:rPr>
            </w:pPr>
            <w:r>
              <w:rPr>
                <w:rFonts w:cs="Arial"/>
                <w:sz w:val="20"/>
                <w:szCs w:val="20"/>
              </w:rPr>
              <w:t>2(b</w:t>
            </w:r>
            <w:r w:rsidR="00EB5743"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left="190"/>
              <w:rPr>
                <w:rFonts w:cs="Arial"/>
                <w:sz w:val="20"/>
                <w:szCs w:val="20"/>
              </w:rPr>
            </w:pPr>
            <w:r w:rsidRPr="00991ACB">
              <w:rPr>
                <w:rFonts w:cs="Arial"/>
                <w:sz w:val="20"/>
                <w:szCs w:val="20"/>
              </w:rPr>
              <w:t>– Manufacturers/Importers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4100CE" w:rsidP="00F92A48">
            <w:pPr>
              <w:keepNext/>
              <w:tabs>
                <w:tab w:val="decimal" w:pos="1242"/>
              </w:tabs>
              <w:spacing w:after="0"/>
              <w:rPr>
                <w:rFonts w:cs="Arial"/>
                <w:sz w:val="20"/>
                <w:szCs w:val="20"/>
              </w:rPr>
            </w:pPr>
            <w:r>
              <w:rPr>
                <w:rFonts w:cs="Arial"/>
                <w:sz w:val="20"/>
                <w:szCs w:val="20"/>
              </w:rPr>
              <w:t>2</w:t>
            </w:r>
          </w:p>
        </w:tc>
      </w:tr>
      <w:tr w:rsidR="00E14CFD"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14CFD" w:rsidRPr="00991ACB" w:rsidRDefault="00E14CFD" w:rsidP="00F92A48">
            <w:pPr>
              <w:keepNext/>
              <w:spacing w:after="0"/>
              <w:jc w:val="center"/>
              <w:rPr>
                <w:rFonts w:cs="Arial"/>
                <w:sz w:val="20"/>
                <w:szCs w:val="20"/>
              </w:rPr>
            </w:pPr>
          </w:p>
        </w:tc>
        <w:tc>
          <w:tcPr>
            <w:tcW w:w="7138" w:type="dxa"/>
            <w:tcBorders>
              <w:top w:val="nil"/>
              <w:left w:val="nil"/>
              <w:bottom w:val="single" w:sz="4" w:space="0" w:color="auto"/>
              <w:right w:val="single" w:sz="4" w:space="0" w:color="auto"/>
            </w:tcBorders>
            <w:shd w:val="clear" w:color="auto" w:fill="auto"/>
            <w:hideMark/>
          </w:tcPr>
          <w:p w:rsidR="00E14CFD" w:rsidRPr="00991ACB" w:rsidRDefault="00D70092" w:rsidP="00F92A48">
            <w:pPr>
              <w:keepNext/>
              <w:spacing w:after="0"/>
              <w:ind w:left="460"/>
              <w:rPr>
                <w:rFonts w:cs="Arial"/>
                <w:sz w:val="20"/>
                <w:szCs w:val="20"/>
              </w:rPr>
            </w:pPr>
            <w:r>
              <w:rPr>
                <w:rFonts w:cs="Arial"/>
                <w:sz w:val="20"/>
                <w:szCs w:val="20"/>
              </w:rPr>
              <w:t>Catch-Up Orders</w:t>
            </w:r>
          </w:p>
        </w:tc>
        <w:tc>
          <w:tcPr>
            <w:tcW w:w="2160" w:type="dxa"/>
            <w:tcBorders>
              <w:top w:val="nil"/>
              <w:left w:val="nil"/>
              <w:bottom w:val="single" w:sz="4" w:space="0" w:color="auto"/>
              <w:right w:val="single" w:sz="4" w:space="0" w:color="auto"/>
            </w:tcBorders>
            <w:shd w:val="clear" w:color="auto" w:fill="auto"/>
            <w:hideMark/>
          </w:tcPr>
          <w:p w:rsidR="00E14CFD" w:rsidRDefault="0067595B" w:rsidP="00F92A48">
            <w:pPr>
              <w:keepNext/>
              <w:tabs>
                <w:tab w:val="decimal" w:pos="1242"/>
              </w:tabs>
              <w:spacing w:after="0"/>
              <w:rPr>
                <w:rFonts w:cs="Arial"/>
                <w:sz w:val="20"/>
                <w:szCs w:val="20"/>
              </w:rPr>
            </w:pPr>
            <w:r>
              <w:rPr>
                <w:rFonts w:cs="Arial"/>
                <w:sz w:val="20"/>
                <w:szCs w:val="20"/>
              </w:rPr>
              <w:t>0</w:t>
            </w:r>
          </w:p>
        </w:tc>
      </w:tr>
      <w:tr w:rsidR="00EB5743" w:rsidRPr="00D70092" w:rsidTr="00D70092">
        <w:tc>
          <w:tcPr>
            <w:tcW w:w="800" w:type="dxa"/>
            <w:tcBorders>
              <w:top w:val="nil"/>
              <w:left w:val="single" w:sz="4" w:space="0" w:color="auto"/>
              <w:bottom w:val="single" w:sz="4" w:space="0" w:color="auto"/>
              <w:right w:val="single" w:sz="4" w:space="0" w:color="auto"/>
            </w:tcBorders>
            <w:shd w:val="clear" w:color="auto" w:fill="D6E3BC" w:themeFill="accent3" w:themeFillTint="66"/>
            <w:hideMark/>
          </w:tcPr>
          <w:p w:rsidR="00EB5743" w:rsidRPr="00D70092" w:rsidRDefault="00EB5743" w:rsidP="00804A22">
            <w:pPr>
              <w:keepNext/>
              <w:spacing w:after="0"/>
              <w:jc w:val="center"/>
              <w:rPr>
                <w:rFonts w:cs="Arial"/>
                <w:b/>
                <w:sz w:val="20"/>
                <w:szCs w:val="20"/>
              </w:rPr>
            </w:pPr>
            <w:r w:rsidRPr="00D70092">
              <w:rPr>
                <w:rFonts w:cs="Arial"/>
                <w:b/>
                <w:sz w:val="20"/>
                <w:szCs w:val="20"/>
              </w:rPr>
              <w:t>3.</w:t>
            </w:r>
          </w:p>
        </w:tc>
        <w:tc>
          <w:tcPr>
            <w:tcW w:w="7138" w:type="dxa"/>
            <w:tcBorders>
              <w:top w:val="nil"/>
              <w:left w:val="nil"/>
              <w:bottom w:val="single" w:sz="4" w:space="0" w:color="auto"/>
              <w:right w:val="single" w:sz="4" w:space="0" w:color="auto"/>
            </w:tcBorders>
            <w:shd w:val="clear" w:color="auto" w:fill="D6E3BC" w:themeFill="accent3" w:themeFillTint="66"/>
            <w:hideMark/>
          </w:tcPr>
          <w:p w:rsidR="00EB5743" w:rsidRPr="00D70092" w:rsidRDefault="00EB5743" w:rsidP="00F92A48">
            <w:pPr>
              <w:keepNext/>
              <w:spacing w:after="0"/>
              <w:rPr>
                <w:rFonts w:cs="Arial"/>
                <w:b/>
                <w:sz w:val="20"/>
                <w:szCs w:val="20"/>
              </w:rPr>
            </w:pPr>
            <w:r w:rsidRPr="00D70092">
              <w:rPr>
                <w:rFonts w:cs="Arial"/>
                <w:b/>
                <w:sz w:val="20"/>
                <w:szCs w:val="20"/>
              </w:rPr>
              <w:t>Consortium Participants</w:t>
            </w:r>
          </w:p>
        </w:tc>
        <w:tc>
          <w:tcPr>
            <w:tcW w:w="2160" w:type="dxa"/>
            <w:tcBorders>
              <w:top w:val="nil"/>
              <w:left w:val="nil"/>
              <w:bottom w:val="single" w:sz="4" w:space="0" w:color="auto"/>
              <w:right w:val="single" w:sz="4" w:space="0" w:color="auto"/>
            </w:tcBorders>
            <w:shd w:val="clear" w:color="auto" w:fill="D6E3BC" w:themeFill="accent3" w:themeFillTint="66"/>
            <w:hideMark/>
          </w:tcPr>
          <w:p w:rsidR="00EB5743" w:rsidRPr="00D70092" w:rsidRDefault="00D70092" w:rsidP="00F92A48">
            <w:pPr>
              <w:keepNext/>
              <w:tabs>
                <w:tab w:val="decimal" w:pos="1242"/>
              </w:tabs>
              <w:spacing w:after="0"/>
              <w:rPr>
                <w:rFonts w:cs="Arial"/>
                <w:b/>
                <w:sz w:val="20"/>
                <w:szCs w:val="20"/>
              </w:rPr>
            </w:pPr>
            <w:r>
              <w:rPr>
                <w:rFonts w:cs="Arial"/>
                <w:b/>
                <w:sz w:val="20"/>
                <w:szCs w:val="20"/>
              </w:rPr>
              <w:t>273</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804A22" w:rsidP="00F92A48">
            <w:pPr>
              <w:keepNext/>
              <w:spacing w:after="0"/>
              <w:jc w:val="center"/>
              <w:rPr>
                <w:rFonts w:cs="Arial"/>
                <w:sz w:val="20"/>
                <w:szCs w:val="20"/>
              </w:rPr>
            </w:pPr>
            <w:r>
              <w:rPr>
                <w:rFonts w:cs="Arial"/>
                <w:sz w:val="20"/>
                <w:szCs w:val="20"/>
              </w:rPr>
              <w:t>3(a</w:t>
            </w:r>
            <w:r w:rsidR="00EB5743"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firstLineChars="100" w:firstLine="200"/>
              <w:rPr>
                <w:rFonts w:cs="Arial"/>
                <w:sz w:val="20"/>
                <w:szCs w:val="20"/>
              </w:rPr>
            </w:pPr>
            <w:r w:rsidRPr="00991ACB">
              <w:rPr>
                <w:rFonts w:cs="Arial"/>
                <w:sz w:val="20"/>
                <w:szCs w:val="20"/>
              </w:rPr>
              <w:t>– Registrants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D70092" w:rsidP="00F92A48">
            <w:pPr>
              <w:keepNext/>
              <w:tabs>
                <w:tab w:val="decimal" w:pos="1242"/>
              </w:tabs>
              <w:spacing w:after="0"/>
              <w:rPr>
                <w:rFonts w:cs="Arial"/>
                <w:sz w:val="20"/>
                <w:szCs w:val="20"/>
              </w:rPr>
            </w:pPr>
            <w:r>
              <w:rPr>
                <w:rFonts w:cs="Arial"/>
                <w:sz w:val="20"/>
                <w:szCs w:val="20"/>
              </w:rPr>
              <w:t>207</w:t>
            </w:r>
          </w:p>
        </w:tc>
      </w:tr>
      <w:tr w:rsidR="00E14CFD"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14CFD" w:rsidRPr="00991ACB" w:rsidRDefault="00E14CFD" w:rsidP="00F92A48">
            <w:pPr>
              <w:keepNext/>
              <w:spacing w:after="0"/>
              <w:jc w:val="center"/>
              <w:rPr>
                <w:rFonts w:cs="Arial"/>
                <w:sz w:val="20"/>
                <w:szCs w:val="20"/>
              </w:rPr>
            </w:pPr>
          </w:p>
        </w:tc>
        <w:tc>
          <w:tcPr>
            <w:tcW w:w="7138" w:type="dxa"/>
            <w:tcBorders>
              <w:top w:val="nil"/>
              <w:left w:val="nil"/>
              <w:bottom w:val="single" w:sz="4" w:space="0" w:color="auto"/>
              <w:right w:val="single" w:sz="4" w:space="0" w:color="auto"/>
            </w:tcBorders>
            <w:shd w:val="clear" w:color="auto" w:fill="auto"/>
            <w:hideMark/>
          </w:tcPr>
          <w:p w:rsidR="00E14CFD" w:rsidRPr="00991ACB" w:rsidRDefault="00D70092" w:rsidP="00F92A48">
            <w:pPr>
              <w:keepNext/>
              <w:spacing w:after="0"/>
              <w:ind w:left="460"/>
              <w:rPr>
                <w:rFonts w:cs="Arial"/>
                <w:sz w:val="20"/>
                <w:szCs w:val="20"/>
              </w:rPr>
            </w:pPr>
            <w:r>
              <w:rPr>
                <w:rFonts w:cs="Arial"/>
                <w:sz w:val="20"/>
                <w:szCs w:val="20"/>
              </w:rPr>
              <w:t>Catch-Up Orders</w:t>
            </w:r>
          </w:p>
        </w:tc>
        <w:tc>
          <w:tcPr>
            <w:tcW w:w="2160" w:type="dxa"/>
            <w:tcBorders>
              <w:top w:val="nil"/>
              <w:left w:val="nil"/>
              <w:bottom w:val="single" w:sz="4" w:space="0" w:color="auto"/>
              <w:right w:val="single" w:sz="4" w:space="0" w:color="auto"/>
            </w:tcBorders>
            <w:shd w:val="clear" w:color="auto" w:fill="auto"/>
            <w:hideMark/>
          </w:tcPr>
          <w:p w:rsidR="00E14CFD" w:rsidRPr="00991ACB" w:rsidRDefault="00D70092" w:rsidP="00F92A48">
            <w:pPr>
              <w:keepNext/>
              <w:tabs>
                <w:tab w:val="decimal" w:pos="1242"/>
              </w:tabs>
              <w:spacing w:after="0"/>
              <w:rPr>
                <w:rFonts w:cs="Arial"/>
                <w:sz w:val="20"/>
                <w:szCs w:val="20"/>
              </w:rPr>
            </w:pPr>
            <w:r>
              <w:rPr>
                <w:rFonts w:cs="Arial"/>
                <w:sz w:val="20"/>
                <w:szCs w:val="20"/>
              </w:rPr>
              <w:t>45</w:t>
            </w:r>
          </w:p>
        </w:tc>
      </w:tr>
      <w:tr w:rsidR="00EB5743" w:rsidRPr="00991ACB" w:rsidTr="00D70092">
        <w:tc>
          <w:tcPr>
            <w:tcW w:w="800" w:type="dxa"/>
            <w:tcBorders>
              <w:top w:val="nil"/>
              <w:left w:val="single" w:sz="4" w:space="0" w:color="auto"/>
              <w:bottom w:val="single" w:sz="4" w:space="0" w:color="auto"/>
              <w:right w:val="single" w:sz="4" w:space="0" w:color="auto"/>
            </w:tcBorders>
            <w:shd w:val="clear" w:color="auto" w:fill="auto"/>
            <w:hideMark/>
          </w:tcPr>
          <w:p w:rsidR="00EB5743" w:rsidRPr="00991ACB" w:rsidRDefault="00804A22" w:rsidP="00F92A48">
            <w:pPr>
              <w:keepNext/>
              <w:spacing w:after="0"/>
              <w:jc w:val="center"/>
              <w:rPr>
                <w:rFonts w:cs="Arial"/>
                <w:sz w:val="20"/>
                <w:szCs w:val="20"/>
              </w:rPr>
            </w:pPr>
            <w:r>
              <w:rPr>
                <w:rFonts w:cs="Arial"/>
                <w:sz w:val="20"/>
                <w:szCs w:val="20"/>
              </w:rPr>
              <w:t>3(b</w:t>
            </w:r>
            <w:r w:rsidR="00EB5743" w:rsidRPr="00991ACB">
              <w:rPr>
                <w:rFonts w:cs="Arial"/>
                <w:sz w:val="20"/>
                <w:szCs w:val="20"/>
              </w:rPr>
              <w:t>).</w:t>
            </w:r>
          </w:p>
        </w:tc>
        <w:tc>
          <w:tcPr>
            <w:tcW w:w="7138" w:type="dxa"/>
            <w:tcBorders>
              <w:top w:val="nil"/>
              <w:left w:val="nil"/>
              <w:bottom w:val="single" w:sz="4" w:space="0" w:color="auto"/>
              <w:right w:val="single" w:sz="4" w:space="0" w:color="auto"/>
            </w:tcBorders>
            <w:shd w:val="clear" w:color="auto" w:fill="auto"/>
            <w:hideMark/>
          </w:tcPr>
          <w:p w:rsidR="00EB5743" w:rsidRPr="00991ACB" w:rsidRDefault="00EB5743" w:rsidP="00F92A48">
            <w:pPr>
              <w:keepNext/>
              <w:spacing w:after="0"/>
              <w:ind w:firstLineChars="100" w:firstLine="200"/>
              <w:rPr>
                <w:rFonts w:cs="Arial"/>
                <w:sz w:val="20"/>
                <w:szCs w:val="20"/>
              </w:rPr>
            </w:pPr>
            <w:r w:rsidRPr="00991ACB">
              <w:rPr>
                <w:rFonts w:cs="Arial"/>
                <w:sz w:val="20"/>
                <w:szCs w:val="20"/>
              </w:rPr>
              <w:t>– Manufacturers/Importers</w:t>
            </w:r>
          </w:p>
        </w:tc>
        <w:tc>
          <w:tcPr>
            <w:tcW w:w="2160" w:type="dxa"/>
            <w:tcBorders>
              <w:top w:val="nil"/>
              <w:left w:val="nil"/>
              <w:bottom w:val="single" w:sz="4" w:space="0" w:color="auto"/>
              <w:right w:val="single" w:sz="4" w:space="0" w:color="auto"/>
            </w:tcBorders>
            <w:shd w:val="clear" w:color="auto" w:fill="auto"/>
            <w:hideMark/>
          </w:tcPr>
          <w:p w:rsidR="00EB5743" w:rsidRPr="00991ACB" w:rsidRDefault="00D70092" w:rsidP="00F92A48">
            <w:pPr>
              <w:keepNext/>
              <w:tabs>
                <w:tab w:val="decimal" w:pos="1242"/>
              </w:tabs>
              <w:spacing w:after="0"/>
              <w:rPr>
                <w:rFonts w:cs="Arial"/>
                <w:sz w:val="20"/>
                <w:szCs w:val="20"/>
              </w:rPr>
            </w:pPr>
            <w:r>
              <w:rPr>
                <w:rFonts w:cs="Arial"/>
                <w:sz w:val="20"/>
                <w:szCs w:val="20"/>
              </w:rPr>
              <w:t>6</w:t>
            </w:r>
          </w:p>
        </w:tc>
      </w:tr>
      <w:tr w:rsidR="00E14CFD" w:rsidRPr="00991ACB" w:rsidTr="00804A22">
        <w:tc>
          <w:tcPr>
            <w:tcW w:w="800" w:type="dxa"/>
            <w:tcBorders>
              <w:top w:val="nil"/>
              <w:left w:val="single" w:sz="4" w:space="0" w:color="auto"/>
              <w:bottom w:val="double" w:sz="4" w:space="0" w:color="auto"/>
              <w:right w:val="single" w:sz="4" w:space="0" w:color="auto"/>
            </w:tcBorders>
            <w:shd w:val="clear" w:color="auto" w:fill="auto"/>
            <w:hideMark/>
          </w:tcPr>
          <w:p w:rsidR="00E14CFD" w:rsidRPr="00991ACB" w:rsidRDefault="00E14CFD" w:rsidP="00EB5743">
            <w:pPr>
              <w:spacing w:after="0"/>
              <w:jc w:val="center"/>
              <w:rPr>
                <w:rFonts w:cs="Arial"/>
                <w:b/>
                <w:bCs/>
                <w:sz w:val="20"/>
                <w:szCs w:val="20"/>
              </w:rPr>
            </w:pPr>
          </w:p>
        </w:tc>
        <w:tc>
          <w:tcPr>
            <w:tcW w:w="7138" w:type="dxa"/>
            <w:tcBorders>
              <w:top w:val="nil"/>
              <w:left w:val="nil"/>
              <w:bottom w:val="double" w:sz="4" w:space="0" w:color="auto"/>
              <w:right w:val="single" w:sz="4" w:space="0" w:color="auto"/>
            </w:tcBorders>
            <w:shd w:val="clear" w:color="auto" w:fill="auto"/>
            <w:hideMark/>
          </w:tcPr>
          <w:p w:rsidR="00E14CFD" w:rsidRPr="00D70092" w:rsidRDefault="00D70092" w:rsidP="00D70092">
            <w:pPr>
              <w:spacing w:after="0"/>
              <w:ind w:left="460"/>
              <w:rPr>
                <w:rFonts w:cs="Arial"/>
                <w:sz w:val="20"/>
                <w:szCs w:val="20"/>
              </w:rPr>
            </w:pPr>
            <w:r>
              <w:rPr>
                <w:rFonts w:cs="Arial"/>
                <w:sz w:val="20"/>
                <w:szCs w:val="20"/>
              </w:rPr>
              <w:t>Catch-Up Orders</w:t>
            </w:r>
          </w:p>
        </w:tc>
        <w:tc>
          <w:tcPr>
            <w:tcW w:w="2160" w:type="dxa"/>
            <w:tcBorders>
              <w:top w:val="nil"/>
              <w:left w:val="nil"/>
              <w:bottom w:val="double" w:sz="4" w:space="0" w:color="auto"/>
              <w:right w:val="single" w:sz="4" w:space="0" w:color="auto"/>
            </w:tcBorders>
            <w:shd w:val="clear" w:color="auto" w:fill="auto"/>
            <w:hideMark/>
          </w:tcPr>
          <w:p w:rsidR="0067595B" w:rsidRPr="006E528C" w:rsidRDefault="00D70092" w:rsidP="00733BBC">
            <w:pPr>
              <w:tabs>
                <w:tab w:val="decimal" w:pos="1242"/>
              </w:tabs>
              <w:spacing w:after="0"/>
              <w:rPr>
                <w:rFonts w:cs="Arial"/>
                <w:bCs/>
                <w:sz w:val="20"/>
                <w:szCs w:val="20"/>
              </w:rPr>
            </w:pPr>
            <w:r w:rsidRPr="006E528C">
              <w:rPr>
                <w:rFonts w:cs="Arial"/>
                <w:bCs/>
                <w:sz w:val="20"/>
                <w:szCs w:val="20"/>
              </w:rPr>
              <w:t>15</w:t>
            </w:r>
          </w:p>
        </w:tc>
      </w:tr>
      <w:tr w:rsidR="0067595B" w:rsidRPr="00991ACB" w:rsidTr="00804A22">
        <w:tc>
          <w:tcPr>
            <w:tcW w:w="800" w:type="dxa"/>
            <w:tcBorders>
              <w:top w:val="double" w:sz="4" w:space="0" w:color="auto"/>
              <w:left w:val="single" w:sz="4" w:space="0" w:color="auto"/>
              <w:bottom w:val="single" w:sz="4" w:space="0" w:color="auto"/>
              <w:right w:val="single" w:sz="4" w:space="0" w:color="auto"/>
            </w:tcBorders>
            <w:shd w:val="clear" w:color="auto" w:fill="auto"/>
          </w:tcPr>
          <w:p w:rsidR="0067595B" w:rsidRPr="00991ACB" w:rsidRDefault="0067595B" w:rsidP="0067595B">
            <w:pPr>
              <w:spacing w:after="0"/>
              <w:rPr>
                <w:rFonts w:cs="Arial"/>
                <w:b/>
                <w:bCs/>
                <w:sz w:val="20"/>
                <w:szCs w:val="20"/>
              </w:rPr>
            </w:pPr>
          </w:p>
        </w:tc>
        <w:tc>
          <w:tcPr>
            <w:tcW w:w="7138" w:type="dxa"/>
            <w:tcBorders>
              <w:top w:val="double" w:sz="4" w:space="0" w:color="auto"/>
              <w:left w:val="nil"/>
              <w:bottom w:val="single" w:sz="4" w:space="0" w:color="auto"/>
              <w:right w:val="single" w:sz="4" w:space="0" w:color="auto"/>
            </w:tcBorders>
            <w:shd w:val="clear" w:color="auto" w:fill="auto"/>
          </w:tcPr>
          <w:p w:rsidR="0067595B" w:rsidRPr="00804A22" w:rsidRDefault="00804A22" w:rsidP="00804A22">
            <w:pPr>
              <w:spacing w:after="0"/>
              <w:rPr>
                <w:rFonts w:cs="Arial"/>
                <w:b/>
                <w:sz w:val="20"/>
                <w:szCs w:val="20"/>
              </w:rPr>
            </w:pPr>
            <w:r w:rsidRPr="00804A22">
              <w:rPr>
                <w:rFonts w:cs="Arial"/>
                <w:b/>
                <w:sz w:val="20"/>
                <w:szCs w:val="20"/>
              </w:rPr>
              <w:t>Total Respondents</w:t>
            </w:r>
          </w:p>
        </w:tc>
        <w:tc>
          <w:tcPr>
            <w:tcW w:w="2160" w:type="dxa"/>
            <w:tcBorders>
              <w:top w:val="double" w:sz="4" w:space="0" w:color="auto"/>
              <w:left w:val="nil"/>
              <w:bottom w:val="single" w:sz="4" w:space="0" w:color="auto"/>
              <w:right w:val="single" w:sz="4" w:space="0" w:color="auto"/>
            </w:tcBorders>
            <w:shd w:val="clear" w:color="auto" w:fill="auto"/>
          </w:tcPr>
          <w:p w:rsidR="0067595B" w:rsidRPr="00804A22" w:rsidRDefault="00804A22" w:rsidP="00733BBC">
            <w:pPr>
              <w:tabs>
                <w:tab w:val="decimal" w:pos="1242"/>
              </w:tabs>
              <w:spacing w:after="0"/>
              <w:rPr>
                <w:rFonts w:cs="Arial"/>
                <w:b/>
                <w:bCs/>
                <w:sz w:val="20"/>
                <w:szCs w:val="20"/>
              </w:rPr>
            </w:pPr>
            <w:r w:rsidRPr="00804A22">
              <w:rPr>
                <w:rFonts w:cs="Arial"/>
                <w:b/>
                <w:bCs/>
                <w:sz w:val="20"/>
                <w:szCs w:val="20"/>
              </w:rPr>
              <w:t>385</w:t>
            </w:r>
          </w:p>
        </w:tc>
      </w:tr>
    </w:tbl>
    <w:p w:rsidR="000F0DF3" w:rsidRPr="002F2414" w:rsidRDefault="001F435B" w:rsidP="002F2414">
      <w:pPr>
        <w:pStyle w:val="Heading2"/>
      </w:pPr>
      <w:r w:rsidRPr="002F2414">
        <w:t>4(b) Respondent Activities</w:t>
      </w:r>
    </w:p>
    <w:p w:rsidR="000F0DF3" w:rsidRDefault="001F435B" w:rsidP="00F16932">
      <w:r>
        <w:t>Respondent activities vary based on the IC category and the respondent group. Although identified under the applicable IC category, the activities are numbered sequentially to allow for cross-referencing.</w:t>
      </w:r>
    </w:p>
    <w:p w:rsidR="000F0DF3" w:rsidRDefault="00A31A91" w:rsidP="00EB5743">
      <w:pPr>
        <w:pStyle w:val="Heading4"/>
      </w:pPr>
      <w:r>
        <w:t>IC #</w:t>
      </w:r>
      <w:r w:rsidR="001F435B">
        <w:t>1</w:t>
      </w:r>
      <w:r w:rsidR="000C6CB0">
        <w:t xml:space="preserve">:  </w:t>
      </w:r>
      <w:r w:rsidR="001F435B">
        <w:t>Order Recipients:</w:t>
      </w:r>
    </w:p>
    <w:p w:rsidR="000F0DF3" w:rsidRDefault="001F435B" w:rsidP="00F16932">
      <w:r>
        <w:t xml:space="preserve">In general, these respondents will receive individual orders that are prepared by </w:t>
      </w:r>
      <w:r w:rsidR="0062657D">
        <w:t>the EPA</w:t>
      </w:r>
      <w:r>
        <w:t xml:space="preserve"> using the </w:t>
      </w:r>
      <w:r w:rsidR="00D70092">
        <w:t>order</w:t>
      </w:r>
      <w:r>
        <w:t xml:space="preserve"> </w:t>
      </w:r>
      <w:r w:rsidR="00831D26">
        <w:t xml:space="preserve">templates </w:t>
      </w:r>
      <w:r>
        <w:t xml:space="preserve">identified in Attachment C(1), entitled </w:t>
      </w:r>
      <w:r w:rsidR="00CF1D4B">
        <w:t>"</w:t>
      </w:r>
      <w:r w:rsidRPr="00831D26">
        <w:rPr>
          <w:i/>
        </w:rPr>
        <w:t>FFDCA 408(p) Order Template for Pesticide Registrants (As of September 16, 2009)</w:t>
      </w:r>
      <w:r w:rsidR="00CF1D4B">
        <w:t>"</w:t>
      </w:r>
      <w:r>
        <w:t xml:space="preserve"> or in Attachment C(2), entitled </w:t>
      </w:r>
      <w:r w:rsidR="00CF1D4B">
        <w:t>"</w:t>
      </w:r>
      <w:r w:rsidRPr="00831D26">
        <w:rPr>
          <w:i/>
        </w:rPr>
        <w:t xml:space="preserve">FFDCA 408(p) Order </w:t>
      </w:r>
      <w:r w:rsidRPr="00831D26">
        <w:rPr>
          <w:i/>
        </w:rPr>
        <w:lastRenderedPageBreak/>
        <w:t>Template for Pesticide Inert Ingredients (As of September 16, 2009)</w:t>
      </w:r>
      <w:r>
        <w:t>.</w:t>
      </w:r>
      <w:r w:rsidR="00CF1D4B">
        <w:t>"</w:t>
      </w:r>
      <w:r w:rsidR="000C6CB0">
        <w:t xml:space="preserve"> </w:t>
      </w:r>
      <w:r>
        <w:t>The order will specify the data that must be submitted (</w:t>
      </w:r>
      <w:r w:rsidRPr="00924FAB">
        <w:rPr>
          <w:i/>
        </w:rPr>
        <w:t>i.e.</w:t>
      </w:r>
      <w:r>
        <w:t xml:space="preserve">, based on the </w:t>
      </w:r>
      <w:r w:rsidR="00786D03">
        <w:t xml:space="preserve">eleven </w:t>
      </w:r>
      <w:r>
        <w:t xml:space="preserve">Tier 1 assays as discussed later in this </w:t>
      </w:r>
      <w:r w:rsidR="00C90C7B">
        <w:t>section</w:t>
      </w:r>
      <w:r>
        <w:t>), and outline the timeframes for responding to the order, including providing an initial response, annual status reports, if applicable, and for submitting the data responsive to the order.</w:t>
      </w:r>
    </w:p>
    <w:p w:rsidR="00733994" w:rsidRDefault="001F435B" w:rsidP="00F16932">
      <w:r>
        <w:t xml:space="preserve">The order will direct the recipient to provide an initial response within 90 days of receiving the order using the currently approved form identified as EPA Form No. 6300-05, entitled </w:t>
      </w:r>
      <w:r w:rsidR="00CF1D4B">
        <w:t>"</w:t>
      </w:r>
      <w:r w:rsidRPr="00786D03">
        <w:rPr>
          <w:i/>
        </w:rPr>
        <w:t xml:space="preserve">FFDCA </w:t>
      </w:r>
      <w:r w:rsidR="004B1979" w:rsidRPr="00786D03">
        <w:rPr>
          <w:i/>
        </w:rPr>
        <w:t xml:space="preserve">section </w:t>
      </w:r>
      <w:r w:rsidRPr="00786D03">
        <w:rPr>
          <w:i/>
        </w:rPr>
        <w:t xml:space="preserve">408(p) Order/FIFRA </w:t>
      </w:r>
      <w:r w:rsidR="004B1979" w:rsidRPr="00786D03">
        <w:rPr>
          <w:i/>
        </w:rPr>
        <w:t xml:space="preserve">section </w:t>
      </w:r>
      <w:r w:rsidRPr="00786D03">
        <w:rPr>
          <w:i/>
        </w:rPr>
        <w:t>(3)(c)(2)(B) Data Call-In (DCI) - Initial Response Form for Individual Order Recipients</w:t>
      </w:r>
      <w:r w:rsidR="007B609C">
        <w:t>,</w:t>
      </w:r>
      <w:r w:rsidR="00CF1D4B">
        <w:t>"</w:t>
      </w:r>
      <w:r>
        <w:t xml:space="preserve"> </w:t>
      </w:r>
      <w:r w:rsidR="007B609C">
        <w:t>in a</w:t>
      </w:r>
      <w:r w:rsidRPr="007B609C">
        <w:t xml:space="preserve">ttachment </w:t>
      </w:r>
      <w:r w:rsidR="007B609C">
        <w:t>D(1)</w:t>
      </w:r>
      <w:r>
        <w:t>.</w:t>
      </w:r>
      <w:r w:rsidR="000C6CB0">
        <w:t xml:space="preserve"> </w:t>
      </w:r>
      <w:r w:rsidR="0062657D">
        <w:t>The EPA</w:t>
      </w:r>
      <w:r>
        <w:t xml:space="preserve"> will continue to include a copy of this form in the order packet sent to the recipient, and will continue to pre-populate it with the basic information about the recipient, the chemical covered, and the applicable test data sought.</w:t>
      </w:r>
    </w:p>
    <w:p w:rsidR="00733994" w:rsidRDefault="001F435B" w:rsidP="00F16932">
      <w:r>
        <w:t xml:space="preserve">Since the </w:t>
      </w:r>
      <w:r w:rsidR="00CF1D4B">
        <w:t>agency</w:t>
      </w:r>
      <w:r>
        <w:t xml:space="preserve"> assumes that there is already an existing consortium, it is also assumed that the consortium has already provided an initial response using the currently approved form identified as EPA Form No. 6300-05-C, entitled </w:t>
      </w:r>
      <w:r w:rsidR="00CF1D4B">
        <w:t>"</w:t>
      </w:r>
      <w:r w:rsidRPr="00831D26">
        <w:rPr>
          <w:i/>
        </w:rPr>
        <w:t xml:space="preserve">FFDCA </w:t>
      </w:r>
      <w:r w:rsidR="004B1979" w:rsidRPr="00831D26">
        <w:rPr>
          <w:i/>
        </w:rPr>
        <w:t xml:space="preserve">section </w:t>
      </w:r>
      <w:r w:rsidRPr="00831D26">
        <w:rPr>
          <w:i/>
        </w:rPr>
        <w:t xml:space="preserve">408(p) Order/FIFRA </w:t>
      </w:r>
      <w:r w:rsidR="004B1979" w:rsidRPr="00831D26">
        <w:rPr>
          <w:i/>
        </w:rPr>
        <w:t xml:space="preserve">section </w:t>
      </w:r>
      <w:r w:rsidRPr="00831D26">
        <w:rPr>
          <w:i/>
        </w:rPr>
        <w:t>(3</w:t>
      </w:r>
      <w:proofErr w:type="gramStart"/>
      <w:r w:rsidRPr="00831D26">
        <w:rPr>
          <w:i/>
        </w:rPr>
        <w:t>)(</w:t>
      </w:r>
      <w:proofErr w:type="gramEnd"/>
      <w:r w:rsidRPr="00831D26">
        <w:rPr>
          <w:i/>
        </w:rPr>
        <w:t>c)(2)(B) Data Call-In (DCI) - Initial Response Form for Consortium/ Task Force</w:t>
      </w:r>
      <w:r w:rsidR="007B609C">
        <w:t>,</w:t>
      </w:r>
      <w:r w:rsidR="00CF1D4B">
        <w:t>"</w:t>
      </w:r>
      <w:r w:rsidR="007B609C">
        <w:t xml:space="preserve"> in a</w:t>
      </w:r>
      <w:r w:rsidR="007B609C" w:rsidRPr="007B609C">
        <w:t xml:space="preserve">ttachment </w:t>
      </w:r>
      <w:r w:rsidR="007B609C">
        <w:t>D(2).</w:t>
      </w:r>
      <w:r w:rsidR="000C6CB0">
        <w:t xml:space="preserve"> </w:t>
      </w:r>
    </w:p>
    <w:p w:rsidR="00733994" w:rsidRDefault="001F435B" w:rsidP="00F16932">
      <w:r>
        <w:t xml:space="preserve">At this stage of the program, as discussed previously in </w:t>
      </w:r>
      <w:r w:rsidR="00680675">
        <w:t>s</w:t>
      </w:r>
      <w:r w:rsidR="00C90C7B">
        <w:t>ection</w:t>
      </w:r>
      <w:r>
        <w:t xml:space="preserve"> 4(a), th</w:t>
      </w:r>
      <w:r w:rsidR="007B609C">
        <w:t>os</w:t>
      </w:r>
      <w:r>
        <w:t>e</w:t>
      </w:r>
      <w:r w:rsidR="007B609C">
        <w:t xml:space="preserve"> entities previously identified as </w:t>
      </w:r>
      <w:r>
        <w:t xml:space="preserve">respondents have already received the order, so the respondents for this IC category are </w:t>
      </w:r>
      <w:r w:rsidR="007B609C">
        <w:t xml:space="preserve">now </w:t>
      </w:r>
      <w:r>
        <w:t>only those that will receive a catch-up order</w:t>
      </w:r>
      <w:r w:rsidR="007B609C">
        <w:t xml:space="preserve">, </w:t>
      </w:r>
      <w:r w:rsidR="007B609C" w:rsidRPr="00786D03">
        <w:rPr>
          <w:i/>
        </w:rPr>
        <w:t>i.e.</w:t>
      </w:r>
      <w:r w:rsidR="007B609C">
        <w:t>, order recipients</w:t>
      </w:r>
      <w:r>
        <w:t>.</w:t>
      </w:r>
      <w:r w:rsidR="000C6CB0">
        <w:t xml:space="preserve"> </w:t>
      </w:r>
      <w:r>
        <w:t xml:space="preserve">Nevertheless, the activities for these respondents remain the same. Specifically, these respondents will engage in the activities identified </w:t>
      </w:r>
      <w:r w:rsidR="00F04510">
        <w:t xml:space="preserve">and described later </w:t>
      </w:r>
      <w:r w:rsidR="007B609C">
        <w:t xml:space="preserve">in this </w:t>
      </w:r>
      <w:r w:rsidR="00C90C7B">
        <w:t>section</w:t>
      </w:r>
      <w:r w:rsidR="007B609C">
        <w:t xml:space="preserve"> </w:t>
      </w:r>
      <w:r w:rsidR="00F04510">
        <w:t>as</w:t>
      </w:r>
      <w:r>
        <w:t xml:space="preserve"> </w:t>
      </w:r>
      <w:r w:rsidR="007B609C">
        <w:t xml:space="preserve">items </w:t>
      </w:r>
      <w:r>
        <w:t>(1) through (</w:t>
      </w:r>
      <w:r w:rsidR="007B609C">
        <w:t>5</w:t>
      </w:r>
      <w:r>
        <w:t>).</w:t>
      </w:r>
    </w:p>
    <w:p w:rsidR="000F0DF3" w:rsidRDefault="00A31A91" w:rsidP="00EB5743">
      <w:pPr>
        <w:pStyle w:val="Heading4"/>
      </w:pPr>
      <w:r>
        <w:t>IC #</w:t>
      </w:r>
      <w:r w:rsidR="001F435B">
        <w:t>2</w:t>
      </w:r>
      <w:r w:rsidR="000C6CB0">
        <w:t xml:space="preserve">:  </w:t>
      </w:r>
      <w:r w:rsidR="001F435B">
        <w:t>Data Generators/Submitters:</w:t>
      </w:r>
    </w:p>
    <w:p w:rsidR="000F0DF3" w:rsidRDefault="001F435B" w:rsidP="00F16932">
      <w:r>
        <w:t xml:space="preserve">In general, the order recipients that are included in this IC category are those respondents that have indicated an intention to generate and submit the data requested, either individually or on behalf of a consortium. As such, these respondents will engage in the activities identified </w:t>
      </w:r>
      <w:r w:rsidR="00F04510" w:rsidRPr="00F04510">
        <w:t xml:space="preserve">and described later </w:t>
      </w:r>
      <w:r>
        <w:t xml:space="preserve">in </w:t>
      </w:r>
      <w:r w:rsidR="007B609C">
        <w:t xml:space="preserve">this </w:t>
      </w:r>
      <w:r w:rsidR="00C90C7B">
        <w:t>section</w:t>
      </w:r>
      <w:r w:rsidR="007B609C">
        <w:t xml:space="preserve"> </w:t>
      </w:r>
      <w:r w:rsidR="00F04510">
        <w:t>as</w:t>
      </w:r>
      <w:r w:rsidR="007B609C">
        <w:t xml:space="preserve"> items </w:t>
      </w:r>
      <w:r>
        <w:t>(4) through (9).</w:t>
      </w:r>
    </w:p>
    <w:p w:rsidR="000F0DF3" w:rsidRDefault="00A31A91" w:rsidP="00EB5743">
      <w:pPr>
        <w:pStyle w:val="Heading4"/>
      </w:pPr>
      <w:r>
        <w:t>IC #</w:t>
      </w:r>
      <w:r w:rsidR="001F435B">
        <w:t>3</w:t>
      </w:r>
      <w:r w:rsidR="000C6CB0">
        <w:t xml:space="preserve">:  </w:t>
      </w:r>
      <w:r w:rsidR="001F435B">
        <w:t>Consortium Participants:</w:t>
      </w:r>
    </w:p>
    <w:p w:rsidR="000F0DF3" w:rsidRDefault="001F435B" w:rsidP="00F16932">
      <w:r>
        <w:t xml:space="preserve">In general, the order recipients that are included in this IC category are those respondents that will actively participate in consortia activities, and includes recipients of a subsequent </w:t>
      </w:r>
      <w:r w:rsidR="00CF1D4B">
        <w:t>"</w:t>
      </w:r>
      <w:r>
        <w:t>catch-up</w:t>
      </w:r>
      <w:r w:rsidR="00CF1D4B">
        <w:t>"</w:t>
      </w:r>
      <w:r>
        <w:t xml:space="preserve"> order because they are expected to join the ongoing activities.</w:t>
      </w:r>
      <w:r w:rsidR="000C6CB0">
        <w:t xml:space="preserve"> </w:t>
      </w:r>
      <w:r>
        <w:t>These respondents will be a participant in, but not fully responsible for, the activities identified</w:t>
      </w:r>
      <w:r w:rsidR="00F04510">
        <w:t xml:space="preserve"> </w:t>
      </w:r>
      <w:r w:rsidR="00F04510" w:rsidRPr="00F04510">
        <w:t>and described later</w:t>
      </w:r>
      <w:r>
        <w:t xml:space="preserve"> in </w:t>
      </w:r>
      <w:r w:rsidR="007B609C">
        <w:t xml:space="preserve">this </w:t>
      </w:r>
      <w:r w:rsidR="00C90C7B">
        <w:t>section</w:t>
      </w:r>
      <w:r w:rsidR="007B609C">
        <w:t xml:space="preserve"> </w:t>
      </w:r>
      <w:r w:rsidR="00F04510">
        <w:t>as</w:t>
      </w:r>
      <w:r w:rsidR="007B609C">
        <w:t xml:space="preserve"> items </w:t>
      </w:r>
      <w:r>
        <w:t xml:space="preserve">(4) and (6), as well as maintain records related to their participant and compliance with the order as described in </w:t>
      </w:r>
      <w:r w:rsidR="007B609C">
        <w:t xml:space="preserve">item </w:t>
      </w:r>
      <w:r>
        <w:t>(9).</w:t>
      </w:r>
    </w:p>
    <w:p w:rsidR="000F0DF3" w:rsidRDefault="001F435B" w:rsidP="00EB5743">
      <w:pPr>
        <w:pStyle w:val="Heading4"/>
      </w:pPr>
      <w:r>
        <w:t>Overview of Covered Activities:</w:t>
      </w:r>
    </w:p>
    <w:p w:rsidR="000F0DF3" w:rsidRDefault="001F435B" w:rsidP="00F16932">
      <w:r>
        <w:t xml:space="preserve">Each recipient of an order </w:t>
      </w:r>
      <w:r w:rsidR="007B609C">
        <w:t xml:space="preserve">(aka respondent) </w:t>
      </w:r>
      <w:r>
        <w:t>is expected to engage in the following information collection related activities:</w:t>
      </w:r>
    </w:p>
    <w:p w:rsidR="000F0DF3" w:rsidRDefault="001F435B" w:rsidP="00552B46">
      <w:pPr>
        <w:pStyle w:val="ListParagraph"/>
        <w:numPr>
          <w:ilvl w:val="0"/>
          <w:numId w:val="13"/>
        </w:numPr>
        <w:ind w:left="360"/>
        <w:contextualSpacing w:val="0"/>
      </w:pPr>
      <w:r w:rsidRPr="00786D03">
        <w:rPr>
          <w:i/>
        </w:rPr>
        <w:t xml:space="preserve">Read instructions </w:t>
      </w:r>
      <w:r>
        <w:t>– Each recipient will read the order to understand what they must do to comply with the order, what deadlines are associated with those activities and the details of how and who to respond to. Depending on the recipient</w:t>
      </w:r>
      <w:r w:rsidR="00CF1D4B">
        <w:t>'</w:t>
      </w:r>
      <w:r>
        <w:t xml:space="preserve">s familiarity with the EDSP, the recipient may also read other information about the EDSP, such as the </w:t>
      </w:r>
      <w:r w:rsidR="00873A4A">
        <w:t xml:space="preserve">policies and procedures </w:t>
      </w:r>
      <w:r>
        <w:t xml:space="preserve">document (Attachment B) that </w:t>
      </w:r>
      <w:r w:rsidR="00812153" w:rsidRPr="00812153">
        <w:lastRenderedPageBreak/>
        <w:t xml:space="preserve">explain the </w:t>
      </w:r>
      <w:r w:rsidR="00812153">
        <w:t>a</w:t>
      </w:r>
      <w:r w:rsidR="00812153" w:rsidRPr="00812153">
        <w:t>gency's rationale</w:t>
      </w:r>
      <w:r>
        <w:t xml:space="preserve"> for the requirements in the order and which describes the specific details of the policies and procedures that </w:t>
      </w:r>
      <w:r w:rsidR="0062657D">
        <w:t>the EPA</w:t>
      </w:r>
      <w:r>
        <w:t xml:space="preserve"> generally intends to adopt for initial screening under the EDSP, including the statutory requirements associated with and format of the </w:t>
      </w:r>
      <w:r w:rsidR="001E640A">
        <w:t>orders</w:t>
      </w:r>
      <w:r>
        <w:t xml:space="preserve"> issued under FFDCA </w:t>
      </w:r>
      <w:r w:rsidR="004B1979">
        <w:t xml:space="preserve">section </w:t>
      </w:r>
      <w:r>
        <w:t xml:space="preserve">408(p), as well as </w:t>
      </w:r>
      <w:r w:rsidR="0062657D">
        <w:t>the EPA</w:t>
      </w:r>
      <w:r w:rsidR="00CF1D4B">
        <w:t>'</w:t>
      </w:r>
      <w:r>
        <w:t>s procedures for fair and equitable sharing of test costs and handling confidential data.</w:t>
      </w:r>
    </w:p>
    <w:p w:rsidR="00733994" w:rsidRDefault="001F435B" w:rsidP="00786D03">
      <w:pPr>
        <w:ind w:left="360"/>
      </w:pPr>
      <w:r>
        <w:t xml:space="preserve">To illustrate what an order recipient might expect to receive in terms of an order under the EDSP, the </w:t>
      </w:r>
      <w:r w:rsidR="00CF1D4B">
        <w:t>agency</w:t>
      </w:r>
      <w:r>
        <w:t xml:space="preserve"> has developed order templates for the two different kinds of potential order recipients:</w:t>
      </w:r>
    </w:p>
    <w:p w:rsidR="000F0DF3" w:rsidRDefault="001F435B" w:rsidP="00552B46">
      <w:pPr>
        <w:pStyle w:val="ListParagraph"/>
        <w:numPr>
          <w:ilvl w:val="0"/>
          <w:numId w:val="5"/>
        </w:numPr>
      </w:pPr>
      <w:r>
        <w:t xml:space="preserve">An Order Template for Pesticide </w:t>
      </w:r>
      <w:proofErr w:type="gramStart"/>
      <w:r>
        <w:t>Registrants,</w:t>
      </w:r>
      <w:proofErr w:type="gramEnd"/>
      <w:r>
        <w:t xml:space="preserve"> entitled </w:t>
      </w:r>
      <w:r w:rsidR="00CF1D4B">
        <w:t>"</w:t>
      </w:r>
      <w:r w:rsidRPr="00786D03">
        <w:rPr>
          <w:i/>
        </w:rPr>
        <w:t>FFDCA 408(p) Order Template for Pesticide Registrants (As of September 16, 2009)</w:t>
      </w:r>
      <w:r>
        <w:t>.</w:t>
      </w:r>
      <w:r w:rsidR="00CF1D4B">
        <w:t>"</w:t>
      </w:r>
      <w:r w:rsidR="000C6CB0">
        <w:t xml:space="preserve"> </w:t>
      </w:r>
      <w:r>
        <w:t xml:space="preserve">Attachment </w:t>
      </w:r>
      <w:proofErr w:type="gramStart"/>
      <w:r>
        <w:t>C(</w:t>
      </w:r>
      <w:proofErr w:type="gramEnd"/>
      <w:r>
        <w:t>1).</w:t>
      </w:r>
    </w:p>
    <w:p w:rsidR="000F0DF3" w:rsidRDefault="001F435B" w:rsidP="00552B46">
      <w:pPr>
        <w:pStyle w:val="ListParagraph"/>
        <w:numPr>
          <w:ilvl w:val="0"/>
          <w:numId w:val="5"/>
        </w:numPr>
        <w:contextualSpacing w:val="0"/>
      </w:pPr>
      <w:r>
        <w:t xml:space="preserve">An Order Template for Pesticide Inert </w:t>
      </w:r>
      <w:proofErr w:type="gramStart"/>
      <w:r>
        <w:t>Chemicals,</w:t>
      </w:r>
      <w:proofErr w:type="gramEnd"/>
      <w:r>
        <w:t xml:space="preserve"> entitled </w:t>
      </w:r>
      <w:r w:rsidR="00CF1D4B">
        <w:t>"</w:t>
      </w:r>
      <w:r w:rsidRPr="00786D03">
        <w:rPr>
          <w:i/>
        </w:rPr>
        <w:t>FFDCA 408(p) Order Template for Pesticide Inert Ingredients (As of September 16, 2009).</w:t>
      </w:r>
      <w:r w:rsidR="00CF1D4B">
        <w:t>"</w:t>
      </w:r>
      <w:r w:rsidR="000C6CB0">
        <w:t xml:space="preserve"> </w:t>
      </w:r>
      <w:r>
        <w:t xml:space="preserve">Attachment </w:t>
      </w:r>
      <w:proofErr w:type="gramStart"/>
      <w:r>
        <w:t>C(</w:t>
      </w:r>
      <w:proofErr w:type="gramEnd"/>
      <w:r>
        <w:t>2).</w:t>
      </w:r>
    </w:p>
    <w:p w:rsidR="000F0DF3" w:rsidRDefault="001F435B" w:rsidP="00786D03">
      <w:pPr>
        <w:ind w:left="360"/>
      </w:pPr>
      <w:r>
        <w:t xml:space="preserve">Although the </w:t>
      </w:r>
      <w:r w:rsidR="00CF1D4B">
        <w:t>agency</w:t>
      </w:r>
      <w:r>
        <w:t xml:space="preserve"> generally intends to use these templates, the individual orders will contain the necessary recipient specific details and requirements for the subject chemical.</w:t>
      </w:r>
      <w:r w:rsidR="000C6CB0">
        <w:t xml:space="preserve"> </w:t>
      </w:r>
      <w:r>
        <w:t>As such, the final individual orders that a recipient might receive may vary from these templates, as well as from other orders issued for a chemical.</w:t>
      </w:r>
    </w:p>
    <w:p w:rsidR="000F0DF3" w:rsidRDefault="001F435B" w:rsidP="00552B46">
      <w:pPr>
        <w:pStyle w:val="ListParagraph"/>
        <w:numPr>
          <w:ilvl w:val="0"/>
          <w:numId w:val="13"/>
        </w:numPr>
        <w:ind w:left="360"/>
        <w:contextualSpacing w:val="0"/>
      </w:pPr>
      <w:r w:rsidRPr="00EB5743">
        <w:rPr>
          <w:i/>
        </w:rPr>
        <w:t>Plan activities</w:t>
      </w:r>
      <w:r>
        <w:t xml:space="preserve"> – After reading the Tier 1 </w:t>
      </w:r>
      <w:r w:rsidR="00D70092">
        <w:t>order</w:t>
      </w:r>
      <w:r>
        <w:t xml:space="preserve"> they received, the recipient will plan the activities necessary to comply with the order based on their intended response to the order.</w:t>
      </w:r>
    </w:p>
    <w:p w:rsidR="001F435B" w:rsidRDefault="001F435B" w:rsidP="00552B46">
      <w:pPr>
        <w:pStyle w:val="ListParagraph"/>
        <w:numPr>
          <w:ilvl w:val="0"/>
          <w:numId w:val="13"/>
        </w:numPr>
        <w:ind w:left="360"/>
        <w:contextualSpacing w:val="0"/>
      </w:pPr>
      <w:r w:rsidRPr="0087538C">
        <w:rPr>
          <w:i/>
        </w:rPr>
        <w:t xml:space="preserve">Submit an initial response to </w:t>
      </w:r>
      <w:r w:rsidR="0062657D">
        <w:rPr>
          <w:i/>
        </w:rPr>
        <w:t>the EPA</w:t>
      </w:r>
      <w:r>
        <w:t xml:space="preserve"> – The </w:t>
      </w:r>
      <w:r w:rsidR="007B609C">
        <w:t xml:space="preserve">Tier 1 </w:t>
      </w:r>
      <w:r w:rsidR="001E640A">
        <w:t>orders</w:t>
      </w:r>
      <w:r>
        <w:t xml:space="preserve"> will direct each recipient to provide an </w:t>
      </w:r>
      <w:r w:rsidRPr="0087538C">
        <w:rPr>
          <w:b/>
        </w:rPr>
        <w:t>initial response</w:t>
      </w:r>
      <w:r>
        <w:t xml:space="preserve"> to </w:t>
      </w:r>
      <w:r w:rsidR="0062657D">
        <w:t>the EPA</w:t>
      </w:r>
      <w:r>
        <w:t xml:space="preserve"> within 90 calendar days of issuance of the order that indicates how they intend to comply with the order.</w:t>
      </w:r>
      <w:r w:rsidR="000C6CB0">
        <w:t xml:space="preserve"> </w:t>
      </w:r>
      <w:r w:rsidR="004964A1">
        <w:t>T</w:t>
      </w:r>
      <w:r>
        <w:t>he response options available to the recipient will vary depending on whether the subject chemical is a pesticide active ingredient or pesticide inert chemical.</w:t>
      </w:r>
      <w:r w:rsidR="000C6CB0">
        <w:t xml:space="preserve"> </w:t>
      </w:r>
      <w:r>
        <w:t>The various response options available to a recipient, along with the related additional activities that they may engage in specific for that response option are described in section 4(c</w:t>
      </w:r>
      <w:proofErr w:type="gramStart"/>
      <w:r>
        <w:t>)(</w:t>
      </w:r>
      <w:proofErr w:type="spellStart"/>
      <w:proofErr w:type="gramEnd"/>
      <w:r>
        <w:t>i</w:t>
      </w:r>
      <w:proofErr w:type="spellEnd"/>
      <w:r>
        <w:t>) of this ICR.</w:t>
      </w:r>
    </w:p>
    <w:p w:rsidR="000F0DF3" w:rsidRDefault="001F435B" w:rsidP="00786D03">
      <w:pPr>
        <w:ind w:left="360"/>
      </w:pPr>
      <w:r>
        <w:t xml:space="preserve">To simplify completion of this initial response within the 90 days, </w:t>
      </w:r>
      <w:r w:rsidR="00C270A7">
        <w:t>the EPA</w:t>
      </w:r>
      <w:r>
        <w:t xml:space="preserve"> has created an </w:t>
      </w:r>
      <w:r w:rsidRPr="00786D03">
        <w:rPr>
          <w:i/>
        </w:rPr>
        <w:t>Initial Response Form for Individual Order Recipients</w:t>
      </w:r>
      <w:r>
        <w:t xml:space="preserve"> </w:t>
      </w:r>
      <w:r w:rsidR="006B4926">
        <w:t>[</w:t>
      </w:r>
      <w:r w:rsidR="00873A4A">
        <w:t>s</w:t>
      </w:r>
      <w:r>
        <w:t xml:space="preserve">ee Attachment </w:t>
      </w:r>
      <w:proofErr w:type="gramStart"/>
      <w:r>
        <w:t>D(</w:t>
      </w:r>
      <w:proofErr w:type="gramEnd"/>
      <w:r>
        <w:t>1)</w:t>
      </w:r>
      <w:r w:rsidR="006B4926">
        <w:t>]</w:t>
      </w:r>
      <w:r>
        <w:t>.</w:t>
      </w:r>
      <w:r w:rsidR="000C6CB0">
        <w:t xml:space="preserve"> </w:t>
      </w:r>
      <w:r w:rsidR="00C270A7">
        <w:t>The EPA</w:t>
      </w:r>
      <w:r>
        <w:t xml:space="preserve"> intends to include this form in the order packet, pre-populated with the basic information about the recipient, the chemical covered, and the applicable test data sought. The recipient will complete the form by checking the appropriate boxes to indicate their intentions with regard to each assay listed in the </w:t>
      </w:r>
      <w:r w:rsidR="00D70092">
        <w:t>order</w:t>
      </w:r>
      <w:r>
        <w:t>, and, if applicable, attach appropriate documentation to provide a rationale and/or supporting documentation for their response.</w:t>
      </w:r>
      <w:r w:rsidR="000C6CB0">
        <w:t xml:space="preserve"> </w:t>
      </w:r>
      <w:r>
        <w:t xml:space="preserve">The response form allows for assay specific responses to provide maximum flexibility to the recipients who may wish to choose different response options for the individual assays identified in the </w:t>
      </w:r>
      <w:r w:rsidR="00D70092">
        <w:t>order</w:t>
      </w:r>
      <w:r>
        <w:t>.</w:t>
      </w:r>
      <w:r w:rsidR="000C6CB0">
        <w:t xml:space="preserve"> </w:t>
      </w:r>
      <w:r>
        <w:t xml:space="preserve">An order recipient may elect any of the response options for one or more of the assays in the </w:t>
      </w:r>
      <w:r w:rsidR="00D70092">
        <w:t>order</w:t>
      </w:r>
      <w:r>
        <w:t>, and is not limited to electing a single response for all assays, nor are they required to elect different options for each assay. For simplicity, however, the</w:t>
      </w:r>
      <w:r w:rsidR="00786D03">
        <w:t xml:space="preserve"> response form is</w:t>
      </w:r>
      <w:r>
        <w:t xml:space="preserve"> structured so that recipients indicate their responses on an assay-by-assay basis – even if the response is the same for more than one of the assays.</w:t>
      </w:r>
      <w:r w:rsidR="000C6CB0">
        <w:t xml:space="preserve"> </w:t>
      </w:r>
      <w:r>
        <w:t xml:space="preserve">For example, the recipient may submit or cite existing data to address one or more assay, indicate that they will generate the data for one or more assay, and/or indicate that the intend to form or join a consortia to provide the data for one or more of the other assays identified in the </w:t>
      </w:r>
      <w:r w:rsidR="00D70092">
        <w:t>order</w:t>
      </w:r>
      <w:r>
        <w:t>.</w:t>
      </w:r>
      <w:r w:rsidR="000C6CB0">
        <w:t xml:space="preserve"> </w:t>
      </w:r>
      <w:r>
        <w:t xml:space="preserve">OSRI may also be submitted for consideration in satisfying all of the assays in the order, the </w:t>
      </w:r>
      <w:r w:rsidR="00786D03">
        <w:t xml:space="preserve">initial response form </w:t>
      </w:r>
      <w:r>
        <w:t xml:space="preserve">includes a separate line item to indicate whether OSRI is being cited or submitted to address either </w:t>
      </w:r>
      <w:r w:rsidR="00E25AA1">
        <w:t xml:space="preserve">(A) </w:t>
      </w:r>
      <w:r>
        <w:t>a particular assay (</w:t>
      </w:r>
      <w:r w:rsidRPr="00924FAB">
        <w:rPr>
          <w:i/>
        </w:rPr>
        <w:t>i.e.</w:t>
      </w:r>
      <w:r>
        <w:t xml:space="preserve">, in </w:t>
      </w:r>
      <w:r>
        <w:lastRenderedPageBreak/>
        <w:t xml:space="preserve">part 2.1.C. of the form), or </w:t>
      </w:r>
      <w:r w:rsidRPr="00E25AA1">
        <w:t>(B)</w:t>
      </w:r>
      <w:r>
        <w:t xml:space="preserve"> to satisfy the order as a whole (</w:t>
      </w:r>
      <w:r w:rsidRPr="00924FAB">
        <w:rPr>
          <w:i/>
        </w:rPr>
        <w:t>i.e.</w:t>
      </w:r>
      <w:r>
        <w:t>, in part 2.2. of the form).</w:t>
      </w:r>
      <w:r w:rsidR="000C6CB0">
        <w:t xml:space="preserve"> </w:t>
      </w:r>
      <w:r>
        <w:t>The response option involving the submission of OSRI is described in section 4(c</w:t>
      </w:r>
      <w:proofErr w:type="gramStart"/>
      <w:r>
        <w:t>)(</w:t>
      </w:r>
      <w:proofErr w:type="spellStart"/>
      <w:proofErr w:type="gramEnd"/>
      <w:r>
        <w:t>i</w:t>
      </w:r>
      <w:proofErr w:type="spellEnd"/>
      <w:r>
        <w:t>) of this ICR.</w:t>
      </w:r>
    </w:p>
    <w:p w:rsidR="00733994" w:rsidRDefault="001F435B" w:rsidP="00786D03">
      <w:pPr>
        <w:ind w:left="360"/>
      </w:pPr>
      <w:r>
        <w:t xml:space="preserve">If the recipient intends to form or join a consortium (or task force) with other manufacturers of the chemical to provide the data for one or more of the assays identified in the </w:t>
      </w:r>
      <w:r w:rsidR="00D70092">
        <w:t>order</w:t>
      </w:r>
      <w:r>
        <w:t xml:space="preserve">, each consortium participant or potential participant is expected to submit an </w:t>
      </w:r>
      <w:r w:rsidRPr="00786D03">
        <w:rPr>
          <w:i/>
        </w:rPr>
        <w:t>Initial Response Form for Individual Order Recipients</w:t>
      </w:r>
      <w:r w:rsidR="00AA548D">
        <w:rPr>
          <w:b/>
        </w:rPr>
        <w:t xml:space="preserve"> </w:t>
      </w:r>
      <w:r w:rsidR="00BA2FCE">
        <w:t>[</w:t>
      </w:r>
      <w:r w:rsidR="00AA548D" w:rsidRPr="00AA548D">
        <w:t>Attachment D(</w:t>
      </w:r>
      <w:r w:rsidR="00AA548D">
        <w:t>1</w:t>
      </w:r>
      <w:r w:rsidR="00AA548D" w:rsidRPr="00AA548D">
        <w:t>)</w:t>
      </w:r>
      <w:r w:rsidR="00BA2FCE">
        <w:t>]</w:t>
      </w:r>
      <w:r>
        <w:t xml:space="preserve"> within 90 calendar days.</w:t>
      </w:r>
      <w:r w:rsidR="000C6CB0">
        <w:t xml:space="preserve"> </w:t>
      </w:r>
      <w:r>
        <w:t xml:space="preserve">Within 150 calendar days of issuance of the </w:t>
      </w:r>
      <w:r w:rsidR="00D70092">
        <w:t>order</w:t>
      </w:r>
      <w:r>
        <w:t xml:space="preserve">, or as part of their initial response, the designated lead for the consortium is expected to submit the </w:t>
      </w:r>
      <w:r w:rsidRPr="00786D03">
        <w:rPr>
          <w:i/>
        </w:rPr>
        <w:t>Initial Response Form for Consortium /Task Force</w:t>
      </w:r>
      <w:r>
        <w:t xml:space="preserve"> </w:t>
      </w:r>
      <w:r w:rsidR="006B4926">
        <w:t>[</w:t>
      </w:r>
      <w:r w:rsidRPr="00AA548D">
        <w:t xml:space="preserve">Attachment </w:t>
      </w:r>
      <w:r w:rsidR="00AA548D" w:rsidRPr="00AA548D">
        <w:t>D(2)</w:t>
      </w:r>
      <w:r w:rsidR="006B4926">
        <w:t>]</w:t>
      </w:r>
      <w:r>
        <w:t xml:space="preserve"> to provide the primary contact for the task force or consortium, the list of participants, and an indication of the task force or consortium</w:t>
      </w:r>
      <w:r w:rsidR="00CF1D4B">
        <w:t>'</w:t>
      </w:r>
      <w:r>
        <w:t>s planned response for each assay, along with documentation of its formation (such as a copy of the joint agreement or a written statement by all the parties that an agreement exists).</w:t>
      </w:r>
      <w:r w:rsidR="000C6CB0">
        <w:t xml:space="preserve"> </w:t>
      </w:r>
      <w:r>
        <w:t>The joint agreement to produce the data need not specify all of the terms of the final arrangement between the parties or the mechanism to resolve the terms.</w:t>
      </w:r>
    </w:p>
    <w:p w:rsidR="00733994" w:rsidRDefault="001F435B" w:rsidP="00786D03">
      <w:pPr>
        <w:ind w:left="360"/>
      </w:pPr>
      <w:r>
        <w:t xml:space="preserve">In the context of this renewal ICR, the respondents in the IC category for </w:t>
      </w:r>
      <w:r w:rsidR="00D70092">
        <w:t>order</w:t>
      </w:r>
      <w:r>
        <w:t xml:space="preserve"> </w:t>
      </w:r>
      <w:r w:rsidR="00733BBC">
        <w:t>recipients</w:t>
      </w:r>
      <w:r>
        <w:t xml:space="preserve"> are only expected to submit an individual response form, because </w:t>
      </w:r>
      <w:r w:rsidR="00C270A7">
        <w:t>the EPA</w:t>
      </w:r>
      <w:r>
        <w:t xml:space="preserve"> is assuming that the recipients of catch-up orders will join an ongoing consortium, rather than form a new one</w:t>
      </w:r>
      <w:r w:rsidR="00EE5FFA">
        <w:t xml:space="preserve"> or generate data</w:t>
      </w:r>
      <w:r>
        <w:t>.</w:t>
      </w:r>
    </w:p>
    <w:p w:rsidR="000F0DF3" w:rsidRDefault="001F435B" w:rsidP="00552B46">
      <w:pPr>
        <w:pStyle w:val="ListParagraph"/>
        <w:numPr>
          <w:ilvl w:val="0"/>
          <w:numId w:val="13"/>
        </w:numPr>
        <w:ind w:left="360"/>
        <w:contextualSpacing w:val="0"/>
      </w:pPr>
      <w:r w:rsidRPr="0087538C">
        <w:rPr>
          <w:i/>
        </w:rPr>
        <w:t>Read and discuss the protocol</w:t>
      </w:r>
      <w:r>
        <w:t xml:space="preserve"> –</w:t>
      </w:r>
      <w:r w:rsidR="004964A1">
        <w:t xml:space="preserve"> </w:t>
      </w:r>
      <w:r>
        <w:t xml:space="preserve">The </w:t>
      </w:r>
      <w:r w:rsidR="00D70092">
        <w:t>order</w:t>
      </w:r>
      <w:r>
        <w:t xml:space="preserve"> recipients will need to read the protocols for the assays identified in the </w:t>
      </w:r>
      <w:r w:rsidR="00D70092">
        <w:t>order</w:t>
      </w:r>
      <w:r>
        <w:t xml:space="preserve"> and may have questions or may need to modify one or more of the protocols for the subject chemical.</w:t>
      </w:r>
      <w:r w:rsidR="000C6CB0">
        <w:t xml:space="preserve"> </w:t>
      </w:r>
      <w:r>
        <w:t xml:space="preserve">An </w:t>
      </w:r>
      <w:r w:rsidR="00D70092">
        <w:t>order</w:t>
      </w:r>
      <w:r>
        <w:t xml:space="preserve"> recipient wishing to deviate from any of the protocols identified in the </w:t>
      </w:r>
      <w:proofErr w:type="gramStart"/>
      <w:r w:rsidR="00D70092">
        <w:t>order</w:t>
      </w:r>
      <w:r>
        <w:t>,</w:t>
      </w:r>
      <w:proofErr w:type="gramEnd"/>
      <w:r>
        <w:t xml:space="preserve"> may do so only after consultation with </w:t>
      </w:r>
      <w:r w:rsidR="00C270A7">
        <w:t>the EPA</w:t>
      </w:r>
      <w:r>
        <w:t>.</w:t>
      </w:r>
      <w:r w:rsidR="000C6CB0">
        <w:t xml:space="preserve"> </w:t>
      </w:r>
      <w:r>
        <w:t xml:space="preserve">Such requests should be submitted to </w:t>
      </w:r>
      <w:r w:rsidR="00C270A7">
        <w:t>the EPA</w:t>
      </w:r>
      <w:r>
        <w:t xml:space="preserve"> with a clear rationale and explanation of the deviation.</w:t>
      </w:r>
      <w:r w:rsidR="000C6CB0">
        <w:t xml:space="preserve"> </w:t>
      </w:r>
      <w:r>
        <w:t xml:space="preserve">All protocol variations will be reviewed by </w:t>
      </w:r>
      <w:r w:rsidR="00C270A7">
        <w:t>the EPA</w:t>
      </w:r>
      <w:r>
        <w:t xml:space="preserve"> and a response will be sent to the specific </w:t>
      </w:r>
      <w:r w:rsidR="00D70092">
        <w:t>order</w:t>
      </w:r>
      <w:r>
        <w:t xml:space="preserve"> recipient in a timely fashion.</w:t>
      </w:r>
      <w:r w:rsidR="000C6CB0">
        <w:t xml:space="preserve"> </w:t>
      </w:r>
      <w:r>
        <w:t>These procedures are consistent with current EPA practices regarding pesticide test guidelines and the data requirements in 40 CFR parts 158 and 161.</w:t>
      </w:r>
      <w:r w:rsidR="000C6CB0">
        <w:t xml:space="preserve"> </w:t>
      </w:r>
      <w:r>
        <w:t>Although this activity is expected to be primarily performed by the data generating entity, other participants in a consortium may also participate in these discussions.</w:t>
      </w:r>
    </w:p>
    <w:p w:rsidR="000F0DF3" w:rsidRDefault="001F435B" w:rsidP="00786D03">
      <w:pPr>
        <w:ind w:left="360"/>
      </w:pPr>
      <w:r>
        <w:t xml:space="preserve">If the </w:t>
      </w:r>
      <w:r w:rsidR="00D70092">
        <w:t>order</w:t>
      </w:r>
      <w:r>
        <w:t xml:space="preserve"> recipient chooses to submit or cite existing data, including other scientifically relevant information, this discussion would be focused on whether the data provided or cited follows an accepted scientific methodology or protocol, including but not limited to those presented in </w:t>
      </w:r>
      <w:r w:rsidR="00C270A7">
        <w:t>the EPA</w:t>
      </w:r>
      <w:r w:rsidR="00CF1D4B">
        <w:t>'</w:t>
      </w:r>
      <w:r>
        <w:t>s harmonized test guideline compendium</w:t>
      </w:r>
      <w:r w:rsidR="004964A1">
        <w:t>.</w:t>
      </w:r>
      <w:r w:rsidR="004964A1">
        <w:rPr>
          <w:rStyle w:val="FootnoteReference"/>
        </w:rPr>
        <w:footnoteReference w:id="11"/>
      </w:r>
      <w:r w:rsidR="000C6CB0">
        <w:t xml:space="preserve"> </w:t>
      </w:r>
      <w:r>
        <w:t xml:space="preserve">Such recipients will be expected to provide a cogent and complete rationale for why they believe the information is sufficient to satisfy part or all of the </w:t>
      </w:r>
      <w:r w:rsidR="00D70092">
        <w:t>order</w:t>
      </w:r>
      <w:r>
        <w:t>.</w:t>
      </w:r>
      <w:r w:rsidR="000C6CB0">
        <w:t xml:space="preserve"> </w:t>
      </w:r>
      <w:r w:rsidR="00C270A7">
        <w:t>The EPA</w:t>
      </w:r>
      <w:r w:rsidR="00CF1D4B">
        <w:t>'</w:t>
      </w:r>
      <w:r>
        <w:t xml:space="preserve">s decisions about whether the information satisfies part or all of the Tier 1 </w:t>
      </w:r>
      <w:r w:rsidR="00D70092">
        <w:t>order</w:t>
      </w:r>
      <w:r>
        <w:t xml:space="preserve"> will be based on the weight-of-evidence from all relevant information available to the </w:t>
      </w:r>
      <w:r w:rsidR="00CF1D4B">
        <w:t>agency</w:t>
      </w:r>
      <w:r>
        <w:t>.</w:t>
      </w:r>
    </w:p>
    <w:p w:rsidR="000F0DF3" w:rsidRDefault="001F435B" w:rsidP="00786D03">
      <w:pPr>
        <w:ind w:left="360"/>
      </w:pPr>
      <w:r>
        <w:t xml:space="preserve">In addition, the </w:t>
      </w:r>
      <w:r w:rsidR="00D70092">
        <w:t>order</w:t>
      </w:r>
      <w:r>
        <w:t xml:space="preserve"> recipient is expected to comply with the </w:t>
      </w:r>
      <w:r w:rsidR="00CF1D4B">
        <w:t>agency'</w:t>
      </w:r>
      <w:r>
        <w:t xml:space="preserve">s good laboratory practice (GLP) standards described in 40 CFR part 160, which require entities to follow certain practices when conducting studies, and, with the submission of data to </w:t>
      </w:r>
      <w:r w:rsidR="00C270A7">
        <w:t>the EPA</w:t>
      </w:r>
      <w:r>
        <w:t>, to provide a GLP compliance statement indicating</w:t>
      </w:r>
      <w:r w:rsidR="000C6CB0">
        <w:t xml:space="preserve">:  </w:t>
      </w:r>
      <w:r>
        <w:t>a)</w:t>
      </w:r>
      <w:r w:rsidR="000A47F0">
        <w:t> </w:t>
      </w:r>
      <w:r>
        <w:t>that the data were generated using GLPs; or b)</w:t>
      </w:r>
      <w:r w:rsidR="000A47F0">
        <w:t> </w:t>
      </w:r>
      <w:r>
        <w:t xml:space="preserve">describe in detail </w:t>
      </w:r>
      <w:r w:rsidR="00CF1D4B">
        <w:t>"</w:t>
      </w:r>
      <w:r>
        <w:t>all differences</w:t>
      </w:r>
      <w:r w:rsidR="00CF1D4B">
        <w:t>"</w:t>
      </w:r>
      <w:r>
        <w:t xml:space="preserve"> between the GLPs and the practices used; or c)</w:t>
      </w:r>
      <w:r w:rsidR="000A47F0">
        <w:t> </w:t>
      </w:r>
      <w:r>
        <w:t xml:space="preserve">confirm that you did not sponsor or </w:t>
      </w:r>
      <w:r>
        <w:lastRenderedPageBreak/>
        <w:t>conduct the study and do not therefore know whether the study was conducted in accordance with the GLPs.</w:t>
      </w:r>
    </w:p>
    <w:p w:rsidR="001F435B" w:rsidRDefault="001F435B" w:rsidP="00552B46">
      <w:pPr>
        <w:pStyle w:val="ListParagraph"/>
        <w:numPr>
          <w:ilvl w:val="0"/>
          <w:numId w:val="13"/>
        </w:numPr>
        <w:ind w:left="360"/>
        <w:contextualSpacing w:val="0"/>
      </w:pPr>
      <w:r w:rsidRPr="0087538C">
        <w:rPr>
          <w:i/>
        </w:rPr>
        <w:t xml:space="preserve">Generate the data </w:t>
      </w:r>
      <w:r>
        <w:t xml:space="preserve">– As indicated by the initial response, some recipients will conduct the research or administer the tests to generate the data requested in the </w:t>
      </w:r>
      <w:r w:rsidR="00D70092">
        <w:t>order</w:t>
      </w:r>
      <w:r>
        <w:t>.</w:t>
      </w:r>
      <w:r w:rsidR="000C6CB0">
        <w:t xml:space="preserve"> </w:t>
      </w:r>
      <w:r>
        <w:t>For purposes of this renewal ICR, however, recipients of the catch-up order are not expected to engage in such activities because they are expected to join with whoever has already committed to do this.</w:t>
      </w:r>
    </w:p>
    <w:p w:rsidR="001F435B" w:rsidRDefault="001F435B" w:rsidP="00786D03">
      <w:pPr>
        <w:ind w:left="360"/>
      </w:pPr>
      <w:r>
        <w:t xml:space="preserve">For the purposes of calculating paperwork burden hours and costs in this ICR, </w:t>
      </w:r>
      <w:r w:rsidR="00C270A7">
        <w:t>the EPA</w:t>
      </w:r>
      <w:r>
        <w:t xml:space="preserve"> assumed that the data generation will be performed by a contract laboratory at the request of an individual order recipient or a consortium.</w:t>
      </w:r>
      <w:r w:rsidR="000C6CB0">
        <w:t xml:space="preserve"> </w:t>
      </w:r>
      <w:r>
        <w:t xml:space="preserve">The </w:t>
      </w:r>
      <w:r w:rsidR="00CF1D4B">
        <w:t>agency</w:t>
      </w:r>
      <w:r>
        <w:t xml:space="preserve"> has no information upon which to estimate how many recipients might use a contract laboratory and how many might generate the data in house.</w:t>
      </w:r>
      <w:r w:rsidR="000C6CB0">
        <w:t xml:space="preserve"> </w:t>
      </w:r>
      <w:r>
        <w:t>Assuming that data will always be generated by a contract laboratory is consistent with the assumption used in other ICRs that involve data generation.</w:t>
      </w:r>
      <w:r w:rsidR="000C6CB0">
        <w:t xml:space="preserve"> </w:t>
      </w:r>
      <w:r>
        <w:t>In addition, as indicated by industry, many companies now outsource toxicology testing because it is less expensive than maintaining that function in-house (Ref</w:t>
      </w:r>
      <w:r w:rsidR="00466136">
        <w:t>erence</w:t>
      </w:r>
      <w:r>
        <w:t xml:space="preserve"> </w:t>
      </w:r>
      <w:r w:rsidR="00AC2756">
        <w:t>8</w:t>
      </w:r>
      <w:r>
        <w:t>, p.</w:t>
      </w:r>
      <w:r w:rsidR="00466136">
        <w:t xml:space="preserve"> </w:t>
      </w:r>
      <w:r>
        <w:t>5</w:t>
      </w:r>
      <w:r w:rsidR="00466136">
        <w:t>.</w:t>
      </w:r>
      <w:r>
        <w:t>).</w:t>
      </w:r>
      <w:r w:rsidR="000C6CB0">
        <w:t xml:space="preserve"> </w:t>
      </w:r>
      <w:r>
        <w:t>Nevertheless, only those activities imposed by the information collection request are attributable to this ICR.</w:t>
      </w:r>
      <w:r w:rsidR="000C6CB0">
        <w:t xml:space="preserve"> </w:t>
      </w:r>
      <w:r>
        <w:t>For example, the time and costs for the contract laboratory staff to travel to meet with the contracting company is not an activity imposed by the information collection request and is therefore not attributable to the ICR.</w:t>
      </w:r>
      <w:r w:rsidR="000C6CB0">
        <w:t xml:space="preserve"> </w:t>
      </w:r>
      <w:r>
        <w:t>Nor are any costs or burden related to mistakes made by the contract laboratory, such as failure to properly follow an applicable protocol, which then requires the contract laboratory to redo the study.</w:t>
      </w:r>
    </w:p>
    <w:p w:rsidR="00733994" w:rsidRDefault="001F435B" w:rsidP="00552B46">
      <w:pPr>
        <w:pStyle w:val="ListParagraph"/>
        <w:numPr>
          <w:ilvl w:val="0"/>
          <w:numId w:val="13"/>
        </w:numPr>
        <w:ind w:left="360"/>
        <w:contextualSpacing w:val="0"/>
      </w:pPr>
      <w:r w:rsidRPr="0087538C">
        <w:rPr>
          <w:i/>
        </w:rPr>
        <w:t>Report progress, compile and review the data</w:t>
      </w:r>
      <w:r>
        <w:t xml:space="preserve"> – Unless </w:t>
      </w:r>
      <w:r w:rsidR="00C270A7">
        <w:t>the EPA</w:t>
      </w:r>
      <w:r>
        <w:t xml:space="preserve"> has notified a recipient in writing that the requirements of the </w:t>
      </w:r>
      <w:r w:rsidR="00D70092">
        <w:t>order</w:t>
      </w:r>
      <w:r>
        <w:t xml:space="preserve"> have been satisfied, the </w:t>
      </w:r>
      <w:r w:rsidR="00D70092">
        <w:t>order</w:t>
      </w:r>
      <w:r>
        <w:t xml:space="preserve"> recipient will be expected to submit a progress report to </w:t>
      </w:r>
      <w:r w:rsidR="00C270A7">
        <w:t>the EPA</w:t>
      </w:r>
      <w:r>
        <w:t xml:space="preserve"> within 12 months after the issuance of the </w:t>
      </w:r>
      <w:r w:rsidR="00D70092">
        <w:t>order</w:t>
      </w:r>
      <w:r>
        <w:t>.</w:t>
      </w:r>
      <w:r w:rsidR="000C6CB0">
        <w:t xml:space="preserve"> </w:t>
      </w:r>
      <w:r>
        <w:t xml:space="preserve">The progress report should provide a brief description of the status of the planned activities for each assay, and, if applicable, a description of any problems encountered or expected difficulties in meeting the schedule for complying with the </w:t>
      </w:r>
      <w:r w:rsidR="00D70092">
        <w:t>order</w:t>
      </w:r>
      <w:r>
        <w:t>.</w:t>
      </w:r>
      <w:r w:rsidR="00601EFB" w:rsidRPr="00601EFB">
        <w:t xml:space="preserve"> Compiling and reviewing the data can include such activities such as Data Entry Spreadsheet Templates (DESTs). DESTs for the EDSP Tier 1 Battery can be found at</w:t>
      </w:r>
      <w:r w:rsidR="00367DF2">
        <w:t xml:space="preserve"> </w:t>
      </w:r>
      <w:hyperlink r:id="rId13" w:anchor="dests" w:history="1">
        <w:r w:rsidR="00601EFB" w:rsidRPr="002352AE">
          <w:rPr>
            <w:rStyle w:val="Hyperlink"/>
          </w:rPr>
          <w:t>http://www.epa.gov/endo/pubs/toresources/seps.htm#dests</w:t>
        </w:r>
      </w:hyperlink>
      <w:r w:rsidR="00601EFB" w:rsidRPr="00601EFB">
        <w:t>.</w:t>
      </w:r>
    </w:p>
    <w:p w:rsidR="000F0DF3" w:rsidRDefault="001F435B" w:rsidP="00552B46">
      <w:pPr>
        <w:pStyle w:val="ListParagraph"/>
        <w:numPr>
          <w:ilvl w:val="0"/>
          <w:numId w:val="13"/>
        </w:numPr>
        <w:ind w:left="360"/>
        <w:contextualSpacing w:val="0"/>
      </w:pPr>
      <w:r w:rsidRPr="0087538C">
        <w:rPr>
          <w:i/>
        </w:rPr>
        <w:t>Complete paperwork to assemble the submission package</w:t>
      </w:r>
      <w:r>
        <w:t xml:space="preserve"> </w:t>
      </w:r>
      <w:r w:rsidR="001E640A">
        <w:t>–</w:t>
      </w:r>
      <w:r>
        <w:t xml:space="preserve"> Those </w:t>
      </w:r>
      <w:r w:rsidR="00D70092">
        <w:t>order</w:t>
      </w:r>
      <w:r>
        <w:t xml:space="preserve"> recipients that generate the data or serve as the consortium lead will be expected to compile the data results from having performed the applicable assay(s), review the data for completeness and compliance with GLPs, and assemble the submission package in accordance with the instructions provided in the </w:t>
      </w:r>
      <w:r w:rsidR="00D70092">
        <w:t>order</w:t>
      </w:r>
      <w:r>
        <w:t>.</w:t>
      </w:r>
      <w:r w:rsidR="000C6CB0">
        <w:t xml:space="preserve"> </w:t>
      </w:r>
      <w:r>
        <w:t>In general, these are the same submission procedures as those that are currently used for submitting other data in support of a pesticide registration, with only a few modifications – such as the mailing address.</w:t>
      </w:r>
    </w:p>
    <w:p w:rsidR="000F0DF3" w:rsidRDefault="001F435B" w:rsidP="00552B46">
      <w:pPr>
        <w:pStyle w:val="ListParagraph"/>
        <w:numPr>
          <w:ilvl w:val="0"/>
          <w:numId w:val="13"/>
        </w:numPr>
        <w:ind w:left="360"/>
        <w:contextualSpacing w:val="0"/>
      </w:pPr>
      <w:r w:rsidRPr="0087538C">
        <w:rPr>
          <w:i/>
        </w:rPr>
        <w:t xml:space="preserve">Submit final data to </w:t>
      </w:r>
      <w:r w:rsidR="00C270A7">
        <w:rPr>
          <w:i/>
        </w:rPr>
        <w:t>the EPA</w:t>
      </w:r>
      <w:r>
        <w:t xml:space="preserve"> –</w:t>
      </w:r>
      <w:r w:rsidR="000C6CB0">
        <w:t xml:space="preserve"> </w:t>
      </w:r>
      <w:r>
        <w:t xml:space="preserve">The final data package is then submitted to </w:t>
      </w:r>
      <w:r w:rsidR="00C270A7">
        <w:t>the EPA</w:t>
      </w:r>
      <w:r>
        <w:t xml:space="preserve"> following the specific instructions provided in the </w:t>
      </w:r>
      <w:r w:rsidR="00D70092">
        <w:t>order</w:t>
      </w:r>
      <w:r>
        <w:t xml:space="preserve">, which will also specify the due date for final compliance with the </w:t>
      </w:r>
      <w:r w:rsidR="00D70092">
        <w:t>order</w:t>
      </w:r>
      <w:r w:rsidR="00CF1D4B">
        <w:t>'</w:t>
      </w:r>
      <w:r>
        <w:t>s request for data.</w:t>
      </w:r>
      <w:r w:rsidR="000C6CB0">
        <w:t xml:space="preserve"> </w:t>
      </w:r>
      <w:r>
        <w:t xml:space="preserve">Although the </w:t>
      </w:r>
      <w:r w:rsidR="00D70092">
        <w:t>order</w:t>
      </w:r>
      <w:r>
        <w:t xml:space="preserve"> specifies a final due date for submission of all of the data specified in the </w:t>
      </w:r>
      <w:r w:rsidR="00D70092">
        <w:t>order</w:t>
      </w:r>
      <w:r>
        <w:t xml:space="preserve">, an </w:t>
      </w:r>
      <w:r w:rsidR="00D70092">
        <w:t>order</w:t>
      </w:r>
      <w:r>
        <w:t xml:space="preserve"> recipient may either submit the data for each individual assay as it is completed, or submit the data from all of the assays at one time.</w:t>
      </w:r>
      <w:r w:rsidR="000C6CB0">
        <w:t xml:space="preserve"> </w:t>
      </w:r>
      <w:r>
        <w:t xml:space="preserve">The </w:t>
      </w:r>
      <w:r w:rsidR="00D70092">
        <w:t>order</w:t>
      </w:r>
      <w:r>
        <w:t xml:space="preserve"> recipient may also submit the data before the due date specified in the </w:t>
      </w:r>
      <w:r w:rsidR="00D70092">
        <w:t>order</w:t>
      </w:r>
      <w:r>
        <w:t>.</w:t>
      </w:r>
    </w:p>
    <w:p w:rsidR="00733994" w:rsidRDefault="001F435B" w:rsidP="00552B46">
      <w:pPr>
        <w:pStyle w:val="ListParagraph"/>
        <w:numPr>
          <w:ilvl w:val="0"/>
          <w:numId w:val="13"/>
        </w:numPr>
        <w:ind w:left="360"/>
        <w:contextualSpacing w:val="0"/>
      </w:pPr>
      <w:r w:rsidRPr="0087538C">
        <w:rPr>
          <w:i/>
        </w:rPr>
        <w:lastRenderedPageBreak/>
        <w:t>Maintain records</w:t>
      </w:r>
      <w:r>
        <w:t xml:space="preserve"> </w:t>
      </w:r>
      <w:r w:rsidR="001E640A">
        <w:t>–</w:t>
      </w:r>
      <w:r>
        <w:t xml:space="preserve"> Recipients will be asked to maintain a record of their initial response for three (3) years.</w:t>
      </w:r>
      <w:r w:rsidR="000C6CB0">
        <w:t xml:space="preserve"> </w:t>
      </w:r>
      <w:r>
        <w:t>Recipients who submit data in support of a pesticide registration will also be asked to maintain records of that data pursuant to 40</w:t>
      </w:r>
      <w:r w:rsidR="00F92A48">
        <w:t> CFR </w:t>
      </w:r>
      <w:r>
        <w:t xml:space="preserve">169.2(k), </w:t>
      </w:r>
      <w:r w:rsidRPr="00924FAB">
        <w:rPr>
          <w:i/>
        </w:rPr>
        <w:t>i.e.</w:t>
      </w:r>
      <w:r>
        <w:t>, containing research data relating to a registered pesticide for as long as the registration is valid and the producer remains in business.</w:t>
      </w:r>
    </w:p>
    <w:p w:rsidR="001F435B" w:rsidRDefault="001F435B" w:rsidP="0087538C">
      <w:pPr>
        <w:pStyle w:val="Heading4"/>
      </w:pPr>
      <w:r>
        <w:t>Distribution of Activities by Labor Categories:</w:t>
      </w:r>
    </w:p>
    <w:p w:rsidR="000F0DF3" w:rsidRDefault="001F435B" w:rsidP="00F16932">
      <w:r>
        <w:t xml:space="preserve">For purposes of estimating the potential respondent paperwork burden and costs associated with these activities, the </w:t>
      </w:r>
      <w:r w:rsidR="00CF1D4B">
        <w:t>agency</w:t>
      </w:r>
      <w:r>
        <w:t xml:space="preserve"> identified three separate labor categories</w:t>
      </w:r>
      <w:r w:rsidR="000C6CB0">
        <w:t xml:space="preserve">:  </w:t>
      </w:r>
      <w:r>
        <w:t>1)</w:t>
      </w:r>
      <w:r w:rsidR="000A47F0">
        <w:t> </w:t>
      </w:r>
      <w:r>
        <w:t>managerial; 2)</w:t>
      </w:r>
      <w:r w:rsidR="000A47F0">
        <w:t> </w:t>
      </w:r>
      <w:r>
        <w:t>technical; and 3)</w:t>
      </w:r>
      <w:r w:rsidR="001E640A">
        <w:t> </w:t>
      </w:r>
      <w:r>
        <w:t>clerical.</w:t>
      </w:r>
      <w:r w:rsidR="000C6CB0">
        <w:t xml:space="preserve"> </w:t>
      </w:r>
      <w:r>
        <w:t>Each activity identified above may involve one or more labor or duty category.</w:t>
      </w:r>
      <w:r w:rsidR="000C6CB0">
        <w:t xml:space="preserve"> </w:t>
      </w:r>
      <w:r>
        <w:t xml:space="preserve">In Table 2, the </w:t>
      </w:r>
      <w:r w:rsidR="00CF1D4B">
        <w:t>agency</w:t>
      </w:r>
      <w:r>
        <w:t xml:space="preserve"> identifies the assumed recipient activities divided between the three labor categories.</w:t>
      </w:r>
    </w:p>
    <w:p w:rsidR="0087538C" w:rsidRPr="0087538C" w:rsidRDefault="0087538C" w:rsidP="002F2414">
      <w:pPr>
        <w:pStyle w:val="TableCaption"/>
      </w:pPr>
      <w:r w:rsidRPr="0087538C">
        <w:t>Table 2 – Expected Respondent Activities by Labor Categories</w:t>
      </w:r>
    </w:p>
    <w:tbl>
      <w:tblPr>
        <w:tblStyle w:val="TableGrid"/>
        <w:tblW w:w="5000" w:type="pct"/>
        <w:tblLook w:val="04A0"/>
      </w:tblPr>
      <w:tblGrid>
        <w:gridCol w:w="1008"/>
        <w:gridCol w:w="3330"/>
        <w:gridCol w:w="3330"/>
        <w:gridCol w:w="2628"/>
      </w:tblGrid>
      <w:tr w:rsidR="0087538C" w:rsidRPr="00991ACB" w:rsidTr="007F41D7">
        <w:trPr>
          <w:cantSplit/>
          <w:tblHeader/>
        </w:trPr>
        <w:tc>
          <w:tcPr>
            <w:tcW w:w="1008" w:type="dxa"/>
            <w:shd w:val="clear" w:color="auto" w:fill="B8CCE4" w:themeFill="accent1" w:themeFillTint="66"/>
          </w:tcPr>
          <w:p w:rsidR="0087538C" w:rsidRPr="00991ACB" w:rsidRDefault="0087538C" w:rsidP="0087538C">
            <w:pPr>
              <w:spacing w:after="0"/>
              <w:jc w:val="center"/>
              <w:rPr>
                <w:b/>
                <w:sz w:val="20"/>
                <w:szCs w:val="20"/>
              </w:rPr>
            </w:pPr>
            <w:r w:rsidRPr="00991ACB">
              <w:rPr>
                <w:b/>
                <w:sz w:val="20"/>
                <w:szCs w:val="20"/>
              </w:rPr>
              <w:t>Activity</w:t>
            </w:r>
          </w:p>
        </w:tc>
        <w:tc>
          <w:tcPr>
            <w:tcW w:w="3330" w:type="dxa"/>
            <w:shd w:val="clear" w:color="auto" w:fill="B8CCE4" w:themeFill="accent1" w:themeFillTint="66"/>
          </w:tcPr>
          <w:p w:rsidR="0087538C" w:rsidRPr="00991ACB" w:rsidRDefault="007F41D7" w:rsidP="0087538C">
            <w:pPr>
              <w:spacing w:after="0"/>
              <w:rPr>
                <w:b/>
                <w:sz w:val="20"/>
                <w:szCs w:val="20"/>
              </w:rPr>
            </w:pPr>
            <w:r w:rsidRPr="00991ACB">
              <w:rPr>
                <w:b/>
                <w:sz w:val="20"/>
                <w:szCs w:val="20"/>
              </w:rPr>
              <w:t>Managerial Duties</w:t>
            </w:r>
          </w:p>
        </w:tc>
        <w:tc>
          <w:tcPr>
            <w:tcW w:w="3330" w:type="dxa"/>
            <w:shd w:val="clear" w:color="auto" w:fill="B8CCE4" w:themeFill="accent1" w:themeFillTint="66"/>
          </w:tcPr>
          <w:p w:rsidR="0087538C" w:rsidRPr="00991ACB" w:rsidRDefault="007F41D7" w:rsidP="0087538C">
            <w:pPr>
              <w:spacing w:after="0"/>
              <w:rPr>
                <w:b/>
                <w:sz w:val="20"/>
                <w:szCs w:val="20"/>
              </w:rPr>
            </w:pPr>
            <w:r w:rsidRPr="00991ACB">
              <w:rPr>
                <w:b/>
                <w:sz w:val="20"/>
                <w:szCs w:val="20"/>
              </w:rPr>
              <w:t>Technical Duties</w:t>
            </w:r>
          </w:p>
        </w:tc>
        <w:tc>
          <w:tcPr>
            <w:tcW w:w="2628" w:type="dxa"/>
            <w:shd w:val="clear" w:color="auto" w:fill="B8CCE4" w:themeFill="accent1" w:themeFillTint="66"/>
          </w:tcPr>
          <w:p w:rsidR="0087538C" w:rsidRPr="00991ACB" w:rsidRDefault="007F41D7" w:rsidP="0087538C">
            <w:pPr>
              <w:spacing w:after="0"/>
              <w:rPr>
                <w:b/>
                <w:sz w:val="20"/>
                <w:szCs w:val="20"/>
              </w:rPr>
            </w:pPr>
            <w:r w:rsidRPr="00991ACB">
              <w:rPr>
                <w:b/>
                <w:sz w:val="20"/>
                <w:szCs w:val="20"/>
              </w:rPr>
              <w:t>Clerical Duties</w:t>
            </w:r>
          </w:p>
        </w:tc>
      </w:tr>
      <w:tr w:rsidR="00B83425" w:rsidRPr="00991ACB" w:rsidTr="00D642B2">
        <w:trPr>
          <w:cantSplit/>
        </w:trPr>
        <w:tc>
          <w:tcPr>
            <w:tcW w:w="1008" w:type="dxa"/>
            <w:vMerge w:val="restart"/>
          </w:tcPr>
          <w:p w:rsidR="00B83425" w:rsidRPr="00991ACB" w:rsidRDefault="00B83425" w:rsidP="000A47F0">
            <w:pPr>
              <w:keepNext/>
              <w:spacing w:after="0"/>
              <w:jc w:val="center"/>
              <w:rPr>
                <w:sz w:val="20"/>
                <w:szCs w:val="20"/>
              </w:rPr>
            </w:pPr>
            <w:r w:rsidRPr="00991ACB">
              <w:rPr>
                <w:sz w:val="20"/>
                <w:szCs w:val="20"/>
              </w:rPr>
              <w:t>(1)</w:t>
            </w:r>
          </w:p>
        </w:tc>
        <w:tc>
          <w:tcPr>
            <w:tcW w:w="3330" w:type="dxa"/>
          </w:tcPr>
          <w:p w:rsidR="00B83425" w:rsidRPr="00991ACB" w:rsidRDefault="00B83425" w:rsidP="00B83425">
            <w:pPr>
              <w:keepNext/>
              <w:spacing w:after="0"/>
              <w:rPr>
                <w:sz w:val="20"/>
                <w:szCs w:val="20"/>
              </w:rPr>
            </w:pPr>
            <w:r w:rsidRPr="00991ACB">
              <w:rPr>
                <w:sz w:val="20"/>
                <w:szCs w:val="20"/>
              </w:rPr>
              <w:t xml:space="preserve">Read </w:t>
            </w:r>
            <w:r>
              <w:rPr>
                <w:sz w:val="20"/>
                <w:szCs w:val="20"/>
              </w:rPr>
              <w:t>the EPA'</w:t>
            </w:r>
            <w:r w:rsidRPr="00991ACB">
              <w:rPr>
                <w:sz w:val="20"/>
                <w:szCs w:val="20"/>
              </w:rPr>
              <w:t xml:space="preserve">s </w:t>
            </w:r>
            <w:r>
              <w:rPr>
                <w:sz w:val="20"/>
                <w:szCs w:val="20"/>
              </w:rPr>
              <w:t xml:space="preserve">policies and </w:t>
            </w:r>
            <w:r w:rsidRPr="00991ACB">
              <w:rPr>
                <w:sz w:val="20"/>
                <w:szCs w:val="20"/>
              </w:rPr>
              <w:t xml:space="preserve">procedures document </w:t>
            </w:r>
          </w:p>
        </w:tc>
        <w:tc>
          <w:tcPr>
            <w:tcW w:w="3330" w:type="dxa"/>
          </w:tcPr>
          <w:p w:rsidR="00B83425" w:rsidRPr="00991ACB" w:rsidRDefault="00B83425" w:rsidP="00B83425">
            <w:pPr>
              <w:keepNext/>
              <w:spacing w:after="0"/>
              <w:rPr>
                <w:sz w:val="20"/>
                <w:szCs w:val="20"/>
              </w:rPr>
            </w:pPr>
            <w:r w:rsidRPr="00991ACB">
              <w:rPr>
                <w:sz w:val="20"/>
                <w:szCs w:val="20"/>
              </w:rPr>
              <w:t xml:space="preserve">Read </w:t>
            </w:r>
            <w:r>
              <w:rPr>
                <w:sz w:val="20"/>
                <w:szCs w:val="20"/>
              </w:rPr>
              <w:t>the EPA'</w:t>
            </w:r>
            <w:r w:rsidRPr="00991ACB">
              <w:rPr>
                <w:sz w:val="20"/>
                <w:szCs w:val="20"/>
              </w:rPr>
              <w:t xml:space="preserve">s </w:t>
            </w:r>
            <w:r>
              <w:rPr>
                <w:sz w:val="20"/>
                <w:szCs w:val="20"/>
              </w:rPr>
              <w:t xml:space="preserve">policies and </w:t>
            </w:r>
            <w:r w:rsidRPr="00991ACB">
              <w:rPr>
                <w:sz w:val="20"/>
                <w:szCs w:val="20"/>
              </w:rPr>
              <w:t>procedures document</w:t>
            </w:r>
          </w:p>
        </w:tc>
        <w:tc>
          <w:tcPr>
            <w:tcW w:w="2628" w:type="dxa"/>
          </w:tcPr>
          <w:p w:rsidR="00B83425" w:rsidRPr="00991ACB" w:rsidRDefault="00B83425" w:rsidP="000A47F0">
            <w:pPr>
              <w:keepNext/>
              <w:spacing w:after="0"/>
              <w:rPr>
                <w:sz w:val="20"/>
                <w:szCs w:val="20"/>
              </w:rPr>
            </w:pPr>
          </w:p>
        </w:tc>
      </w:tr>
      <w:tr w:rsidR="00B83425" w:rsidRPr="00991ACB" w:rsidTr="00D642B2">
        <w:trPr>
          <w:cantSplit/>
        </w:trPr>
        <w:tc>
          <w:tcPr>
            <w:tcW w:w="1008" w:type="dxa"/>
            <w:vMerge/>
          </w:tcPr>
          <w:p w:rsidR="00B83425" w:rsidRPr="00991ACB" w:rsidRDefault="00B83425" w:rsidP="000A47F0">
            <w:pPr>
              <w:keepNext/>
              <w:spacing w:after="0"/>
              <w:jc w:val="center"/>
              <w:rPr>
                <w:sz w:val="20"/>
                <w:szCs w:val="20"/>
              </w:rPr>
            </w:pPr>
          </w:p>
        </w:tc>
        <w:tc>
          <w:tcPr>
            <w:tcW w:w="3330" w:type="dxa"/>
          </w:tcPr>
          <w:p w:rsidR="00B83425" w:rsidRPr="00991ACB" w:rsidRDefault="00B83425" w:rsidP="000A47F0">
            <w:pPr>
              <w:keepNext/>
              <w:spacing w:after="0"/>
              <w:rPr>
                <w:sz w:val="20"/>
                <w:szCs w:val="20"/>
              </w:rPr>
            </w:pPr>
            <w:r w:rsidRPr="00991ACB">
              <w:rPr>
                <w:sz w:val="20"/>
                <w:szCs w:val="20"/>
              </w:rPr>
              <w:t xml:space="preserve">Review the EDSP </w:t>
            </w:r>
            <w:r>
              <w:rPr>
                <w:sz w:val="20"/>
                <w:szCs w:val="20"/>
              </w:rPr>
              <w:t>order</w:t>
            </w:r>
            <w:r w:rsidRPr="00991ACB">
              <w:rPr>
                <w:sz w:val="20"/>
                <w:szCs w:val="20"/>
              </w:rPr>
              <w:t xml:space="preserve"> </w:t>
            </w:r>
          </w:p>
        </w:tc>
        <w:tc>
          <w:tcPr>
            <w:tcW w:w="3330" w:type="dxa"/>
          </w:tcPr>
          <w:p w:rsidR="00B83425" w:rsidRPr="00991ACB" w:rsidRDefault="00B83425" w:rsidP="000A47F0">
            <w:pPr>
              <w:keepNext/>
              <w:spacing w:after="0"/>
              <w:rPr>
                <w:sz w:val="20"/>
                <w:szCs w:val="20"/>
              </w:rPr>
            </w:pPr>
            <w:r w:rsidRPr="00991ACB">
              <w:rPr>
                <w:sz w:val="20"/>
                <w:szCs w:val="20"/>
              </w:rPr>
              <w:t xml:space="preserve">Review the EDSP </w:t>
            </w:r>
            <w:r>
              <w:rPr>
                <w:sz w:val="20"/>
                <w:szCs w:val="20"/>
              </w:rPr>
              <w:t>order</w:t>
            </w:r>
            <w:r w:rsidRPr="00991ACB">
              <w:rPr>
                <w:sz w:val="20"/>
                <w:szCs w:val="20"/>
              </w:rPr>
              <w:t xml:space="preserve"> </w:t>
            </w:r>
          </w:p>
        </w:tc>
        <w:tc>
          <w:tcPr>
            <w:tcW w:w="2628" w:type="dxa"/>
          </w:tcPr>
          <w:p w:rsidR="00B83425" w:rsidRPr="00991ACB" w:rsidRDefault="00B83425" w:rsidP="000A47F0">
            <w:pPr>
              <w:keepNext/>
              <w:spacing w:after="0"/>
              <w:rPr>
                <w:sz w:val="20"/>
                <w:szCs w:val="20"/>
              </w:rPr>
            </w:pPr>
          </w:p>
        </w:tc>
      </w:tr>
      <w:tr w:rsidR="00B83425" w:rsidRPr="00991ACB" w:rsidTr="00D642B2">
        <w:trPr>
          <w:cantSplit/>
        </w:trPr>
        <w:tc>
          <w:tcPr>
            <w:tcW w:w="1008" w:type="dxa"/>
            <w:vMerge w:val="restart"/>
          </w:tcPr>
          <w:p w:rsidR="00B83425" w:rsidRPr="00991ACB" w:rsidRDefault="00B83425" w:rsidP="000A47F0">
            <w:pPr>
              <w:keepNext/>
              <w:spacing w:after="0"/>
              <w:jc w:val="center"/>
              <w:rPr>
                <w:sz w:val="20"/>
                <w:szCs w:val="20"/>
              </w:rPr>
            </w:pPr>
            <w:r w:rsidRPr="00991ACB">
              <w:rPr>
                <w:sz w:val="20"/>
                <w:szCs w:val="20"/>
              </w:rPr>
              <w:t>(2)</w:t>
            </w:r>
          </w:p>
        </w:tc>
        <w:tc>
          <w:tcPr>
            <w:tcW w:w="3330" w:type="dxa"/>
          </w:tcPr>
          <w:p w:rsidR="00B83425" w:rsidRPr="00991ACB" w:rsidRDefault="00B83425" w:rsidP="000A47F0">
            <w:pPr>
              <w:keepNext/>
              <w:spacing w:after="0"/>
              <w:rPr>
                <w:sz w:val="20"/>
                <w:szCs w:val="20"/>
              </w:rPr>
            </w:pPr>
            <w:r w:rsidRPr="00991ACB">
              <w:rPr>
                <w:sz w:val="20"/>
                <w:szCs w:val="20"/>
              </w:rPr>
              <w:t xml:space="preserve">Identify timeframe for response </w:t>
            </w:r>
          </w:p>
        </w:tc>
        <w:tc>
          <w:tcPr>
            <w:tcW w:w="3330" w:type="dxa"/>
          </w:tcPr>
          <w:p w:rsidR="00B83425" w:rsidRPr="00991ACB" w:rsidRDefault="00B83425" w:rsidP="000A47F0">
            <w:pPr>
              <w:keepNext/>
              <w:spacing w:after="0"/>
              <w:rPr>
                <w:sz w:val="20"/>
                <w:szCs w:val="20"/>
              </w:rPr>
            </w:pPr>
          </w:p>
        </w:tc>
        <w:tc>
          <w:tcPr>
            <w:tcW w:w="2628" w:type="dxa"/>
          </w:tcPr>
          <w:p w:rsidR="00B83425" w:rsidRPr="00991ACB" w:rsidRDefault="00B83425" w:rsidP="000A47F0">
            <w:pPr>
              <w:keepNext/>
              <w:spacing w:after="0"/>
              <w:rPr>
                <w:sz w:val="20"/>
                <w:szCs w:val="20"/>
              </w:rPr>
            </w:pPr>
          </w:p>
        </w:tc>
      </w:tr>
      <w:tr w:rsidR="00B83425" w:rsidRPr="00991ACB" w:rsidTr="00D642B2">
        <w:trPr>
          <w:cantSplit/>
        </w:trPr>
        <w:tc>
          <w:tcPr>
            <w:tcW w:w="1008" w:type="dxa"/>
            <w:vMerge/>
          </w:tcPr>
          <w:p w:rsidR="00B83425" w:rsidRPr="00991ACB" w:rsidRDefault="00B83425" w:rsidP="000A47F0">
            <w:pPr>
              <w:keepNext/>
              <w:spacing w:after="0"/>
              <w:jc w:val="center"/>
              <w:rPr>
                <w:sz w:val="20"/>
                <w:szCs w:val="20"/>
              </w:rPr>
            </w:pPr>
          </w:p>
        </w:tc>
        <w:tc>
          <w:tcPr>
            <w:tcW w:w="3330" w:type="dxa"/>
          </w:tcPr>
          <w:p w:rsidR="00B83425" w:rsidRPr="00991ACB" w:rsidRDefault="00B83425" w:rsidP="00601EFB">
            <w:pPr>
              <w:keepNext/>
              <w:spacing w:after="0"/>
              <w:rPr>
                <w:sz w:val="20"/>
                <w:szCs w:val="20"/>
              </w:rPr>
            </w:pPr>
            <w:r w:rsidRPr="00991ACB">
              <w:rPr>
                <w:sz w:val="20"/>
                <w:szCs w:val="20"/>
              </w:rPr>
              <w:t>Identify</w:t>
            </w:r>
            <w:r>
              <w:rPr>
                <w:sz w:val="20"/>
                <w:szCs w:val="20"/>
              </w:rPr>
              <w:t xml:space="preserve"> and </w:t>
            </w:r>
            <w:r w:rsidRPr="00991ACB">
              <w:rPr>
                <w:sz w:val="20"/>
                <w:szCs w:val="20"/>
              </w:rPr>
              <w:t xml:space="preserve">evaluate response options </w:t>
            </w:r>
          </w:p>
        </w:tc>
        <w:tc>
          <w:tcPr>
            <w:tcW w:w="3330" w:type="dxa"/>
          </w:tcPr>
          <w:p w:rsidR="00B83425" w:rsidRPr="00991ACB" w:rsidRDefault="00B83425" w:rsidP="00601EFB">
            <w:pPr>
              <w:keepNext/>
              <w:spacing w:after="0"/>
              <w:rPr>
                <w:sz w:val="20"/>
                <w:szCs w:val="20"/>
              </w:rPr>
            </w:pPr>
            <w:r w:rsidRPr="00991ACB">
              <w:rPr>
                <w:sz w:val="20"/>
                <w:szCs w:val="20"/>
              </w:rPr>
              <w:t xml:space="preserve">Evaluate response options </w:t>
            </w:r>
          </w:p>
        </w:tc>
        <w:tc>
          <w:tcPr>
            <w:tcW w:w="2628" w:type="dxa"/>
          </w:tcPr>
          <w:p w:rsidR="00B83425" w:rsidRPr="00991ACB" w:rsidRDefault="00B83425" w:rsidP="00601EFB">
            <w:pPr>
              <w:keepNext/>
              <w:spacing w:after="0"/>
              <w:rPr>
                <w:sz w:val="20"/>
                <w:szCs w:val="20"/>
              </w:rPr>
            </w:pPr>
          </w:p>
        </w:tc>
      </w:tr>
      <w:tr w:rsidR="00B83425" w:rsidRPr="00991ACB" w:rsidTr="00D642B2">
        <w:trPr>
          <w:cantSplit/>
        </w:trPr>
        <w:tc>
          <w:tcPr>
            <w:tcW w:w="1008" w:type="dxa"/>
            <w:vMerge/>
          </w:tcPr>
          <w:p w:rsidR="00B83425" w:rsidRPr="00991ACB" w:rsidRDefault="00B83425" w:rsidP="000A47F0">
            <w:pPr>
              <w:keepNext/>
              <w:spacing w:after="0"/>
              <w:jc w:val="center"/>
              <w:rPr>
                <w:sz w:val="20"/>
                <w:szCs w:val="20"/>
              </w:rPr>
            </w:pPr>
          </w:p>
        </w:tc>
        <w:tc>
          <w:tcPr>
            <w:tcW w:w="3330" w:type="dxa"/>
          </w:tcPr>
          <w:p w:rsidR="00B83425" w:rsidRPr="00991ACB" w:rsidRDefault="00B83425" w:rsidP="00601EFB">
            <w:pPr>
              <w:keepNext/>
              <w:spacing w:after="0"/>
              <w:rPr>
                <w:sz w:val="20"/>
                <w:szCs w:val="20"/>
              </w:rPr>
            </w:pPr>
            <w:r w:rsidRPr="00991ACB">
              <w:rPr>
                <w:sz w:val="20"/>
                <w:szCs w:val="20"/>
              </w:rPr>
              <w:t xml:space="preserve">Plan activities </w:t>
            </w:r>
          </w:p>
        </w:tc>
        <w:tc>
          <w:tcPr>
            <w:tcW w:w="3330" w:type="dxa"/>
          </w:tcPr>
          <w:p w:rsidR="00B83425" w:rsidRPr="00991ACB" w:rsidRDefault="00B83425" w:rsidP="00601EFB">
            <w:pPr>
              <w:keepNext/>
              <w:spacing w:after="0"/>
              <w:rPr>
                <w:sz w:val="20"/>
                <w:szCs w:val="20"/>
              </w:rPr>
            </w:pPr>
          </w:p>
        </w:tc>
        <w:tc>
          <w:tcPr>
            <w:tcW w:w="2628" w:type="dxa"/>
          </w:tcPr>
          <w:p w:rsidR="00B83425" w:rsidRPr="00991ACB" w:rsidRDefault="00B83425" w:rsidP="00601EFB">
            <w:pPr>
              <w:keepNext/>
              <w:spacing w:after="0"/>
              <w:rPr>
                <w:sz w:val="20"/>
                <w:szCs w:val="20"/>
              </w:rPr>
            </w:pPr>
          </w:p>
        </w:tc>
      </w:tr>
      <w:tr w:rsidR="00B83425" w:rsidRPr="00991ACB" w:rsidTr="00D642B2">
        <w:trPr>
          <w:cantSplit/>
        </w:trPr>
        <w:tc>
          <w:tcPr>
            <w:tcW w:w="1008" w:type="dxa"/>
            <w:vMerge/>
          </w:tcPr>
          <w:p w:rsidR="00B83425" w:rsidRPr="00991ACB" w:rsidRDefault="00B83425" w:rsidP="000A47F0">
            <w:pPr>
              <w:keepNext/>
              <w:spacing w:after="0"/>
              <w:jc w:val="center"/>
              <w:rPr>
                <w:sz w:val="20"/>
                <w:szCs w:val="20"/>
              </w:rPr>
            </w:pPr>
          </w:p>
        </w:tc>
        <w:tc>
          <w:tcPr>
            <w:tcW w:w="3330" w:type="dxa"/>
          </w:tcPr>
          <w:p w:rsidR="00B83425" w:rsidRPr="00991ACB" w:rsidRDefault="00B83425" w:rsidP="000A47F0">
            <w:pPr>
              <w:keepNext/>
              <w:spacing w:after="0"/>
              <w:rPr>
                <w:sz w:val="20"/>
                <w:szCs w:val="20"/>
              </w:rPr>
            </w:pPr>
            <w:r w:rsidRPr="00991ACB">
              <w:rPr>
                <w:sz w:val="20"/>
                <w:szCs w:val="20"/>
              </w:rPr>
              <w:t xml:space="preserve">Negotiate/establish consortium/ task force agreements </w:t>
            </w:r>
          </w:p>
        </w:tc>
        <w:tc>
          <w:tcPr>
            <w:tcW w:w="3330" w:type="dxa"/>
          </w:tcPr>
          <w:p w:rsidR="00B83425" w:rsidRPr="00991ACB" w:rsidRDefault="00B83425" w:rsidP="000A47F0">
            <w:pPr>
              <w:keepNext/>
              <w:spacing w:after="0"/>
              <w:rPr>
                <w:sz w:val="20"/>
                <w:szCs w:val="20"/>
              </w:rPr>
            </w:pPr>
            <w:r w:rsidRPr="00991ACB">
              <w:rPr>
                <w:sz w:val="20"/>
                <w:szCs w:val="20"/>
              </w:rPr>
              <w:t xml:space="preserve">Participate in consortium/ task force discussions </w:t>
            </w:r>
          </w:p>
        </w:tc>
        <w:tc>
          <w:tcPr>
            <w:tcW w:w="2628" w:type="dxa"/>
          </w:tcPr>
          <w:p w:rsidR="00B83425" w:rsidRPr="00991ACB" w:rsidRDefault="00B83425" w:rsidP="000A47F0">
            <w:pPr>
              <w:keepNext/>
              <w:spacing w:after="0"/>
              <w:rPr>
                <w:sz w:val="20"/>
                <w:szCs w:val="20"/>
              </w:rPr>
            </w:pP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(3)</w:t>
            </w:r>
          </w:p>
        </w:tc>
        <w:tc>
          <w:tcPr>
            <w:tcW w:w="3330" w:type="dxa"/>
          </w:tcPr>
          <w:p w:rsidR="00B83425" w:rsidRPr="00991ACB" w:rsidRDefault="00B83425" w:rsidP="00601EFB">
            <w:pPr>
              <w:keepNext/>
              <w:spacing w:after="0"/>
              <w:rPr>
                <w:sz w:val="20"/>
                <w:szCs w:val="20"/>
              </w:rPr>
            </w:pPr>
            <w:r w:rsidRPr="00991ACB">
              <w:rPr>
                <w:sz w:val="20"/>
                <w:szCs w:val="20"/>
              </w:rPr>
              <w:t xml:space="preserve">Determine response </w:t>
            </w:r>
          </w:p>
        </w:tc>
        <w:tc>
          <w:tcPr>
            <w:tcW w:w="3330" w:type="dxa"/>
          </w:tcPr>
          <w:p w:rsidR="00B83425" w:rsidRPr="00991ACB" w:rsidRDefault="00B83425" w:rsidP="00601EFB">
            <w:pPr>
              <w:keepNext/>
              <w:spacing w:after="0"/>
              <w:rPr>
                <w:sz w:val="20"/>
                <w:szCs w:val="20"/>
              </w:rPr>
            </w:pPr>
            <w:r w:rsidRPr="00991ACB">
              <w:rPr>
                <w:sz w:val="20"/>
                <w:szCs w:val="20"/>
              </w:rPr>
              <w:t xml:space="preserve">Recommend a response </w:t>
            </w:r>
          </w:p>
        </w:tc>
        <w:tc>
          <w:tcPr>
            <w:tcW w:w="2628" w:type="dxa"/>
          </w:tcPr>
          <w:p w:rsidR="00B83425" w:rsidRPr="00991ACB" w:rsidRDefault="00B83425" w:rsidP="00601EFB">
            <w:pPr>
              <w:keepNext/>
              <w:spacing w:after="0"/>
              <w:rPr>
                <w:sz w:val="20"/>
                <w:szCs w:val="20"/>
              </w:rPr>
            </w:pP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Oversee employee activities </w:t>
            </w:r>
          </w:p>
        </w:tc>
        <w:tc>
          <w:tcPr>
            <w:tcW w:w="3330" w:type="dxa"/>
          </w:tcPr>
          <w:p w:rsidR="00B83425" w:rsidRPr="00991ACB" w:rsidRDefault="00B83425" w:rsidP="0087538C">
            <w:pPr>
              <w:spacing w:after="0"/>
              <w:rPr>
                <w:sz w:val="20"/>
                <w:szCs w:val="20"/>
              </w:rPr>
            </w:pPr>
          </w:p>
        </w:tc>
        <w:tc>
          <w:tcPr>
            <w:tcW w:w="2628" w:type="dxa"/>
          </w:tcPr>
          <w:p w:rsidR="00B83425" w:rsidRPr="00991ACB" w:rsidRDefault="00B83425" w:rsidP="0087538C">
            <w:pPr>
              <w:spacing w:after="0"/>
              <w:rPr>
                <w:sz w:val="20"/>
                <w:szCs w:val="20"/>
              </w:rPr>
            </w:pPr>
            <w:r w:rsidRPr="00991ACB">
              <w:rPr>
                <w:sz w:val="20"/>
                <w:szCs w:val="20"/>
              </w:rPr>
              <w:t xml:space="preserve">Complete response form </w:t>
            </w: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Sign initial response forms </w:t>
            </w:r>
          </w:p>
        </w:tc>
        <w:tc>
          <w:tcPr>
            <w:tcW w:w="3330" w:type="dxa"/>
          </w:tcPr>
          <w:p w:rsidR="00B83425" w:rsidRPr="00991ACB" w:rsidRDefault="00B83425" w:rsidP="0087538C">
            <w:pPr>
              <w:spacing w:after="0"/>
              <w:rPr>
                <w:sz w:val="20"/>
                <w:szCs w:val="20"/>
              </w:rPr>
            </w:pPr>
          </w:p>
        </w:tc>
        <w:tc>
          <w:tcPr>
            <w:tcW w:w="2628" w:type="dxa"/>
          </w:tcPr>
          <w:p w:rsidR="00B83425" w:rsidRPr="00991ACB" w:rsidRDefault="00B83425" w:rsidP="0087538C">
            <w:pPr>
              <w:spacing w:after="0"/>
              <w:rPr>
                <w:sz w:val="20"/>
                <w:szCs w:val="20"/>
              </w:rPr>
            </w:pPr>
            <w:r w:rsidRPr="00991ACB">
              <w:rPr>
                <w:sz w:val="20"/>
                <w:szCs w:val="20"/>
              </w:rPr>
              <w:t xml:space="preserve">Send to </w:t>
            </w:r>
            <w:r>
              <w:rPr>
                <w:sz w:val="20"/>
                <w:szCs w:val="20"/>
              </w:rPr>
              <w:t>the EPA</w:t>
            </w:r>
            <w:r w:rsidRPr="00991ACB">
              <w:rPr>
                <w:sz w:val="20"/>
                <w:szCs w:val="20"/>
              </w:rPr>
              <w:t xml:space="preserve"> </w:t>
            </w: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(4)</w:t>
            </w:r>
          </w:p>
        </w:tc>
        <w:tc>
          <w:tcPr>
            <w:tcW w:w="3330" w:type="dxa"/>
            <w:vMerge w:val="restart"/>
          </w:tcPr>
          <w:p w:rsidR="00B83425" w:rsidRPr="00991ACB" w:rsidRDefault="00B83425" w:rsidP="00601EFB">
            <w:pPr>
              <w:keepNext/>
              <w:spacing w:after="0"/>
              <w:rPr>
                <w:sz w:val="20"/>
                <w:szCs w:val="20"/>
              </w:rPr>
            </w:pPr>
            <w:r w:rsidRPr="00991ACB">
              <w:rPr>
                <w:sz w:val="20"/>
                <w:szCs w:val="20"/>
              </w:rPr>
              <w:t xml:space="preserve">Communicate with </w:t>
            </w:r>
            <w:r>
              <w:rPr>
                <w:sz w:val="20"/>
                <w:szCs w:val="20"/>
              </w:rPr>
              <w:t>the EPA</w:t>
            </w:r>
            <w:r w:rsidRPr="00991ACB">
              <w:rPr>
                <w:sz w:val="20"/>
                <w:szCs w:val="20"/>
              </w:rPr>
              <w:t xml:space="preserve"> </w:t>
            </w:r>
          </w:p>
        </w:tc>
        <w:tc>
          <w:tcPr>
            <w:tcW w:w="3330" w:type="dxa"/>
          </w:tcPr>
          <w:p w:rsidR="00B83425" w:rsidRPr="00991ACB" w:rsidRDefault="00B83425" w:rsidP="00601EFB">
            <w:pPr>
              <w:keepNext/>
              <w:spacing w:after="0"/>
              <w:rPr>
                <w:sz w:val="20"/>
                <w:szCs w:val="20"/>
              </w:rPr>
            </w:pPr>
            <w:r w:rsidRPr="00991ACB">
              <w:rPr>
                <w:sz w:val="20"/>
                <w:szCs w:val="20"/>
              </w:rPr>
              <w:t xml:space="preserve">Review of protocol (deviations) </w:t>
            </w:r>
          </w:p>
        </w:tc>
        <w:tc>
          <w:tcPr>
            <w:tcW w:w="2628" w:type="dxa"/>
            <w:vMerge w:val="restart"/>
          </w:tcPr>
          <w:p w:rsidR="00B83425" w:rsidRPr="00991ACB" w:rsidRDefault="00B83425" w:rsidP="00601EFB">
            <w:pPr>
              <w:keepNext/>
              <w:spacing w:after="0"/>
              <w:rPr>
                <w:sz w:val="20"/>
                <w:szCs w:val="20"/>
              </w:rPr>
            </w:pPr>
            <w:r w:rsidRPr="00991ACB">
              <w:rPr>
                <w:sz w:val="20"/>
                <w:szCs w:val="20"/>
              </w:rPr>
              <w:t xml:space="preserve">Arrange logistics for calls or meetings with </w:t>
            </w:r>
            <w:r>
              <w:rPr>
                <w:sz w:val="20"/>
                <w:szCs w:val="20"/>
              </w:rPr>
              <w:t>the EPA</w:t>
            </w: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vMerge/>
          </w:tcPr>
          <w:p w:rsidR="00B83425" w:rsidRPr="00991ACB" w:rsidRDefault="00B83425" w:rsidP="0087538C">
            <w:pPr>
              <w:spacing w:after="0"/>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Review GLPs (deviations) </w:t>
            </w:r>
          </w:p>
        </w:tc>
        <w:tc>
          <w:tcPr>
            <w:tcW w:w="2628" w:type="dxa"/>
            <w:vMerge/>
          </w:tcPr>
          <w:p w:rsidR="00B83425" w:rsidRPr="00991ACB" w:rsidRDefault="00B83425" w:rsidP="0087538C">
            <w:pPr>
              <w:spacing w:after="0"/>
              <w:rPr>
                <w:sz w:val="20"/>
                <w:szCs w:val="20"/>
              </w:rPr>
            </w:pP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vMerge/>
          </w:tcPr>
          <w:p w:rsidR="00B83425" w:rsidRPr="00991ACB" w:rsidRDefault="00B83425" w:rsidP="0087538C">
            <w:pPr>
              <w:spacing w:after="0"/>
              <w:rPr>
                <w:sz w:val="20"/>
                <w:szCs w:val="20"/>
              </w:rPr>
            </w:pPr>
          </w:p>
        </w:tc>
        <w:tc>
          <w:tcPr>
            <w:tcW w:w="3330" w:type="dxa"/>
          </w:tcPr>
          <w:p w:rsidR="00B83425" w:rsidRPr="00991ACB" w:rsidRDefault="00B83425" w:rsidP="0087538C">
            <w:pPr>
              <w:spacing w:after="0"/>
              <w:rPr>
                <w:sz w:val="20"/>
                <w:szCs w:val="20"/>
              </w:rPr>
            </w:pPr>
            <w:r w:rsidRPr="00991ACB">
              <w:rPr>
                <w:sz w:val="20"/>
                <w:szCs w:val="20"/>
              </w:rPr>
              <w:t>Identify</w:t>
            </w:r>
            <w:r>
              <w:rPr>
                <w:sz w:val="20"/>
                <w:szCs w:val="20"/>
              </w:rPr>
              <w:t xml:space="preserve"> and </w:t>
            </w:r>
            <w:r w:rsidRPr="00991ACB">
              <w:rPr>
                <w:sz w:val="20"/>
                <w:szCs w:val="20"/>
              </w:rPr>
              <w:t>discuss other scientifically relevant information</w:t>
            </w:r>
            <w:r>
              <w:rPr>
                <w:sz w:val="20"/>
                <w:szCs w:val="20"/>
              </w:rPr>
              <w:t xml:space="preserve"> and </w:t>
            </w:r>
            <w:r w:rsidRPr="00991ACB">
              <w:rPr>
                <w:sz w:val="20"/>
                <w:szCs w:val="20"/>
              </w:rPr>
              <w:t xml:space="preserve">related protocol &amp;/or GLP deviations </w:t>
            </w:r>
          </w:p>
        </w:tc>
        <w:tc>
          <w:tcPr>
            <w:tcW w:w="2628" w:type="dxa"/>
            <w:vMerge/>
          </w:tcPr>
          <w:p w:rsidR="00B83425" w:rsidRPr="00991ACB" w:rsidRDefault="00B83425" w:rsidP="0087538C">
            <w:pPr>
              <w:spacing w:after="0"/>
              <w:rPr>
                <w:sz w:val="20"/>
                <w:szCs w:val="20"/>
              </w:rPr>
            </w:pP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(5)</w:t>
            </w:r>
          </w:p>
        </w:tc>
        <w:tc>
          <w:tcPr>
            <w:tcW w:w="3330" w:type="dxa"/>
          </w:tcPr>
          <w:p w:rsidR="00B83425" w:rsidRPr="00991ACB" w:rsidRDefault="00B83425" w:rsidP="00601EFB">
            <w:pPr>
              <w:keepNext/>
              <w:spacing w:after="0"/>
              <w:rPr>
                <w:sz w:val="20"/>
                <w:szCs w:val="20"/>
              </w:rPr>
            </w:pPr>
            <w:r w:rsidRPr="00991ACB">
              <w:rPr>
                <w:sz w:val="20"/>
                <w:szCs w:val="20"/>
              </w:rPr>
              <w:t xml:space="preserve">Plan/oversee employee and contract activities </w:t>
            </w:r>
          </w:p>
        </w:tc>
        <w:tc>
          <w:tcPr>
            <w:tcW w:w="3330" w:type="dxa"/>
          </w:tcPr>
          <w:p w:rsidR="00B83425" w:rsidRPr="00991ACB" w:rsidRDefault="00B83425" w:rsidP="00601EFB">
            <w:pPr>
              <w:keepNext/>
              <w:spacing w:after="0"/>
              <w:rPr>
                <w:sz w:val="20"/>
                <w:szCs w:val="20"/>
              </w:rPr>
            </w:pPr>
            <w:r w:rsidRPr="00991ACB">
              <w:rPr>
                <w:sz w:val="20"/>
                <w:szCs w:val="20"/>
              </w:rPr>
              <w:t xml:space="preserve">Plan the data collection activities using the approved protocols </w:t>
            </w:r>
          </w:p>
        </w:tc>
        <w:tc>
          <w:tcPr>
            <w:tcW w:w="2628" w:type="dxa"/>
          </w:tcPr>
          <w:p w:rsidR="00B83425" w:rsidRPr="00991ACB" w:rsidRDefault="00B83425" w:rsidP="00601EFB">
            <w:pPr>
              <w:keepNext/>
              <w:spacing w:after="0"/>
              <w:rPr>
                <w:sz w:val="20"/>
                <w:szCs w:val="20"/>
              </w:rPr>
            </w:pP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Secure contract lab services and approve statement of work (SOW) </w:t>
            </w:r>
          </w:p>
        </w:tc>
        <w:tc>
          <w:tcPr>
            <w:tcW w:w="3330" w:type="dxa"/>
          </w:tcPr>
          <w:p w:rsidR="00B83425" w:rsidRPr="00991ACB" w:rsidRDefault="00B83425" w:rsidP="0087538C">
            <w:pPr>
              <w:spacing w:after="0"/>
              <w:rPr>
                <w:sz w:val="20"/>
                <w:szCs w:val="20"/>
              </w:rPr>
            </w:pPr>
            <w:r w:rsidRPr="00991ACB">
              <w:rPr>
                <w:sz w:val="20"/>
                <w:szCs w:val="20"/>
              </w:rPr>
              <w:t>Conduct the tests, using protocols</w:t>
            </w:r>
            <w:r>
              <w:rPr>
                <w:sz w:val="20"/>
                <w:szCs w:val="20"/>
              </w:rPr>
              <w:t xml:space="preserve"> and </w:t>
            </w:r>
            <w:r w:rsidRPr="00991ACB">
              <w:rPr>
                <w:sz w:val="20"/>
                <w:szCs w:val="20"/>
              </w:rPr>
              <w:t xml:space="preserve">GLPs </w:t>
            </w:r>
          </w:p>
        </w:tc>
        <w:tc>
          <w:tcPr>
            <w:tcW w:w="2628" w:type="dxa"/>
          </w:tcPr>
          <w:p w:rsidR="00B83425" w:rsidRPr="00991ACB" w:rsidRDefault="00B83425" w:rsidP="0087538C">
            <w:pPr>
              <w:spacing w:after="0"/>
              <w:rPr>
                <w:sz w:val="20"/>
                <w:szCs w:val="20"/>
              </w:rPr>
            </w:pP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Communicate with </w:t>
            </w:r>
            <w:r>
              <w:rPr>
                <w:sz w:val="20"/>
                <w:szCs w:val="20"/>
              </w:rPr>
              <w:t>the EPA</w:t>
            </w:r>
            <w:r w:rsidRPr="00991ACB">
              <w:rPr>
                <w:sz w:val="20"/>
                <w:szCs w:val="20"/>
              </w:rPr>
              <w:t xml:space="preserve">, as appropriate </w:t>
            </w:r>
          </w:p>
        </w:tc>
        <w:tc>
          <w:tcPr>
            <w:tcW w:w="3330" w:type="dxa"/>
          </w:tcPr>
          <w:p w:rsidR="00B83425" w:rsidRPr="00991ACB" w:rsidRDefault="00B83425" w:rsidP="0087538C">
            <w:pPr>
              <w:spacing w:after="0"/>
              <w:rPr>
                <w:sz w:val="20"/>
                <w:szCs w:val="20"/>
              </w:rPr>
            </w:pPr>
            <w:r w:rsidRPr="00991ACB">
              <w:rPr>
                <w:sz w:val="20"/>
                <w:szCs w:val="20"/>
              </w:rPr>
              <w:t xml:space="preserve">Maintain records and procedures during testing period in accordance with the GLPs </w:t>
            </w:r>
          </w:p>
        </w:tc>
        <w:tc>
          <w:tcPr>
            <w:tcW w:w="2628" w:type="dxa"/>
          </w:tcPr>
          <w:p w:rsidR="00B83425" w:rsidRPr="00991ACB" w:rsidRDefault="00B83425" w:rsidP="0087538C">
            <w:pPr>
              <w:spacing w:after="0"/>
              <w:rPr>
                <w:sz w:val="20"/>
                <w:szCs w:val="20"/>
              </w:rPr>
            </w:pPr>
            <w:r w:rsidRPr="00991ACB">
              <w:rPr>
                <w:sz w:val="20"/>
                <w:szCs w:val="20"/>
              </w:rPr>
              <w:t xml:space="preserve">Assist in preparing files </w:t>
            </w: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(6)</w:t>
            </w:r>
          </w:p>
        </w:tc>
        <w:tc>
          <w:tcPr>
            <w:tcW w:w="3330" w:type="dxa"/>
          </w:tcPr>
          <w:p w:rsidR="00B83425" w:rsidRPr="00991ACB" w:rsidRDefault="00B83425" w:rsidP="00601EFB">
            <w:pPr>
              <w:keepNext/>
              <w:spacing w:after="0"/>
              <w:rPr>
                <w:sz w:val="20"/>
                <w:szCs w:val="20"/>
              </w:rPr>
            </w:pPr>
            <w:r w:rsidRPr="00991ACB">
              <w:rPr>
                <w:sz w:val="20"/>
                <w:szCs w:val="20"/>
              </w:rPr>
              <w:t xml:space="preserve">Review final report(s) </w:t>
            </w:r>
          </w:p>
        </w:tc>
        <w:tc>
          <w:tcPr>
            <w:tcW w:w="3330" w:type="dxa"/>
          </w:tcPr>
          <w:p w:rsidR="00B83425" w:rsidRPr="00991ACB" w:rsidRDefault="00B83425" w:rsidP="00601EFB">
            <w:pPr>
              <w:keepNext/>
              <w:spacing w:after="0"/>
              <w:rPr>
                <w:sz w:val="20"/>
                <w:szCs w:val="20"/>
              </w:rPr>
            </w:pPr>
            <w:r w:rsidRPr="00991ACB">
              <w:rPr>
                <w:sz w:val="20"/>
                <w:szCs w:val="20"/>
              </w:rPr>
              <w:t>Compile</w:t>
            </w:r>
            <w:r>
              <w:rPr>
                <w:sz w:val="20"/>
                <w:szCs w:val="20"/>
              </w:rPr>
              <w:t xml:space="preserve"> and </w:t>
            </w:r>
            <w:r w:rsidRPr="00991ACB">
              <w:rPr>
                <w:sz w:val="20"/>
                <w:szCs w:val="20"/>
              </w:rPr>
              <w:t xml:space="preserve">review data </w:t>
            </w:r>
          </w:p>
        </w:tc>
        <w:tc>
          <w:tcPr>
            <w:tcW w:w="2628" w:type="dxa"/>
          </w:tcPr>
          <w:p w:rsidR="00B83425" w:rsidRPr="00991ACB" w:rsidRDefault="00B83425" w:rsidP="00601EFB">
            <w:pPr>
              <w:keepNext/>
              <w:spacing w:after="0"/>
              <w:rPr>
                <w:sz w:val="20"/>
                <w:szCs w:val="20"/>
              </w:rPr>
            </w:pP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Prepare final data reports </w:t>
            </w:r>
          </w:p>
        </w:tc>
        <w:tc>
          <w:tcPr>
            <w:tcW w:w="2628" w:type="dxa"/>
          </w:tcPr>
          <w:p w:rsidR="00B83425" w:rsidRPr="00991ACB" w:rsidRDefault="00B83425" w:rsidP="0087538C">
            <w:pPr>
              <w:spacing w:after="0"/>
              <w:rPr>
                <w:sz w:val="20"/>
                <w:szCs w:val="20"/>
              </w:rPr>
            </w:pP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(7)</w:t>
            </w:r>
          </w:p>
        </w:tc>
        <w:tc>
          <w:tcPr>
            <w:tcW w:w="3330" w:type="dxa"/>
          </w:tcPr>
          <w:p w:rsidR="00B83425" w:rsidRPr="00991ACB" w:rsidRDefault="00B83425" w:rsidP="00601EFB">
            <w:pPr>
              <w:keepNext/>
              <w:spacing w:after="0"/>
              <w:rPr>
                <w:sz w:val="20"/>
                <w:szCs w:val="20"/>
              </w:rPr>
            </w:pPr>
            <w:r w:rsidRPr="00991ACB">
              <w:rPr>
                <w:sz w:val="20"/>
                <w:szCs w:val="20"/>
              </w:rPr>
              <w:t xml:space="preserve">Approve final submission package </w:t>
            </w:r>
          </w:p>
        </w:tc>
        <w:tc>
          <w:tcPr>
            <w:tcW w:w="3330" w:type="dxa"/>
          </w:tcPr>
          <w:p w:rsidR="00B83425" w:rsidRPr="00991ACB" w:rsidRDefault="00B83425" w:rsidP="00601EFB">
            <w:pPr>
              <w:keepNext/>
              <w:spacing w:after="0"/>
              <w:rPr>
                <w:sz w:val="20"/>
                <w:szCs w:val="20"/>
              </w:rPr>
            </w:pPr>
            <w:r w:rsidRPr="00991ACB">
              <w:rPr>
                <w:sz w:val="20"/>
                <w:szCs w:val="20"/>
              </w:rPr>
              <w:t xml:space="preserve">Draft summary of the data for cover letter </w:t>
            </w:r>
          </w:p>
        </w:tc>
        <w:tc>
          <w:tcPr>
            <w:tcW w:w="2628" w:type="dxa"/>
          </w:tcPr>
          <w:p w:rsidR="00B83425" w:rsidRPr="00991ACB" w:rsidRDefault="00B83425" w:rsidP="00601EFB">
            <w:pPr>
              <w:keepNext/>
              <w:spacing w:after="0"/>
              <w:rPr>
                <w:sz w:val="20"/>
                <w:szCs w:val="20"/>
              </w:rPr>
            </w:pPr>
            <w:r w:rsidRPr="00991ACB">
              <w:rPr>
                <w:sz w:val="20"/>
                <w:szCs w:val="20"/>
              </w:rPr>
              <w:t xml:space="preserve">Prepare final submission package </w:t>
            </w: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p>
        </w:tc>
        <w:tc>
          <w:tcPr>
            <w:tcW w:w="3330" w:type="dxa"/>
          </w:tcPr>
          <w:p w:rsidR="00B83425" w:rsidRPr="00991ACB" w:rsidRDefault="00B83425" w:rsidP="0087538C">
            <w:pPr>
              <w:spacing w:after="0"/>
              <w:rPr>
                <w:sz w:val="20"/>
                <w:szCs w:val="20"/>
              </w:rPr>
            </w:pPr>
            <w:r w:rsidRPr="00991ACB">
              <w:rPr>
                <w:sz w:val="20"/>
                <w:szCs w:val="20"/>
              </w:rPr>
              <w:t xml:space="preserve">Review final submission package </w:t>
            </w:r>
          </w:p>
        </w:tc>
        <w:tc>
          <w:tcPr>
            <w:tcW w:w="2628" w:type="dxa"/>
          </w:tcPr>
          <w:p w:rsidR="00B83425" w:rsidRPr="00991ACB" w:rsidRDefault="00B83425" w:rsidP="0087538C">
            <w:pPr>
              <w:spacing w:after="0"/>
              <w:rPr>
                <w:sz w:val="20"/>
                <w:szCs w:val="20"/>
              </w:rPr>
            </w:pPr>
          </w:p>
        </w:tc>
      </w:tr>
      <w:tr w:rsidR="00B83425" w:rsidRPr="00991ACB" w:rsidTr="00D642B2">
        <w:trPr>
          <w:cantSplit/>
        </w:trPr>
        <w:tc>
          <w:tcPr>
            <w:tcW w:w="1008" w:type="dxa"/>
          </w:tcPr>
          <w:p w:rsidR="00B83425" w:rsidRPr="00991ACB" w:rsidRDefault="00B83425" w:rsidP="0087538C">
            <w:pPr>
              <w:spacing w:after="0"/>
              <w:jc w:val="center"/>
              <w:rPr>
                <w:sz w:val="20"/>
                <w:szCs w:val="20"/>
              </w:rPr>
            </w:pPr>
            <w:r w:rsidRPr="00991ACB">
              <w:rPr>
                <w:sz w:val="20"/>
                <w:szCs w:val="20"/>
              </w:rPr>
              <w:t>(8)</w:t>
            </w:r>
          </w:p>
        </w:tc>
        <w:tc>
          <w:tcPr>
            <w:tcW w:w="3330" w:type="dxa"/>
          </w:tcPr>
          <w:p w:rsidR="00B83425" w:rsidRPr="00991ACB" w:rsidRDefault="00B83425" w:rsidP="0087538C">
            <w:pPr>
              <w:spacing w:after="0"/>
              <w:rPr>
                <w:sz w:val="20"/>
                <w:szCs w:val="20"/>
              </w:rPr>
            </w:pPr>
            <w:r w:rsidRPr="00991ACB">
              <w:rPr>
                <w:sz w:val="20"/>
                <w:szCs w:val="20"/>
              </w:rPr>
              <w:t xml:space="preserve">Approve/sign submission </w:t>
            </w:r>
          </w:p>
        </w:tc>
        <w:tc>
          <w:tcPr>
            <w:tcW w:w="3330" w:type="dxa"/>
          </w:tcPr>
          <w:p w:rsidR="00B83425" w:rsidRPr="00991ACB" w:rsidRDefault="00B83425" w:rsidP="0087538C">
            <w:pPr>
              <w:spacing w:after="0"/>
              <w:rPr>
                <w:sz w:val="20"/>
                <w:szCs w:val="20"/>
              </w:rPr>
            </w:pPr>
          </w:p>
        </w:tc>
        <w:tc>
          <w:tcPr>
            <w:tcW w:w="2628" w:type="dxa"/>
          </w:tcPr>
          <w:p w:rsidR="00B83425" w:rsidRPr="00991ACB" w:rsidRDefault="00B83425" w:rsidP="0087538C">
            <w:pPr>
              <w:spacing w:after="0"/>
              <w:rPr>
                <w:sz w:val="20"/>
                <w:szCs w:val="20"/>
              </w:rPr>
            </w:pPr>
            <w:r w:rsidRPr="00991ACB">
              <w:rPr>
                <w:sz w:val="20"/>
                <w:szCs w:val="20"/>
              </w:rPr>
              <w:t xml:space="preserve">Send submission to </w:t>
            </w:r>
            <w:r>
              <w:rPr>
                <w:sz w:val="20"/>
                <w:szCs w:val="20"/>
              </w:rPr>
              <w:t>the EPA</w:t>
            </w:r>
            <w:r w:rsidRPr="00991ACB">
              <w:rPr>
                <w:sz w:val="20"/>
                <w:szCs w:val="20"/>
              </w:rPr>
              <w:t xml:space="preserve"> </w:t>
            </w:r>
          </w:p>
        </w:tc>
      </w:tr>
      <w:tr w:rsidR="00B83425" w:rsidRPr="00991ACB" w:rsidTr="00D642B2">
        <w:trPr>
          <w:cantSplit/>
        </w:trPr>
        <w:tc>
          <w:tcPr>
            <w:tcW w:w="1008" w:type="dxa"/>
            <w:vMerge w:val="restart"/>
          </w:tcPr>
          <w:p w:rsidR="00B83425" w:rsidRPr="00991ACB" w:rsidRDefault="00B83425" w:rsidP="00601EFB">
            <w:pPr>
              <w:keepNext/>
              <w:spacing w:after="0"/>
              <w:jc w:val="center"/>
              <w:rPr>
                <w:sz w:val="20"/>
                <w:szCs w:val="20"/>
              </w:rPr>
            </w:pPr>
            <w:r w:rsidRPr="00991ACB">
              <w:rPr>
                <w:sz w:val="20"/>
                <w:szCs w:val="20"/>
              </w:rPr>
              <w:t>(9)</w:t>
            </w:r>
          </w:p>
        </w:tc>
        <w:tc>
          <w:tcPr>
            <w:tcW w:w="3330" w:type="dxa"/>
          </w:tcPr>
          <w:p w:rsidR="00B83425" w:rsidRPr="00991ACB" w:rsidRDefault="00B83425" w:rsidP="00601EFB">
            <w:pPr>
              <w:keepNext/>
              <w:spacing w:after="0"/>
              <w:rPr>
                <w:sz w:val="20"/>
                <w:szCs w:val="20"/>
              </w:rPr>
            </w:pPr>
          </w:p>
        </w:tc>
        <w:tc>
          <w:tcPr>
            <w:tcW w:w="3330" w:type="dxa"/>
          </w:tcPr>
          <w:p w:rsidR="00B83425" w:rsidRPr="00991ACB" w:rsidRDefault="00B83425" w:rsidP="00601EFB">
            <w:pPr>
              <w:keepNext/>
              <w:spacing w:after="0"/>
              <w:rPr>
                <w:sz w:val="20"/>
                <w:szCs w:val="20"/>
              </w:rPr>
            </w:pPr>
            <w:r w:rsidRPr="00991ACB">
              <w:rPr>
                <w:sz w:val="20"/>
                <w:szCs w:val="20"/>
              </w:rPr>
              <w:t xml:space="preserve">Prepare data for files </w:t>
            </w:r>
          </w:p>
        </w:tc>
        <w:tc>
          <w:tcPr>
            <w:tcW w:w="2628" w:type="dxa"/>
          </w:tcPr>
          <w:p w:rsidR="00B83425" w:rsidRPr="00991ACB" w:rsidRDefault="00B83425" w:rsidP="00601EFB">
            <w:pPr>
              <w:keepNext/>
              <w:spacing w:after="0"/>
              <w:rPr>
                <w:sz w:val="20"/>
                <w:szCs w:val="20"/>
              </w:rPr>
            </w:pPr>
            <w:r w:rsidRPr="00991ACB">
              <w:rPr>
                <w:sz w:val="20"/>
                <w:szCs w:val="20"/>
              </w:rPr>
              <w:t xml:space="preserve">Prepare final file folders </w:t>
            </w:r>
          </w:p>
        </w:tc>
      </w:tr>
      <w:tr w:rsidR="00B83425" w:rsidRPr="00991ACB" w:rsidTr="00D642B2">
        <w:trPr>
          <w:cantSplit/>
        </w:trPr>
        <w:tc>
          <w:tcPr>
            <w:tcW w:w="1008" w:type="dxa"/>
            <w:vMerge/>
          </w:tcPr>
          <w:p w:rsidR="00B83425" w:rsidRPr="00991ACB" w:rsidRDefault="00B83425" w:rsidP="0087538C">
            <w:pPr>
              <w:spacing w:after="0"/>
              <w:jc w:val="center"/>
              <w:rPr>
                <w:sz w:val="20"/>
                <w:szCs w:val="20"/>
              </w:rPr>
            </w:pPr>
          </w:p>
        </w:tc>
        <w:tc>
          <w:tcPr>
            <w:tcW w:w="3330" w:type="dxa"/>
          </w:tcPr>
          <w:p w:rsidR="00B83425" w:rsidRPr="00991ACB" w:rsidRDefault="00B83425" w:rsidP="0087538C">
            <w:pPr>
              <w:spacing w:after="0"/>
              <w:rPr>
                <w:sz w:val="20"/>
                <w:szCs w:val="20"/>
              </w:rPr>
            </w:pPr>
          </w:p>
        </w:tc>
        <w:tc>
          <w:tcPr>
            <w:tcW w:w="3330" w:type="dxa"/>
          </w:tcPr>
          <w:p w:rsidR="00B83425" w:rsidRPr="00991ACB" w:rsidRDefault="00B83425" w:rsidP="0087538C">
            <w:pPr>
              <w:spacing w:after="0"/>
              <w:rPr>
                <w:sz w:val="20"/>
                <w:szCs w:val="20"/>
              </w:rPr>
            </w:pPr>
          </w:p>
        </w:tc>
        <w:tc>
          <w:tcPr>
            <w:tcW w:w="2628" w:type="dxa"/>
          </w:tcPr>
          <w:p w:rsidR="00B83425" w:rsidRPr="00991ACB" w:rsidRDefault="00B83425" w:rsidP="0087538C">
            <w:pPr>
              <w:spacing w:after="0"/>
              <w:rPr>
                <w:sz w:val="20"/>
                <w:szCs w:val="20"/>
              </w:rPr>
            </w:pPr>
            <w:r w:rsidRPr="00991ACB">
              <w:rPr>
                <w:sz w:val="20"/>
                <w:szCs w:val="20"/>
              </w:rPr>
              <w:t>Maintain records</w:t>
            </w:r>
          </w:p>
        </w:tc>
      </w:tr>
    </w:tbl>
    <w:p w:rsidR="000F0DF3" w:rsidRDefault="001F435B" w:rsidP="002F2414">
      <w:pPr>
        <w:pStyle w:val="Heading2"/>
      </w:pPr>
      <w:r>
        <w:t>4(c) Information Requested</w:t>
      </w:r>
    </w:p>
    <w:p w:rsidR="000F0DF3" w:rsidRDefault="001F435B" w:rsidP="00F16932">
      <w:r>
        <w:t xml:space="preserve">This section of the ICR renewal describes the information that an </w:t>
      </w:r>
      <w:r w:rsidR="00D70092">
        <w:t>order</w:t>
      </w:r>
      <w:r>
        <w:t xml:space="preserve"> recipient is expected to provide the </w:t>
      </w:r>
      <w:r w:rsidR="00CF1D4B">
        <w:t>agency</w:t>
      </w:r>
      <w:r>
        <w:t>.</w:t>
      </w:r>
      <w:r w:rsidR="000C6CB0">
        <w:t xml:space="preserve"> </w:t>
      </w:r>
      <w:r>
        <w:t xml:space="preserve">The </w:t>
      </w:r>
      <w:r w:rsidR="00D70092">
        <w:t>order</w:t>
      </w:r>
      <w:r>
        <w:t xml:space="preserve"> will identify the Tier 1 data being requested and will provide the specific instructions for complying with the </w:t>
      </w:r>
      <w:r w:rsidR="00D70092">
        <w:t>order</w:t>
      </w:r>
      <w:r>
        <w:t>.</w:t>
      </w:r>
      <w:r w:rsidR="000C6CB0">
        <w:t xml:space="preserve"> </w:t>
      </w:r>
      <w:r>
        <w:t xml:space="preserve">In general, all </w:t>
      </w:r>
      <w:r w:rsidR="00D70092">
        <w:t>order</w:t>
      </w:r>
      <w:r>
        <w:t xml:space="preserve"> recipients are expected to provide an </w:t>
      </w:r>
      <w:r>
        <w:lastRenderedPageBreak/>
        <w:t xml:space="preserve">individual initial response that identifies how the recipient intends to respond to the </w:t>
      </w:r>
      <w:r w:rsidR="00D70092">
        <w:t>order</w:t>
      </w:r>
      <w:r>
        <w:t xml:space="preserve">. The specific information required to be provided with the individual initial response from each </w:t>
      </w:r>
      <w:r w:rsidR="00D70092">
        <w:t>order</w:t>
      </w:r>
      <w:r>
        <w:t xml:space="preserve"> recipient will vary based on the respondent</w:t>
      </w:r>
      <w:r w:rsidR="00CF1D4B">
        <w:t>'</w:t>
      </w:r>
      <w:r>
        <w:t xml:space="preserve">s </w:t>
      </w:r>
      <w:r w:rsidR="00FD5EDF">
        <w:t xml:space="preserve">initial </w:t>
      </w:r>
      <w:r>
        <w:t xml:space="preserve">response – the options for which are described in the </w:t>
      </w:r>
      <w:r w:rsidR="00D70092">
        <w:t>order</w:t>
      </w:r>
      <w:r>
        <w:t xml:space="preserve">, the applicable procedure documents, and </w:t>
      </w:r>
      <w:r w:rsidR="00FD5EDF">
        <w:t xml:space="preserve">are summarized in </w:t>
      </w:r>
      <w:r>
        <w:t>section 4(c</w:t>
      </w:r>
      <w:proofErr w:type="gramStart"/>
      <w:r>
        <w:t>)(</w:t>
      </w:r>
      <w:proofErr w:type="spellStart"/>
      <w:proofErr w:type="gramEnd"/>
      <w:r>
        <w:t>i</w:t>
      </w:r>
      <w:proofErr w:type="spellEnd"/>
      <w:r>
        <w:t>) of this ICR.</w:t>
      </w:r>
      <w:r w:rsidR="000C6CB0">
        <w:t xml:space="preserve"> </w:t>
      </w:r>
      <w:r>
        <w:t xml:space="preserve">Those recipients that generate data, either individually or as part of a consortium, are expected to provide a </w:t>
      </w:r>
      <w:r w:rsidR="001B4D0B">
        <w:t>1-year</w:t>
      </w:r>
      <w:r>
        <w:t xml:space="preserve"> progress report, and then submit the data to </w:t>
      </w:r>
      <w:r w:rsidR="00C270A7">
        <w:t>the EPA</w:t>
      </w:r>
      <w:r>
        <w:t>.</w:t>
      </w:r>
    </w:p>
    <w:p w:rsidR="000F0DF3" w:rsidRDefault="001F435B" w:rsidP="00F16932">
      <w:r>
        <w:t xml:space="preserve">For purposes of this ICR, it is important to note that many of the initial response options adopted for EDSP already exist within the pesticide program, </w:t>
      </w:r>
      <w:r w:rsidRPr="00924FAB">
        <w:rPr>
          <w:i/>
        </w:rPr>
        <w:t>e.g.</w:t>
      </w:r>
      <w:r>
        <w:t>, for Data</w:t>
      </w:r>
      <w:r w:rsidR="001B4D0B">
        <w:t xml:space="preserve"> </w:t>
      </w:r>
      <w:r>
        <w:t>Call-Ins under FIFRA 3(c)(2)(B).</w:t>
      </w:r>
      <w:r w:rsidR="000C6CB0">
        <w:t xml:space="preserve"> </w:t>
      </w:r>
      <w:r>
        <w:t xml:space="preserve">In providing the option as described in more detail in the </w:t>
      </w:r>
      <w:r w:rsidR="00873A4A">
        <w:t>policies and procedures d</w:t>
      </w:r>
      <w:r>
        <w:t xml:space="preserve">ocument (Attachment B), the </w:t>
      </w:r>
      <w:r w:rsidR="00CF1D4B">
        <w:t>agency</w:t>
      </w:r>
      <w:r>
        <w:t xml:space="preserve"> adopted the existing procedures unchanged for use under the EDSP.</w:t>
      </w:r>
      <w:r w:rsidR="000C6CB0">
        <w:t xml:space="preserve"> </w:t>
      </w:r>
      <w:r>
        <w:t>Under those existing procedures, a registrant may engage in additional activities associated with that response option.</w:t>
      </w:r>
      <w:r w:rsidR="000C6CB0">
        <w:t xml:space="preserve"> </w:t>
      </w:r>
      <w:r>
        <w:t>For example, a respondent/registrant could choose to reformulate the product or seek a formulator</w:t>
      </w:r>
      <w:r w:rsidR="00CF1D4B">
        <w:t>'</w:t>
      </w:r>
      <w:r>
        <w:t>s exemption.</w:t>
      </w:r>
      <w:r w:rsidR="000C6CB0">
        <w:t xml:space="preserve"> </w:t>
      </w:r>
      <w:r>
        <w:t>Both of these initial response options involve established procedures, and additional activities that are already approved by OMB under separate existing ICRs.</w:t>
      </w:r>
      <w:r w:rsidR="000C6CB0">
        <w:t xml:space="preserve"> </w:t>
      </w:r>
      <w:r>
        <w:t xml:space="preserve">The </w:t>
      </w:r>
      <w:r w:rsidR="00CF1D4B">
        <w:t>agency</w:t>
      </w:r>
      <w:r>
        <w:t xml:space="preserve"> believes that any additional use of those existing procedures related to the EDSP do not impact the estimated burden covered by those other existing ICRs.</w:t>
      </w:r>
      <w:r w:rsidR="000C6CB0">
        <w:t xml:space="preserve"> </w:t>
      </w:r>
      <w:r>
        <w:t>As such, this ICR does not duplicate the burden associated with the response options that involve existing procedures that are already covered by another ICR.</w:t>
      </w:r>
    </w:p>
    <w:p w:rsidR="000F0DF3" w:rsidRDefault="001F435B" w:rsidP="002F2414">
      <w:pPr>
        <w:pStyle w:val="Heading3"/>
      </w:pPr>
      <w:r>
        <w:t>4(c</w:t>
      </w:r>
      <w:proofErr w:type="gramStart"/>
      <w:r>
        <w:t>)(</w:t>
      </w:r>
      <w:proofErr w:type="spellStart"/>
      <w:proofErr w:type="gramEnd"/>
      <w:r>
        <w:t>i</w:t>
      </w:r>
      <w:proofErr w:type="spellEnd"/>
      <w:r>
        <w:t>)</w:t>
      </w:r>
      <w:r w:rsidR="00875336">
        <w:tab/>
      </w:r>
      <w:r>
        <w:t>Order Recipient</w:t>
      </w:r>
      <w:r w:rsidR="00CF1D4B">
        <w:t>'</w:t>
      </w:r>
      <w:r>
        <w:t>s Response Options</w:t>
      </w:r>
    </w:p>
    <w:p w:rsidR="00733994" w:rsidRDefault="001F435B" w:rsidP="00F16932">
      <w:r>
        <w:t xml:space="preserve">The recipient of an </w:t>
      </w:r>
      <w:r w:rsidR="00D70092">
        <w:t>order</w:t>
      </w:r>
      <w:r>
        <w:t xml:space="preserve"> will have several potential response options, as specified within the </w:t>
      </w:r>
      <w:r w:rsidR="00D70092">
        <w:t>order</w:t>
      </w:r>
      <w:r>
        <w:t xml:space="preserve"> itself.</w:t>
      </w:r>
      <w:r w:rsidR="000C6CB0">
        <w:t xml:space="preserve"> </w:t>
      </w:r>
      <w:r>
        <w:t xml:space="preserve">The recipient uses the </w:t>
      </w:r>
      <w:r w:rsidRPr="00873A4A">
        <w:rPr>
          <w:i/>
        </w:rPr>
        <w:t>Initial Response Form for Individual Order Recipients</w:t>
      </w:r>
      <w:r>
        <w:t xml:space="preserve"> </w:t>
      </w:r>
      <w:r w:rsidR="00BA2FCE">
        <w:t>[</w:t>
      </w:r>
      <w:r>
        <w:t xml:space="preserve">see Attachment </w:t>
      </w:r>
      <w:proofErr w:type="gramStart"/>
      <w:r>
        <w:t>D</w:t>
      </w:r>
      <w:r w:rsidR="006957CE">
        <w:t>(</w:t>
      </w:r>
      <w:proofErr w:type="gramEnd"/>
      <w:r w:rsidR="006957CE">
        <w:t>1</w:t>
      </w:r>
      <w:r w:rsidR="000F7ABE">
        <w:t>)</w:t>
      </w:r>
      <w:r w:rsidR="00BA2FCE">
        <w:t>]</w:t>
      </w:r>
      <w:r>
        <w:t xml:space="preserve"> to indicate which option they intend to use to respond to the data request for each assay.</w:t>
      </w:r>
      <w:r w:rsidR="000C6CB0">
        <w:t xml:space="preserve"> </w:t>
      </w:r>
      <w:r>
        <w:t xml:space="preserve">The response is assay specific to provide maximum flexibility to the recipients who may wish to choose different response options for the individual assays identified in the </w:t>
      </w:r>
      <w:r w:rsidR="00D70092">
        <w:t>order</w:t>
      </w:r>
      <w:r>
        <w:t>.</w:t>
      </w:r>
      <w:r w:rsidR="000C6CB0">
        <w:t xml:space="preserve"> </w:t>
      </w:r>
      <w:r>
        <w:t xml:space="preserve">An </w:t>
      </w:r>
      <w:r w:rsidR="00D70092">
        <w:t>order</w:t>
      </w:r>
      <w:r>
        <w:t xml:space="preserve"> recipient may elect any of these options for one or more of the assays in the </w:t>
      </w:r>
      <w:r w:rsidR="00D70092">
        <w:t>order</w:t>
      </w:r>
      <w:r>
        <w:t>, and is not limited to electing a single response for all assays, nor are they required to elect different options for each assay.</w:t>
      </w:r>
      <w:r w:rsidR="000C6CB0">
        <w:t xml:space="preserve"> </w:t>
      </w:r>
      <w:r>
        <w:t xml:space="preserve">The order recipient would complete the form by checking the appropriate boxes to indicate their intentions with regard to each assay listed in the </w:t>
      </w:r>
      <w:r w:rsidR="00D70092">
        <w:t>order</w:t>
      </w:r>
      <w:r>
        <w:t>, and, if applicable, attach appropriate documentation to provide a rationale and/or supporting documentation for their response.</w:t>
      </w:r>
    </w:p>
    <w:p w:rsidR="00733994" w:rsidRDefault="001F435B" w:rsidP="00F16932">
      <w:r>
        <w:t xml:space="preserve">The following provides a brief overview of the available response options for orders involving pesticide active ingredients and pesticide inert ingredients (see also Attachment </w:t>
      </w:r>
      <w:r w:rsidR="00FD5EDF">
        <w:t>E</w:t>
      </w:r>
      <w:r>
        <w:t>, which provides an overview of the response options in a workflow format).</w:t>
      </w:r>
    </w:p>
    <w:p w:rsidR="00733994" w:rsidRDefault="001F435B" w:rsidP="00552B46">
      <w:pPr>
        <w:pStyle w:val="ListParagraph"/>
        <w:numPr>
          <w:ilvl w:val="0"/>
          <w:numId w:val="14"/>
        </w:numPr>
        <w:contextualSpacing w:val="0"/>
      </w:pPr>
      <w:r w:rsidRPr="001E640A">
        <w:rPr>
          <w:i/>
        </w:rPr>
        <w:t>I Will Generate New Data</w:t>
      </w:r>
      <w:r>
        <w:t xml:space="preserve">. The recipient would choose this option to indicate that they agree to individually generate new data for each test specified to meet the requirements of the </w:t>
      </w:r>
      <w:r w:rsidR="00D70092">
        <w:t>order</w:t>
      </w:r>
      <w:r>
        <w:t>.</w:t>
      </w:r>
    </w:p>
    <w:p w:rsidR="000F0DF3" w:rsidRDefault="001F435B" w:rsidP="001E640A">
      <w:pPr>
        <w:ind w:left="360"/>
      </w:pPr>
      <w:r>
        <w:t xml:space="preserve">In the case of data pertaining to an inert ingredient for which there is no tolerance or exemption, the recipient may identify a </w:t>
      </w:r>
      <w:r w:rsidR="00CF1D4B">
        <w:t>"</w:t>
      </w:r>
      <w:r>
        <w:t>cooperating registrant/agent</w:t>
      </w:r>
      <w:r w:rsidR="00CF1D4B">
        <w:t>"</w:t>
      </w:r>
      <w:r>
        <w:t xml:space="preserve"> for </w:t>
      </w:r>
      <w:r w:rsidR="00C270A7">
        <w:t>the EPA</w:t>
      </w:r>
      <w:r>
        <w:t xml:space="preserve"> (</w:t>
      </w:r>
      <w:r w:rsidRPr="00924FAB">
        <w:rPr>
          <w:i/>
        </w:rPr>
        <w:t>e.g.</w:t>
      </w:r>
      <w:r>
        <w:t xml:space="preserve">, to whom </w:t>
      </w:r>
      <w:r w:rsidR="00C270A7">
        <w:t>the EPA</w:t>
      </w:r>
      <w:r>
        <w:t xml:space="preserve"> could send a DCI notice under FIFRA </w:t>
      </w:r>
      <w:r w:rsidR="004B1979">
        <w:t xml:space="preserve">section </w:t>
      </w:r>
      <w:r>
        <w:t>3(c)(2)(B) or identify on the recipient list).</w:t>
      </w:r>
      <w:r w:rsidR="000C6CB0">
        <w:t xml:space="preserve"> </w:t>
      </w:r>
      <w:r>
        <w:t>The cooperating registrant/agent would then become jointly responsible for generating and submitting the data.</w:t>
      </w:r>
      <w:r w:rsidR="000C6CB0">
        <w:t xml:space="preserve"> </w:t>
      </w:r>
      <w:r>
        <w:t>This is different from a consortium, which is discussed later.</w:t>
      </w:r>
    </w:p>
    <w:p w:rsidR="000F0DF3" w:rsidRDefault="001F435B" w:rsidP="00552B46">
      <w:pPr>
        <w:pStyle w:val="ListParagraph"/>
        <w:numPr>
          <w:ilvl w:val="0"/>
          <w:numId w:val="14"/>
        </w:numPr>
        <w:contextualSpacing w:val="0"/>
      </w:pPr>
      <w:r w:rsidRPr="00875336">
        <w:rPr>
          <w:i/>
        </w:rPr>
        <w:t>I Am Citing or Submitting Existing Data</w:t>
      </w:r>
      <w:r>
        <w:t>.</w:t>
      </w:r>
      <w:r w:rsidR="000C6CB0">
        <w:t xml:space="preserve"> </w:t>
      </w:r>
      <w:r>
        <w:t xml:space="preserve">The recipient would choose this option to submit or cite existing data (including other relevant scientific information) that they believe can be used to satisfy </w:t>
      </w:r>
      <w:r>
        <w:lastRenderedPageBreak/>
        <w:t xml:space="preserve">part or all of the Tier 1 </w:t>
      </w:r>
      <w:r w:rsidR="00D70092">
        <w:t>order</w:t>
      </w:r>
      <w:r>
        <w:t>.</w:t>
      </w:r>
      <w:r w:rsidR="000C6CB0">
        <w:t xml:space="preserve"> </w:t>
      </w:r>
      <w:r>
        <w:t>Existing data may be of several types.</w:t>
      </w:r>
      <w:r w:rsidR="000C6CB0">
        <w:t xml:space="preserve"> </w:t>
      </w:r>
      <w:r>
        <w:t xml:space="preserve">An example may be an </w:t>
      </w:r>
      <w:r w:rsidR="00924FAB" w:rsidRPr="00924FAB">
        <w:rPr>
          <w:i/>
        </w:rPr>
        <w:t>in vitro</w:t>
      </w:r>
      <w:r>
        <w:t xml:space="preserve"> assay for transcriptional activation that is conducted with a different cell line and by a different protocol.</w:t>
      </w:r>
      <w:r w:rsidR="000C6CB0">
        <w:t xml:space="preserve"> </w:t>
      </w:r>
      <w:r>
        <w:t xml:space="preserve">But more generally, existing data may be </w:t>
      </w:r>
      <w:r w:rsidR="00CF1D4B">
        <w:t>"</w:t>
      </w:r>
      <w:r>
        <w:t>other scientifically relevant information.</w:t>
      </w:r>
      <w:r w:rsidR="00CF1D4B">
        <w:t>"</w:t>
      </w:r>
      <w:r w:rsidR="000C6CB0">
        <w:t xml:space="preserve"> </w:t>
      </w:r>
      <w:r>
        <w:t xml:space="preserve">Other scientifically relevant information can include data from studies other than the EDSP Tier 1 assays, </w:t>
      </w:r>
      <w:r w:rsidRPr="00924FAB">
        <w:rPr>
          <w:i/>
        </w:rPr>
        <w:t>e.g.</w:t>
      </w:r>
      <w:r>
        <w:t>, studies conducted to satisfy a 40 CFR part 158 or part 161 data requirement, data from other studies conducted to address an identified issue, or data from studies found in the scientific literature.</w:t>
      </w:r>
      <w:r w:rsidR="000C6CB0">
        <w:t xml:space="preserve"> </w:t>
      </w:r>
      <w:r>
        <w:t xml:space="preserve">In addition to the Tier 1 </w:t>
      </w:r>
      <w:r w:rsidR="00D70092">
        <w:t>order</w:t>
      </w:r>
      <w:r>
        <w:t xml:space="preserve"> recipient, anyone can submit other scientifically relevant information.</w:t>
      </w:r>
      <w:r w:rsidR="000C6CB0">
        <w:t xml:space="preserve"> </w:t>
      </w:r>
      <w:r>
        <w:t xml:space="preserve">To allow </w:t>
      </w:r>
      <w:r w:rsidR="00C270A7">
        <w:t>the EPA</w:t>
      </w:r>
      <w:r>
        <w:t xml:space="preserve"> to review the submission of other scientifically relevant information in a timely fashion, the submitter of the information should consider providing a scientifically sound rationale that explains how the submitted or cited data provides the information needed to satisfy part or all of the Tier 1 </w:t>
      </w:r>
      <w:r w:rsidR="00D70092">
        <w:t>order</w:t>
      </w:r>
      <w:r>
        <w:t xml:space="preserve"> and/or otherwise inform the </w:t>
      </w:r>
      <w:r w:rsidR="00CF1D4B">
        <w:t>agency'</w:t>
      </w:r>
      <w:r>
        <w:t>s Tier 1 determination.</w:t>
      </w:r>
    </w:p>
    <w:p w:rsidR="001F435B" w:rsidRDefault="001F435B" w:rsidP="001E640A">
      <w:pPr>
        <w:ind w:left="360"/>
      </w:pPr>
      <w:r>
        <w:t xml:space="preserve">When citing something that was previously submitted, the </w:t>
      </w:r>
      <w:r w:rsidR="00CF1D4B">
        <w:t>agency</w:t>
      </w:r>
      <w:r>
        <w:t xml:space="preserve"> needs a copy of the title page along with the identification number of the study cited (MRID number), and, if the study has been reviewed by the </w:t>
      </w:r>
      <w:r w:rsidR="00CF1D4B">
        <w:t>agency</w:t>
      </w:r>
      <w:r>
        <w:t xml:space="preserve">, the </w:t>
      </w:r>
      <w:r w:rsidR="00CF1D4B">
        <w:t>agency'</w:t>
      </w:r>
      <w:r>
        <w:t xml:space="preserve">s classification of the study. </w:t>
      </w:r>
      <w:r w:rsidRPr="00875336">
        <w:rPr>
          <w:b/>
        </w:rPr>
        <w:t xml:space="preserve">The </w:t>
      </w:r>
      <w:r w:rsidR="00CF1D4B">
        <w:rPr>
          <w:b/>
        </w:rPr>
        <w:t>agency</w:t>
      </w:r>
      <w:r w:rsidRPr="00875336">
        <w:rPr>
          <w:b/>
        </w:rPr>
        <w:t xml:space="preserve"> specifically asks that a study that has previously been submitted to </w:t>
      </w:r>
      <w:r w:rsidR="00C270A7">
        <w:rPr>
          <w:b/>
        </w:rPr>
        <w:t>the EPA</w:t>
      </w:r>
      <w:r w:rsidRPr="00875336">
        <w:rPr>
          <w:b/>
        </w:rPr>
        <w:t xml:space="preserve"> NOT be resubmitted in its entirety.</w:t>
      </w:r>
    </w:p>
    <w:p w:rsidR="000F0DF3" w:rsidRDefault="001F435B" w:rsidP="001E640A">
      <w:pPr>
        <w:ind w:left="360"/>
      </w:pPr>
      <w:r>
        <w:t>If the individual citing a study is not the original data submitter, that individual may need to submit an offer to pay compensation to the original data submitter.</w:t>
      </w:r>
      <w:r w:rsidR="000C6CB0">
        <w:t xml:space="preserve"> </w:t>
      </w:r>
      <w:r>
        <w:t>Consequently, such individuals are encouraged to simultaneously include an offer to pay [in accordance with 40</w:t>
      </w:r>
      <w:r w:rsidR="00F92A48">
        <w:t> CFR </w:t>
      </w:r>
      <w:r>
        <w:t>152.93] [which includes an offer to resolve any dispute over the recipients</w:t>
      </w:r>
      <w:r w:rsidR="00CF1D4B">
        <w:t>'</w:t>
      </w:r>
      <w:r>
        <w:t xml:space="preserve"> shares of the test costs by submitting the dispute to a neutral third party with authority to bind the parties (</w:t>
      </w:r>
      <w:r w:rsidRPr="00924FAB">
        <w:rPr>
          <w:i/>
        </w:rPr>
        <w:t>e.g.</w:t>
      </w:r>
      <w:r>
        <w:t xml:space="preserve">, through binding arbitration or through a state or federal court action)], unless the individual has received confirmation from </w:t>
      </w:r>
      <w:r w:rsidR="00C270A7">
        <w:t>the EPA</w:t>
      </w:r>
      <w:r>
        <w:t xml:space="preserve"> that no such compensation is necessary.</w:t>
      </w:r>
    </w:p>
    <w:p w:rsidR="000F0DF3" w:rsidRDefault="00C270A7" w:rsidP="001E640A">
      <w:pPr>
        <w:ind w:left="360"/>
      </w:pPr>
      <w:r>
        <w:t>The EPA</w:t>
      </w:r>
      <w:r w:rsidR="001F435B">
        <w:t xml:space="preserve"> will review any existing study submitted or cited in response to the </w:t>
      </w:r>
      <w:r w:rsidR="00D70092">
        <w:t>order</w:t>
      </w:r>
      <w:r w:rsidR="001F435B">
        <w:t xml:space="preserve"> to determine whether the study is of sufficient quality and can be used to satisfy the </w:t>
      </w:r>
      <w:r w:rsidR="00D70092">
        <w:t>order</w:t>
      </w:r>
      <w:r w:rsidR="001F435B">
        <w:t xml:space="preserve">. The </w:t>
      </w:r>
      <w:r w:rsidR="00CF1D4B">
        <w:t>agency</w:t>
      </w:r>
      <w:r w:rsidR="001F435B">
        <w:t xml:space="preserve"> intends to notify submitters in writing of its determination, as well as make the determination publicly available.</w:t>
      </w:r>
    </w:p>
    <w:p w:rsidR="001F435B" w:rsidRDefault="001F435B" w:rsidP="00552B46">
      <w:pPr>
        <w:pStyle w:val="ListParagraph"/>
        <w:numPr>
          <w:ilvl w:val="0"/>
          <w:numId w:val="14"/>
        </w:numPr>
        <w:contextualSpacing w:val="0"/>
      </w:pPr>
      <w:r w:rsidRPr="00875336">
        <w:rPr>
          <w:i/>
        </w:rPr>
        <w:t>I Will Enter (or Offer to Enter) Into an Agreement to Form a Consortium to Generate the Data</w:t>
      </w:r>
      <w:r>
        <w:t xml:space="preserve">. The recipient would choose this option to indicate that they are forming a task force or consortium to comply with the </w:t>
      </w:r>
      <w:r w:rsidR="00D70092">
        <w:t>order</w:t>
      </w:r>
      <w:r>
        <w:t>.</w:t>
      </w:r>
      <w:r w:rsidR="000C6CB0">
        <w:t xml:space="preserve"> </w:t>
      </w:r>
      <w:r>
        <w:t xml:space="preserve">In such cases, each participant or potential participant is expected to submit an </w:t>
      </w:r>
      <w:r w:rsidRPr="001E640A">
        <w:rPr>
          <w:i/>
        </w:rPr>
        <w:t>Initial Response Form for Individual Order Recipients</w:t>
      </w:r>
      <w:r>
        <w:t xml:space="preserve"> within 90 calendar days.</w:t>
      </w:r>
      <w:r w:rsidR="000C6CB0">
        <w:t xml:space="preserve"> </w:t>
      </w:r>
      <w:r>
        <w:t xml:space="preserve">Within 150 calendar days of issuance of the </w:t>
      </w:r>
      <w:r w:rsidR="00D70092">
        <w:t>order</w:t>
      </w:r>
      <w:r>
        <w:t xml:space="preserve">, or as part of their initial response, the designated lead for the consortium is expected to submit the </w:t>
      </w:r>
      <w:r w:rsidRPr="00873A4A">
        <w:rPr>
          <w:i/>
        </w:rPr>
        <w:t xml:space="preserve">Initial Response Form for Consortium /Task Force </w:t>
      </w:r>
      <w:r w:rsidR="001E640A">
        <w:rPr>
          <w:i/>
        </w:rPr>
        <w:t>[</w:t>
      </w:r>
      <w:r>
        <w:t>see Attachment D(2)</w:t>
      </w:r>
      <w:r w:rsidR="001E640A">
        <w:t>]</w:t>
      </w:r>
      <w:r>
        <w:t xml:space="preserve"> to provide the primary contact for the task force or consortium, the list of participants, and an indication of the task force or consortium</w:t>
      </w:r>
      <w:r w:rsidR="00CF1D4B">
        <w:t>'</w:t>
      </w:r>
      <w:r>
        <w:t>s planned response for each assay, along with documentation of its formation (such as a copy of the joint agreement or a written statement by all the parties that an agreement exists).</w:t>
      </w:r>
      <w:r w:rsidR="000C6CB0">
        <w:t xml:space="preserve"> </w:t>
      </w:r>
      <w:r>
        <w:t>The joint agreement to produce the data need not specify all of the terms of the final arrangement between the parties or the mechanism to resolve the terms.</w:t>
      </w:r>
    </w:p>
    <w:p w:rsidR="000F0DF3" w:rsidRDefault="001F435B" w:rsidP="001E640A">
      <w:pPr>
        <w:ind w:left="360"/>
      </w:pPr>
      <w:r>
        <w:t xml:space="preserve">Alternatively, an </w:t>
      </w:r>
      <w:r w:rsidR="00D70092">
        <w:t>order</w:t>
      </w:r>
      <w:r>
        <w:t xml:space="preserve"> recipient may provide </w:t>
      </w:r>
      <w:r w:rsidR="00C270A7">
        <w:t>the EPA</w:t>
      </w:r>
      <w:r>
        <w:t xml:space="preserve"> with documentation that they made a judicially enforceable offer to enter into an agreement to develop data jointly with one or more recipients of the </w:t>
      </w:r>
      <w:r w:rsidR="00D70092">
        <w:t>order</w:t>
      </w:r>
      <w:r>
        <w:t xml:space="preserve"> and that they offered to pay a reasonable share of the test costs (or developed a process for resolving disputes with regard to the appropriate share of test costs).</w:t>
      </w:r>
      <w:r w:rsidR="000C6CB0">
        <w:t xml:space="preserve"> </w:t>
      </w:r>
      <w:r>
        <w:t xml:space="preserve">If the required </w:t>
      </w:r>
      <w:r>
        <w:lastRenderedPageBreak/>
        <w:t>data are not generated by the person(s) to whom the offer is made, all parties, including those that have made offers to pay or otherwise joined the consortium, would be responsible for generating and submitting the data.</w:t>
      </w:r>
    </w:p>
    <w:p w:rsidR="00733994" w:rsidRDefault="001F435B" w:rsidP="001E640A">
      <w:pPr>
        <w:ind w:left="360"/>
      </w:pPr>
      <w:r>
        <w:t>Although catch-up order recipients are most likely to select this option, these respondents are generally expected to join a consortium that has already been formed, or otherwise join with an individual who has already committed to generate the data.</w:t>
      </w:r>
    </w:p>
    <w:p w:rsidR="000F0DF3" w:rsidRDefault="001F435B" w:rsidP="00552B46">
      <w:pPr>
        <w:pStyle w:val="ListParagraph"/>
        <w:numPr>
          <w:ilvl w:val="0"/>
          <w:numId w:val="14"/>
        </w:numPr>
        <w:contextualSpacing w:val="0"/>
      </w:pPr>
      <w:r w:rsidRPr="00875336">
        <w:rPr>
          <w:i/>
        </w:rPr>
        <w:t xml:space="preserve">Claim Not to be </w:t>
      </w:r>
      <w:proofErr w:type="gramStart"/>
      <w:r w:rsidRPr="00875336">
        <w:rPr>
          <w:i/>
        </w:rPr>
        <w:t>Subject</w:t>
      </w:r>
      <w:proofErr w:type="gramEnd"/>
      <w:r w:rsidRPr="00875336">
        <w:rPr>
          <w:i/>
        </w:rPr>
        <w:t xml:space="preserve"> to the Test Order</w:t>
      </w:r>
      <w:r>
        <w:t>.</w:t>
      </w:r>
      <w:r w:rsidR="000C6CB0">
        <w:t xml:space="preserve"> </w:t>
      </w:r>
      <w:r>
        <w:t xml:space="preserve">The recipient would choose this option to indicate that they are not subject to the </w:t>
      </w:r>
      <w:r w:rsidR="00D70092">
        <w:t>order</w:t>
      </w:r>
      <w:r>
        <w:t xml:space="preserve"> because:</w:t>
      </w:r>
    </w:p>
    <w:p w:rsidR="000F0DF3" w:rsidRDefault="001F435B" w:rsidP="00552B46">
      <w:pPr>
        <w:pStyle w:val="ListParagraph"/>
        <w:numPr>
          <w:ilvl w:val="0"/>
          <w:numId w:val="16"/>
        </w:numPr>
        <w:ind w:left="900" w:hanging="540"/>
      </w:pPr>
      <w:r>
        <w:t xml:space="preserve">In the case of a Tier 1 </w:t>
      </w:r>
      <w:r w:rsidR="00D70092">
        <w:t>order</w:t>
      </w:r>
      <w:r>
        <w:t xml:space="preserve"> involving a pesticide active ingredient, the recipient is not a pesticide registrant, or</w:t>
      </w:r>
    </w:p>
    <w:p w:rsidR="000F0DF3" w:rsidRDefault="001F435B" w:rsidP="00552B46">
      <w:pPr>
        <w:pStyle w:val="ListParagraph"/>
        <w:numPr>
          <w:ilvl w:val="0"/>
          <w:numId w:val="16"/>
        </w:numPr>
        <w:ind w:left="900" w:hanging="540"/>
      </w:pPr>
      <w:r>
        <w:t xml:space="preserve">In the case of a Tier 1 </w:t>
      </w:r>
      <w:r w:rsidR="00D70092">
        <w:t>order</w:t>
      </w:r>
      <w:r>
        <w:t xml:space="preserve"> involving a pesticide inert ingredient, the recipient does not currently manufacture or import the chemical, or</w:t>
      </w:r>
    </w:p>
    <w:p w:rsidR="000F0DF3" w:rsidRDefault="001F435B" w:rsidP="00552B46">
      <w:pPr>
        <w:pStyle w:val="ListParagraph"/>
        <w:numPr>
          <w:ilvl w:val="0"/>
          <w:numId w:val="16"/>
        </w:numPr>
        <w:ind w:left="900" w:hanging="540"/>
      </w:pPr>
      <w:r>
        <w:t xml:space="preserve">In the case of a </w:t>
      </w:r>
      <w:r w:rsidR="00CF1D4B">
        <w:t>"</w:t>
      </w:r>
      <w:r>
        <w:t>catch-up</w:t>
      </w:r>
      <w:r w:rsidR="00CF1D4B">
        <w:t>"</w:t>
      </w:r>
      <w:r>
        <w:t xml:space="preserve"> </w:t>
      </w:r>
      <w:r w:rsidR="00D70092">
        <w:t>order</w:t>
      </w:r>
      <w:r>
        <w:t>, the recipient obtains the chemical solely from persons who are either (1)</w:t>
      </w:r>
      <w:r w:rsidR="000A47F0">
        <w:t> </w:t>
      </w:r>
      <w:r>
        <w:t>an original data submitter; (2)</w:t>
      </w:r>
      <w:r w:rsidR="000A47F0">
        <w:t> </w:t>
      </w:r>
      <w:r>
        <w:t xml:space="preserve">a person who has complied with an EDSP </w:t>
      </w:r>
      <w:r w:rsidR="00D70092">
        <w:t>order</w:t>
      </w:r>
      <w:r>
        <w:t xml:space="preserve"> by offering compensation; or (3)</w:t>
      </w:r>
      <w:r w:rsidR="000A47F0">
        <w:t> </w:t>
      </w:r>
      <w:r>
        <w:t>a person who is otherwise an approved source for the pesticide inert ingredient.</w:t>
      </w:r>
    </w:p>
    <w:p w:rsidR="000F0DF3" w:rsidRDefault="001F435B" w:rsidP="001E640A">
      <w:pPr>
        <w:ind w:left="360"/>
      </w:pPr>
      <w:r>
        <w:t>The recipient</w:t>
      </w:r>
      <w:r w:rsidR="00CF1D4B">
        <w:t>'</w:t>
      </w:r>
      <w:r>
        <w:t xml:space="preserve">s initial response would include an explanation and documentation supporting their claim to allow </w:t>
      </w:r>
      <w:r w:rsidR="00C270A7">
        <w:t>the EPA</w:t>
      </w:r>
      <w:r>
        <w:t xml:space="preserve"> to evaluate the claim. If </w:t>
      </w:r>
      <w:r w:rsidR="00C270A7">
        <w:t>the EPA</w:t>
      </w:r>
      <w:r>
        <w:t xml:space="preserve"> cannot verify the claim, the recipient is still subject to the </w:t>
      </w:r>
      <w:r w:rsidR="00D70092">
        <w:t>order</w:t>
      </w:r>
      <w:r>
        <w:t xml:space="preserve"> and the deadline(s) for responding remain.</w:t>
      </w:r>
    </w:p>
    <w:p w:rsidR="001F435B" w:rsidRDefault="001F435B" w:rsidP="00552B46">
      <w:pPr>
        <w:pStyle w:val="ListParagraph"/>
        <w:numPr>
          <w:ilvl w:val="0"/>
          <w:numId w:val="14"/>
        </w:numPr>
        <w:contextualSpacing w:val="0"/>
      </w:pPr>
      <w:r w:rsidRPr="00875336">
        <w:rPr>
          <w:i/>
        </w:rPr>
        <w:t>I Intend to Voluntarily Cancel or Reformulate the Product Registration</w:t>
      </w:r>
      <w:r>
        <w:t>. This option is only available for pesticide registrants. Registrants may request voluntary cancellation of their product</w:t>
      </w:r>
      <w:r w:rsidR="00CF1D4B">
        <w:t>'</w:t>
      </w:r>
      <w:r>
        <w:t>s pesticide registration pursuant to FIFRA section 6(f).</w:t>
      </w:r>
      <w:r w:rsidR="000C6CB0">
        <w:t xml:space="preserve"> </w:t>
      </w:r>
      <w:r>
        <w:t>Doing so would initiate the existing procedures for a voluntary cancellation.</w:t>
      </w:r>
      <w:r w:rsidR="000C6CB0">
        <w:t xml:space="preserve"> </w:t>
      </w:r>
      <w:r>
        <w:t>Under those procedures, the registrant may either adopt the standard procedures for sale or use of existing stocks of their pesticide, or may propose an alternative procedure.</w:t>
      </w:r>
      <w:r w:rsidR="000C6CB0">
        <w:t xml:space="preserve"> </w:t>
      </w:r>
      <w:r>
        <w:t xml:space="preserve">Alternatively, in the case of an inert ingredient, a registrant of an end-use product may submit an application to amend the formulation of its product by removing the ingredient that is the subject of the Tier 1 </w:t>
      </w:r>
      <w:r w:rsidR="00D70092">
        <w:t>order</w:t>
      </w:r>
      <w:r>
        <w:t>. This is all accomplished through the submission of an application to amend the registration following the established procedures.</w:t>
      </w:r>
      <w:r w:rsidR="000C6CB0">
        <w:t xml:space="preserve"> </w:t>
      </w:r>
      <w:r>
        <w:t xml:space="preserve">In general, </w:t>
      </w:r>
      <w:r w:rsidR="00C270A7">
        <w:t>the EPA</w:t>
      </w:r>
      <w:r w:rsidR="00CF1D4B">
        <w:t>'</w:t>
      </w:r>
      <w:r>
        <w:t xml:space="preserve">s policy does not include the issuance of orders under FFDCA </w:t>
      </w:r>
      <w:r w:rsidR="004B1979">
        <w:t xml:space="preserve">section </w:t>
      </w:r>
      <w:r>
        <w:t>408(p) to registrants of end-use products.</w:t>
      </w:r>
    </w:p>
    <w:p w:rsidR="000F0DF3" w:rsidRDefault="001F435B" w:rsidP="00552B46">
      <w:pPr>
        <w:pStyle w:val="ListParagraph"/>
        <w:numPr>
          <w:ilvl w:val="0"/>
          <w:numId w:val="14"/>
        </w:numPr>
        <w:contextualSpacing w:val="0"/>
      </w:pPr>
      <w:r w:rsidRPr="00875336">
        <w:rPr>
          <w:i/>
        </w:rPr>
        <w:t>I Claim a Formulators</w:t>
      </w:r>
      <w:r w:rsidR="00CF1D4B">
        <w:rPr>
          <w:i/>
        </w:rPr>
        <w:t>'</w:t>
      </w:r>
      <w:r w:rsidRPr="00875336">
        <w:rPr>
          <w:i/>
        </w:rPr>
        <w:t xml:space="preserve"> Exemption</w:t>
      </w:r>
      <w:r>
        <w:t xml:space="preserve">. A pesticide registrant who receives an </w:t>
      </w:r>
      <w:r w:rsidR="00D70092">
        <w:t>order</w:t>
      </w:r>
      <w:r>
        <w:t xml:space="preserve"> to test a chemical who purchases the chemical from another recipient who has agreed to generate the data may be eligible for a formulators</w:t>
      </w:r>
      <w:r w:rsidR="00CF1D4B">
        <w:t>'</w:t>
      </w:r>
      <w:r>
        <w:t xml:space="preserve"> exemption, but exercise of this option may depend on the authority under which the </w:t>
      </w:r>
      <w:r w:rsidR="00D70092">
        <w:t>order</w:t>
      </w:r>
      <w:r>
        <w:t xml:space="preserve"> is issued.</w:t>
      </w:r>
      <w:r w:rsidR="000C6CB0">
        <w:t xml:space="preserve"> </w:t>
      </w:r>
      <w:r>
        <w:t xml:space="preserve">If </w:t>
      </w:r>
      <w:r w:rsidR="00C270A7">
        <w:t>the EPA</w:t>
      </w:r>
      <w:r>
        <w:t xml:space="preserve"> were to rely solely on FIFRA 3(c</w:t>
      </w:r>
      <w:proofErr w:type="gramStart"/>
      <w:r>
        <w:t>)(</w:t>
      </w:r>
      <w:proofErr w:type="gramEnd"/>
      <w:r>
        <w:t xml:space="preserve">2)(B), the option would not be available for </w:t>
      </w:r>
      <w:r w:rsidR="001E640A">
        <w:t>orders</w:t>
      </w:r>
      <w:r>
        <w:t xml:space="preserve"> to test an inert ingredient since manufacturers and importers would not be subject to a FIFRA order.</w:t>
      </w:r>
      <w:r w:rsidR="000C6CB0">
        <w:t xml:space="preserve"> </w:t>
      </w:r>
      <w:r>
        <w:t>Such a claim would initiate the existing procedures for formulators</w:t>
      </w:r>
      <w:r w:rsidR="00CF1D4B">
        <w:t>'</w:t>
      </w:r>
      <w:r>
        <w:t xml:space="preserve"> exemption.</w:t>
      </w:r>
      <w:r w:rsidR="000C6CB0">
        <w:t xml:space="preserve"> </w:t>
      </w:r>
      <w:r w:rsidR="00C270A7">
        <w:t>The EPA</w:t>
      </w:r>
      <w:r>
        <w:t xml:space="preserve"> will confirm claims of eligibility.</w:t>
      </w:r>
      <w:r w:rsidR="000C6CB0">
        <w:t xml:space="preserve"> </w:t>
      </w:r>
      <w:r>
        <w:t>A formulators</w:t>
      </w:r>
      <w:r w:rsidR="00CF1D4B">
        <w:t>'</w:t>
      </w:r>
      <w:r>
        <w:t xml:space="preserve"> exemption would become invalid if the supplier of the chemical were not to submit the data either individually or</w:t>
      </w:r>
      <w:r w:rsidR="001B4D0B">
        <w:t xml:space="preserve"> jointly with other recipients.</w:t>
      </w:r>
    </w:p>
    <w:p w:rsidR="001F435B" w:rsidRDefault="001F435B" w:rsidP="00552B46">
      <w:pPr>
        <w:pStyle w:val="ListParagraph"/>
        <w:numPr>
          <w:ilvl w:val="0"/>
          <w:numId w:val="14"/>
        </w:numPr>
        <w:contextualSpacing w:val="0"/>
      </w:pPr>
      <w:r w:rsidRPr="00875336">
        <w:rPr>
          <w:i/>
        </w:rPr>
        <w:t>I Have or Am in the Process of Discontinuing the Manufacture/Importation of the Chemical</w:t>
      </w:r>
      <w:r>
        <w:t xml:space="preserve">. This option is only available for pesticide inert ingredients. The recipient of an </w:t>
      </w:r>
      <w:r w:rsidR="00D70092">
        <w:t>order</w:t>
      </w:r>
      <w:r>
        <w:t xml:space="preserve"> for a pesticide inert </w:t>
      </w:r>
      <w:r>
        <w:lastRenderedPageBreak/>
        <w:t>ingredient (</w:t>
      </w:r>
      <w:r w:rsidRPr="00924FAB">
        <w:rPr>
          <w:i/>
        </w:rPr>
        <w:t>i.e.</w:t>
      </w:r>
      <w:r>
        <w:t>, manufacturer/importer) would choose this option to indicate that they have already or are in the process of discontinuing the manufacture or import of the chemical.</w:t>
      </w:r>
      <w:r w:rsidR="000C6CB0">
        <w:t xml:space="preserve"> </w:t>
      </w:r>
      <w:r>
        <w:t>The recipient</w:t>
      </w:r>
      <w:r w:rsidR="00CF1D4B">
        <w:t>'</w:t>
      </w:r>
      <w:r>
        <w:t>s initial response would include an explanation and documentation supporting their claim.</w:t>
      </w:r>
      <w:r w:rsidR="000C6CB0">
        <w:t xml:space="preserve"> </w:t>
      </w:r>
      <w:r w:rsidR="00C270A7">
        <w:t>The EPA</w:t>
      </w:r>
      <w:r>
        <w:t xml:space="preserve"> intends to verify such a claim.</w:t>
      </w:r>
      <w:r w:rsidR="000C6CB0">
        <w:t xml:space="preserve"> </w:t>
      </w:r>
      <w:r>
        <w:t xml:space="preserve">If </w:t>
      </w:r>
      <w:r w:rsidR="00C270A7">
        <w:t>the EPA</w:t>
      </w:r>
      <w:r>
        <w:t xml:space="preserve"> confirms the claim, the Initial Response Form is the only response required to satisfy the </w:t>
      </w:r>
      <w:r w:rsidR="00D70092">
        <w:t>order</w:t>
      </w:r>
      <w:r>
        <w:t>.</w:t>
      </w:r>
      <w:r w:rsidR="000C6CB0">
        <w:t xml:space="preserve"> </w:t>
      </w:r>
      <w:r>
        <w:t xml:space="preserve">If, however, </w:t>
      </w:r>
      <w:r w:rsidR="00C270A7">
        <w:t>the EPA</w:t>
      </w:r>
      <w:r>
        <w:t xml:space="preserve"> determines that the claim is false, the recipient must comply with the </w:t>
      </w:r>
      <w:r w:rsidR="00D70092">
        <w:t>order</w:t>
      </w:r>
      <w:r>
        <w:t>.</w:t>
      </w:r>
    </w:p>
    <w:p w:rsidR="000F0DF3" w:rsidRDefault="001F435B" w:rsidP="00552B46">
      <w:pPr>
        <w:pStyle w:val="ListParagraph"/>
        <w:numPr>
          <w:ilvl w:val="0"/>
          <w:numId w:val="14"/>
        </w:numPr>
        <w:contextualSpacing w:val="0"/>
      </w:pPr>
      <w:r w:rsidRPr="00875336">
        <w:rPr>
          <w:i/>
        </w:rPr>
        <w:t>I Will Not Sell the Chemical for Use in Pesticide Products</w:t>
      </w:r>
      <w:r>
        <w:t>.</w:t>
      </w:r>
      <w:r w:rsidR="000C6CB0">
        <w:t xml:space="preserve"> </w:t>
      </w:r>
      <w:r>
        <w:t>This option is only available for pesticide inert ingredients.</w:t>
      </w:r>
      <w:r w:rsidR="000C6CB0">
        <w:t xml:space="preserve"> </w:t>
      </w:r>
      <w:r>
        <w:t xml:space="preserve">The recipient of an </w:t>
      </w:r>
      <w:r w:rsidR="00D70092">
        <w:t>order</w:t>
      </w:r>
      <w:r>
        <w:t xml:space="preserve"> for a pesticide inert ingredient (</w:t>
      </w:r>
      <w:r w:rsidRPr="00924FAB">
        <w:rPr>
          <w:i/>
        </w:rPr>
        <w:t>i.e.</w:t>
      </w:r>
      <w:r>
        <w:t>, manufacturer/</w:t>
      </w:r>
      <w:r w:rsidR="00EC52B0">
        <w:t xml:space="preserve"> </w:t>
      </w:r>
      <w:r>
        <w:t>importer) would choose this option to indicate that they do not currently or agree to no longer sell their chemical for use in the pesticide market.</w:t>
      </w:r>
      <w:r w:rsidR="000C6CB0">
        <w:t xml:space="preserve"> </w:t>
      </w:r>
      <w:r>
        <w:t xml:space="preserve">To elect this option, the </w:t>
      </w:r>
      <w:r w:rsidR="00D70092">
        <w:t>order</w:t>
      </w:r>
      <w:r>
        <w:t xml:space="preserve"> recipient would indicate, as part of its initial response, that they commit to discontinue, on or before a date six months after the issuance of the Tier 1 </w:t>
      </w:r>
      <w:r w:rsidR="00D70092">
        <w:t>order</w:t>
      </w:r>
      <w:r>
        <w:t>, all sale and distribution of the chemical to any person who the recipient knows, or reasonably should know, intends to use the chemical in the formulation of a pesticide product.</w:t>
      </w:r>
      <w:r w:rsidR="000C6CB0">
        <w:t xml:space="preserve"> </w:t>
      </w:r>
      <w:r>
        <w:t xml:space="preserve">The </w:t>
      </w:r>
      <w:r w:rsidR="00D70092">
        <w:t>order</w:t>
      </w:r>
      <w:r>
        <w:t xml:space="preserve"> recipient would also indicate that it will include in all contracts for sale or distribution of the material a provision that contractually prohibits the purchaser from using the substance in the formulation of a pesticide product.</w:t>
      </w:r>
      <w:r w:rsidR="000C6CB0">
        <w:t xml:space="preserve"> </w:t>
      </w:r>
      <w:r>
        <w:t xml:space="preserve">As part of its initial response, the </w:t>
      </w:r>
      <w:r w:rsidR="00D70092">
        <w:t>order</w:t>
      </w:r>
      <w:r>
        <w:t xml:space="preserve"> recipient would be asked to provide a copy of the contract provision and a certification to include this contractual provision in any contracts entered into on or after a date six months after the issuance of the Tier 1 </w:t>
      </w:r>
      <w:r w:rsidR="00D70092">
        <w:t>order</w:t>
      </w:r>
      <w:r>
        <w:t>.</w:t>
      </w:r>
    </w:p>
    <w:p w:rsidR="000F0DF3" w:rsidRDefault="001F435B" w:rsidP="00552B46">
      <w:pPr>
        <w:pStyle w:val="ListParagraph"/>
        <w:numPr>
          <w:ilvl w:val="0"/>
          <w:numId w:val="14"/>
        </w:numPr>
        <w:contextualSpacing w:val="0"/>
      </w:pPr>
      <w:r w:rsidRPr="00875336">
        <w:rPr>
          <w:i/>
        </w:rPr>
        <w:t>Request an exemption under FFDCA section 408(p</w:t>
      </w:r>
      <w:proofErr w:type="gramStart"/>
      <w:r w:rsidRPr="00875336">
        <w:rPr>
          <w:i/>
        </w:rPr>
        <w:t>)(</w:t>
      </w:r>
      <w:proofErr w:type="gramEnd"/>
      <w:r w:rsidRPr="00875336">
        <w:rPr>
          <w:i/>
        </w:rPr>
        <w:t>4)</w:t>
      </w:r>
      <w:r>
        <w:t>.</w:t>
      </w:r>
      <w:r w:rsidR="000C6CB0">
        <w:t xml:space="preserve"> </w:t>
      </w:r>
      <w:r>
        <w:t xml:space="preserve">FFDCA section 408(p)(4) provides that </w:t>
      </w:r>
      <w:r w:rsidR="00CF1D4B">
        <w:t>"</w:t>
      </w:r>
      <w:r>
        <w:t>the Administrator may, by order, exempt from the requirements of this section a biologic substance or other substance if the Administrator determines that the substance is anticipated not to produce any effect in humans similar to an effect produced by a naturally occurring estrogen.</w:t>
      </w:r>
      <w:r w:rsidR="00CF1D4B">
        <w:t>"</w:t>
      </w:r>
      <w:r w:rsidR="000C6CB0">
        <w:t xml:space="preserve"> </w:t>
      </w:r>
    </w:p>
    <w:p w:rsidR="000F0DF3" w:rsidRDefault="003D2886" w:rsidP="001E640A">
      <w:pPr>
        <w:ind w:left="360"/>
      </w:pPr>
      <w:r>
        <w:t>I</w:t>
      </w:r>
      <w:r w:rsidR="001F435B">
        <w:t xml:space="preserve">f an </w:t>
      </w:r>
      <w:r w:rsidR="00D70092">
        <w:t>order</w:t>
      </w:r>
      <w:r w:rsidR="001F435B">
        <w:t xml:space="preserve"> recipient believes that this showing can be made for its chemical, the </w:t>
      </w:r>
      <w:r w:rsidR="00CF1D4B">
        <w:t>agency</w:t>
      </w:r>
      <w:r w:rsidR="001F435B">
        <w:t xml:space="preserve"> would consider requests to issue such an exemption order on a case-by-case or chemical-by-chemical basis in response to individual submissions or requests for such consideration.</w:t>
      </w:r>
      <w:r w:rsidR="000C6CB0">
        <w:t xml:space="preserve"> </w:t>
      </w:r>
      <w:r w:rsidR="001F435B">
        <w:t xml:space="preserve">In order for the </w:t>
      </w:r>
      <w:r w:rsidR="00CF1D4B">
        <w:t>agency</w:t>
      </w:r>
      <w:r w:rsidR="001F435B">
        <w:t xml:space="preserve"> to make the necessary statutory finding to issue the exemption, the request would need to provide any hazard-related information that the recipient believes would allow </w:t>
      </w:r>
      <w:r w:rsidR="00C270A7">
        <w:t>the EPA</w:t>
      </w:r>
      <w:r w:rsidR="001F435B">
        <w:t xml:space="preserve"> to determine that the chemical is anticipated to not be an endocrine disruptor, </w:t>
      </w:r>
      <w:r w:rsidR="001F435B" w:rsidRPr="00924FAB">
        <w:rPr>
          <w:i/>
        </w:rPr>
        <w:t>i.e.</w:t>
      </w:r>
      <w:r w:rsidR="001F435B">
        <w:t xml:space="preserve">, is not anticipated </w:t>
      </w:r>
      <w:r w:rsidR="00CF1D4B">
        <w:t>"</w:t>
      </w:r>
      <w:r w:rsidR="001F435B">
        <w:t>to produce any effect in humans similar to an effect produced by a naturally occurring estrogen.</w:t>
      </w:r>
      <w:r w:rsidR="00CF1D4B">
        <w:t>"</w:t>
      </w:r>
    </w:p>
    <w:p w:rsidR="001F435B" w:rsidRDefault="001F435B" w:rsidP="00552B46">
      <w:pPr>
        <w:pStyle w:val="ListParagraph"/>
        <w:keepNext/>
        <w:numPr>
          <w:ilvl w:val="0"/>
          <w:numId w:val="14"/>
        </w:numPr>
        <w:contextualSpacing w:val="0"/>
      </w:pPr>
      <w:r w:rsidRPr="00875336">
        <w:rPr>
          <w:i/>
        </w:rPr>
        <w:t>Other initial responses</w:t>
      </w:r>
      <w:r>
        <w:t>.</w:t>
      </w:r>
      <w:r w:rsidR="000C6CB0">
        <w:t xml:space="preserve"> </w:t>
      </w:r>
      <w:r>
        <w:t xml:space="preserve">There are two other response options available to </w:t>
      </w:r>
      <w:r w:rsidR="00FD5EDF">
        <w:t xml:space="preserve">all </w:t>
      </w:r>
      <w:r>
        <w:t>order recipients.</w:t>
      </w:r>
    </w:p>
    <w:p w:rsidR="000F0DF3" w:rsidRDefault="001F435B" w:rsidP="00552B46">
      <w:pPr>
        <w:pStyle w:val="ListParagraph"/>
        <w:numPr>
          <w:ilvl w:val="0"/>
          <w:numId w:val="15"/>
        </w:numPr>
      </w:pPr>
      <w:r w:rsidRPr="001E640A">
        <w:rPr>
          <w:i/>
        </w:rPr>
        <w:t>Pre-enforcement challenges to the Tier 1 Order</w:t>
      </w:r>
      <w:r>
        <w:t>.</w:t>
      </w:r>
      <w:r w:rsidR="000C6CB0">
        <w:t xml:space="preserve"> </w:t>
      </w:r>
      <w:r>
        <w:t xml:space="preserve">If a recipient wishes to challenge the Tier 1 </w:t>
      </w:r>
      <w:r w:rsidR="00D70092">
        <w:t>order</w:t>
      </w:r>
      <w:r>
        <w:t xml:space="preserve">, the </w:t>
      </w:r>
      <w:r w:rsidR="00D70092">
        <w:t>order</w:t>
      </w:r>
      <w:r>
        <w:t xml:space="preserve"> will describe the informal process by which a recipient may raise, and </w:t>
      </w:r>
      <w:r w:rsidR="00C270A7">
        <w:t>the EPA</w:t>
      </w:r>
      <w:r>
        <w:t xml:space="preserve"> may </w:t>
      </w:r>
      <w:proofErr w:type="gramStart"/>
      <w:r>
        <w:t>review,</w:t>
      </w:r>
      <w:proofErr w:type="gramEnd"/>
      <w:r>
        <w:t xml:space="preserve"> objections to the issuance of an </w:t>
      </w:r>
      <w:r w:rsidR="00D70092">
        <w:t>order</w:t>
      </w:r>
      <w:r>
        <w:t xml:space="preserve"> or to specific provisions in the </w:t>
      </w:r>
      <w:r w:rsidR="00D70092">
        <w:t>order</w:t>
      </w:r>
      <w:r>
        <w:t>.</w:t>
      </w:r>
      <w:r w:rsidR="000C6CB0">
        <w:t xml:space="preserve"> </w:t>
      </w:r>
      <w:r>
        <w:t xml:space="preserve">For </w:t>
      </w:r>
      <w:r w:rsidR="00C270A7">
        <w:t>the EPA</w:t>
      </w:r>
      <w:r>
        <w:t xml:space="preserve"> to be able to respond to the objections in a timely manner, the recipient would need to state with particularity the scope and basis of the objection, providing sufficient detail to allow the </w:t>
      </w:r>
      <w:r w:rsidR="00CF1D4B">
        <w:t>agency</w:t>
      </w:r>
      <w:r>
        <w:t xml:space="preserve"> to evaluate the objection.</w:t>
      </w:r>
    </w:p>
    <w:p w:rsidR="000F0DF3" w:rsidRDefault="001F435B" w:rsidP="00552B46">
      <w:pPr>
        <w:pStyle w:val="ListParagraph"/>
        <w:numPr>
          <w:ilvl w:val="0"/>
          <w:numId w:val="15"/>
        </w:numPr>
      </w:pPr>
      <w:r w:rsidRPr="001E640A">
        <w:rPr>
          <w:i/>
        </w:rPr>
        <w:t xml:space="preserve">Additional EDSP screening is unnecessary because the chemical is an endocrine disruptor or was used as a </w:t>
      </w:r>
      <w:r w:rsidR="00CF1D4B" w:rsidRPr="001E640A">
        <w:rPr>
          <w:i/>
        </w:rPr>
        <w:t>"</w:t>
      </w:r>
      <w:r w:rsidRPr="001E640A">
        <w:rPr>
          <w:i/>
        </w:rPr>
        <w:t>positive control</w:t>
      </w:r>
      <w:r w:rsidR="00CF1D4B" w:rsidRPr="001E640A">
        <w:rPr>
          <w:i/>
        </w:rPr>
        <w:t>"</w:t>
      </w:r>
      <w:r w:rsidRPr="001E640A">
        <w:rPr>
          <w:i/>
        </w:rPr>
        <w:t xml:space="preserve"> in the EDSP validation effort</w:t>
      </w:r>
      <w:r>
        <w:t>.</w:t>
      </w:r>
      <w:r w:rsidR="000C6CB0">
        <w:t xml:space="preserve"> </w:t>
      </w:r>
      <w:r>
        <w:t xml:space="preserve">If an </w:t>
      </w:r>
      <w:r w:rsidR="00D70092">
        <w:t>order</w:t>
      </w:r>
      <w:r>
        <w:t xml:space="preserve"> recipient chooses to ask </w:t>
      </w:r>
      <w:r w:rsidR="00C270A7">
        <w:t>the EPA</w:t>
      </w:r>
      <w:r>
        <w:t xml:space="preserve"> to reconsider some or all of the testing specified in the Tier 1 </w:t>
      </w:r>
      <w:r w:rsidR="00D70092">
        <w:t>order</w:t>
      </w:r>
      <w:r>
        <w:t xml:space="preserve">, </w:t>
      </w:r>
      <w:r w:rsidR="00C270A7">
        <w:t>the EPA</w:t>
      </w:r>
      <w:r>
        <w:t xml:space="preserve"> would review the request, along with the appropriate information supporting the claim that additional EDSP screening of the chemical is unnecessary because the chemical is an endocrine disruptor or </w:t>
      </w:r>
      <w:r>
        <w:lastRenderedPageBreak/>
        <w:t xml:space="preserve">was used as a </w:t>
      </w:r>
      <w:r w:rsidR="00CF1D4B">
        <w:t>"</w:t>
      </w:r>
      <w:r>
        <w:t>positive control</w:t>
      </w:r>
      <w:r w:rsidR="00CF1D4B">
        <w:t>"</w:t>
      </w:r>
      <w:r>
        <w:t xml:space="preserve"> in the EDSP validation effort, on a case-by-case basis. Based on the information currently available, </w:t>
      </w:r>
      <w:r w:rsidR="00C270A7">
        <w:t>the EPA</w:t>
      </w:r>
      <w:r>
        <w:t xml:space="preserve"> generally expects that if the chemical was used by </w:t>
      </w:r>
      <w:r w:rsidR="00C270A7">
        <w:t>the EPA</w:t>
      </w:r>
      <w:r>
        <w:t xml:space="preserve"> as a </w:t>
      </w:r>
      <w:r w:rsidR="00CF1D4B">
        <w:t>''</w:t>
      </w:r>
      <w:r>
        <w:t>positive control</w:t>
      </w:r>
      <w:r w:rsidR="00CF1D4B">
        <w:t>''</w:t>
      </w:r>
      <w:r>
        <w:t xml:space="preserve"> to validate one or more of the screening assays, only the data submitted related to those assays for which the chemical was used to complete the testing as part of the validation effort would be sufficient to satisfy the Tier 1 </w:t>
      </w:r>
      <w:r w:rsidR="00D70092">
        <w:t>order</w:t>
      </w:r>
      <w:r>
        <w:t>.</w:t>
      </w:r>
    </w:p>
    <w:p w:rsidR="000F0DF3" w:rsidRDefault="001F435B" w:rsidP="002F2414">
      <w:pPr>
        <w:pStyle w:val="Heading3"/>
      </w:pPr>
      <w:r>
        <w:t>4(c</w:t>
      </w:r>
      <w:proofErr w:type="gramStart"/>
      <w:r>
        <w:t>)(</w:t>
      </w:r>
      <w:proofErr w:type="gramEnd"/>
      <w:r>
        <w:t>ii)</w:t>
      </w:r>
      <w:r w:rsidR="00875336">
        <w:tab/>
      </w:r>
      <w:r>
        <w:t>Progress Report</w:t>
      </w:r>
    </w:p>
    <w:p w:rsidR="000F0DF3" w:rsidRDefault="001F435B" w:rsidP="00F16932">
      <w:r>
        <w:t xml:space="preserve">Unless </w:t>
      </w:r>
      <w:r w:rsidR="00C270A7">
        <w:t>the EPA</w:t>
      </w:r>
      <w:r>
        <w:t xml:space="preserve"> has notified the </w:t>
      </w:r>
      <w:r w:rsidR="00D70092">
        <w:t>order</w:t>
      </w:r>
      <w:r>
        <w:t xml:space="preserve"> recipient in writing that the requirements of the </w:t>
      </w:r>
      <w:r w:rsidR="00D70092">
        <w:t>order</w:t>
      </w:r>
      <w:r>
        <w:t xml:space="preserve"> have been satisfied, the </w:t>
      </w:r>
      <w:r w:rsidR="00D70092">
        <w:t>order</w:t>
      </w:r>
      <w:r>
        <w:t xml:space="preserve"> recipient must submit a progress report to </w:t>
      </w:r>
      <w:r w:rsidR="00C270A7">
        <w:t>the EPA</w:t>
      </w:r>
      <w:r>
        <w:t xml:space="preserve"> within 12 months of the issuance of the </w:t>
      </w:r>
      <w:r w:rsidR="00D70092">
        <w:t>order</w:t>
      </w:r>
      <w:r>
        <w:t xml:space="preserve"> (the specific due date will be identified in the </w:t>
      </w:r>
      <w:r w:rsidR="00D70092">
        <w:t>order</w:t>
      </w:r>
      <w:r>
        <w:t>). The progress report should provide a brief description of the status of the respondent</w:t>
      </w:r>
      <w:r w:rsidR="00CF1D4B">
        <w:t>'</w:t>
      </w:r>
      <w:r>
        <w:t xml:space="preserve">s planned activities for each assay, and, if applicable, a description of any problems encountered or expected difficulties in meeting the schedule for complying with the </w:t>
      </w:r>
      <w:r w:rsidR="00D70092">
        <w:t>order</w:t>
      </w:r>
      <w:r>
        <w:t>.</w:t>
      </w:r>
    </w:p>
    <w:p w:rsidR="000F0DF3" w:rsidRDefault="001F435B" w:rsidP="002F2414">
      <w:pPr>
        <w:pStyle w:val="Heading3"/>
      </w:pPr>
      <w:r>
        <w:t>4(c</w:t>
      </w:r>
      <w:proofErr w:type="gramStart"/>
      <w:r>
        <w:t>)(</w:t>
      </w:r>
      <w:proofErr w:type="gramEnd"/>
      <w:r>
        <w:t>iii)</w:t>
      </w:r>
      <w:r w:rsidR="00875336">
        <w:tab/>
      </w:r>
      <w:r>
        <w:t>Extension Requests</w:t>
      </w:r>
    </w:p>
    <w:p w:rsidR="000F0DF3" w:rsidRDefault="001F435B" w:rsidP="00F16932">
      <w:proofErr w:type="gramStart"/>
      <w:r>
        <w:t xml:space="preserve">If a recipient cannot comply with the time frame established in the </w:t>
      </w:r>
      <w:r w:rsidR="00D70092">
        <w:t>order</w:t>
      </w:r>
      <w:r>
        <w:t xml:space="preserve"> (see section 5(d) of this ICR), they may seek additional time by submitting a written request for an extension to the </w:t>
      </w:r>
      <w:r w:rsidR="00CF1D4B">
        <w:t>agency</w:t>
      </w:r>
      <w:r>
        <w:t>.</w:t>
      </w:r>
      <w:proofErr w:type="gramEnd"/>
      <w:r>
        <w:t xml:space="preserve"> The written request must be submitted before the applicable deadline and include</w:t>
      </w:r>
      <w:r w:rsidR="000C6CB0">
        <w:t xml:space="preserve">:  </w:t>
      </w:r>
      <w:r>
        <w:t xml:space="preserve">(1) a detailed description of the expected difficulty and (2) a proposed schedule including alternative dates for meeting the requirements of the </w:t>
      </w:r>
      <w:r w:rsidR="00D70092">
        <w:t>order</w:t>
      </w:r>
      <w:r>
        <w:t>.</w:t>
      </w:r>
      <w:r w:rsidR="000C6CB0">
        <w:t xml:space="preserve"> </w:t>
      </w:r>
      <w:r>
        <w:t>If the delay is based on technical or laboratory difficulties, recipients are expected to explain any technical or laboratory difficulties and provide documentation from the laboratory performing the testing.</w:t>
      </w:r>
    </w:p>
    <w:p w:rsidR="000F0DF3" w:rsidRDefault="001F435B" w:rsidP="00F16932">
      <w:r>
        <w:t xml:space="preserve">While </w:t>
      </w:r>
      <w:r w:rsidR="00C270A7">
        <w:t>the EPA</w:t>
      </w:r>
      <w:r>
        <w:t xml:space="preserve"> is considering any such request, the original deadlines in the </w:t>
      </w:r>
      <w:r w:rsidR="00D70092">
        <w:t>order</w:t>
      </w:r>
      <w:r>
        <w:t xml:space="preserve"> remain unchanged. The </w:t>
      </w:r>
      <w:r w:rsidR="00CF1D4B">
        <w:t>agency</w:t>
      </w:r>
      <w:r>
        <w:t xml:space="preserve"> will respond to such requests in writing because </w:t>
      </w:r>
      <w:r w:rsidR="00273B98">
        <w:t xml:space="preserve">time </w:t>
      </w:r>
      <w:r>
        <w:t>extensions can only be granted in writing.</w:t>
      </w:r>
      <w:r w:rsidR="000C6CB0">
        <w:t xml:space="preserve"> </w:t>
      </w:r>
      <w:r>
        <w:t xml:space="preserve">If </w:t>
      </w:r>
      <w:r w:rsidR="00C270A7">
        <w:t>the EPA</w:t>
      </w:r>
      <w:r>
        <w:t xml:space="preserve"> does not grant the request, the original deadline remains. Normally, </w:t>
      </w:r>
      <w:r w:rsidR="00273B98">
        <w:t xml:space="preserve">time </w:t>
      </w:r>
      <w:r>
        <w:t xml:space="preserve">extensions can be requested only in cases of extraordinary testing problems beyond the expectation or control of the registrant, manufacturer, or importer. </w:t>
      </w:r>
      <w:r w:rsidR="00273B98">
        <w:t>Time e</w:t>
      </w:r>
      <w:r>
        <w:t>xtensions will not be considered if the request for extension is not made in a timely fashion; in no event shall a</w:t>
      </w:r>
      <w:r w:rsidR="00273B98">
        <w:t xml:space="preserve"> time </w:t>
      </w:r>
      <w:r>
        <w:t>extension request be considered if it is submitted at or after the lapse of the subject deadline.</w:t>
      </w:r>
    </w:p>
    <w:p w:rsidR="000F0DF3" w:rsidRDefault="001F435B" w:rsidP="002F2414">
      <w:pPr>
        <w:pStyle w:val="Heading3"/>
      </w:pPr>
      <w:r>
        <w:t>4(c</w:t>
      </w:r>
      <w:proofErr w:type="gramStart"/>
      <w:r>
        <w:t>)(</w:t>
      </w:r>
      <w:proofErr w:type="gramEnd"/>
      <w:r>
        <w:t>iv)</w:t>
      </w:r>
      <w:r w:rsidR="00875336">
        <w:tab/>
      </w:r>
      <w:r>
        <w:t>Data Generation</w:t>
      </w:r>
    </w:p>
    <w:p w:rsidR="000F0DF3" w:rsidRDefault="001F435B" w:rsidP="00F16932">
      <w:r>
        <w:t xml:space="preserve">The Tier 1 </w:t>
      </w:r>
      <w:r w:rsidR="00D70092">
        <w:t>order</w:t>
      </w:r>
      <w:r>
        <w:t xml:space="preserve"> will request specific data from a battery of assays.</w:t>
      </w:r>
      <w:r w:rsidR="000C6CB0">
        <w:t xml:space="preserve"> </w:t>
      </w:r>
      <w:r>
        <w:t>The Tier 1 screening battery is intended to identify chemicals affecting the estrogen, androgen, or thyroid hormone systems through any of several recognized modes of action.</w:t>
      </w:r>
      <w:r w:rsidR="000C6CB0">
        <w:t xml:space="preserve"> </w:t>
      </w:r>
      <w:r>
        <w:t>The following is a list and brief description of each of the assays that are part of the final Tier 1 battery:</w:t>
      </w:r>
    </w:p>
    <w:p w:rsidR="000F0DF3" w:rsidRDefault="001F435B" w:rsidP="00552B46">
      <w:pPr>
        <w:pStyle w:val="ListParagraph"/>
        <w:numPr>
          <w:ilvl w:val="0"/>
          <w:numId w:val="6"/>
        </w:numPr>
        <w:ind w:left="806" w:hanging="446"/>
        <w:contextualSpacing w:val="0"/>
      </w:pPr>
      <w:r w:rsidRPr="00875336">
        <w:rPr>
          <w:i/>
        </w:rPr>
        <w:t xml:space="preserve">Amphibian Metamorphosis (Frog) </w:t>
      </w:r>
      <w:r>
        <w:t>- The Amphibian Metamorphosis assay involves the use of tadpoles to determine if chemicals affect the hypothalamic-pituitary-thyroid (HPT) axis during metamorphosis and consequently result in developmental effects.</w:t>
      </w:r>
    </w:p>
    <w:p w:rsidR="000F0DF3" w:rsidRDefault="001F435B" w:rsidP="00552B46">
      <w:pPr>
        <w:pStyle w:val="ListParagraph"/>
        <w:numPr>
          <w:ilvl w:val="0"/>
          <w:numId w:val="6"/>
        </w:numPr>
        <w:ind w:left="806" w:hanging="446"/>
        <w:contextualSpacing w:val="0"/>
      </w:pPr>
      <w:r w:rsidRPr="00875336">
        <w:rPr>
          <w:i/>
        </w:rPr>
        <w:t>Androgen Receptor Binding (Rat Prostate)</w:t>
      </w:r>
      <w:r>
        <w:t xml:space="preserve"> - The androgen receptor (AR) is involved in the development of male sexual characteristics.</w:t>
      </w:r>
      <w:r w:rsidR="000C6CB0">
        <w:t xml:space="preserve"> </w:t>
      </w:r>
      <w:r>
        <w:t xml:space="preserve">The AR Binding assay identifies chemicals that affect the endocrine system by binding to hormone receptors to either mimic the action of the </w:t>
      </w:r>
      <w:r>
        <w:lastRenderedPageBreak/>
        <w:t>natural hormone or block access of the hormone to the site and thus block hormone controlled activity.</w:t>
      </w:r>
    </w:p>
    <w:p w:rsidR="000F0DF3" w:rsidRDefault="001F435B" w:rsidP="00552B46">
      <w:pPr>
        <w:pStyle w:val="ListParagraph"/>
        <w:numPr>
          <w:ilvl w:val="0"/>
          <w:numId w:val="6"/>
        </w:numPr>
        <w:ind w:left="806" w:hanging="446"/>
        <w:contextualSpacing w:val="0"/>
      </w:pPr>
      <w:r w:rsidRPr="00875336">
        <w:rPr>
          <w:i/>
        </w:rPr>
        <w:t>Aromatase (Human Recombinant)</w:t>
      </w:r>
      <w:r>
        <w:t xml:space="preserve"> - Aromatase is an enzyme complex responsible for estrogen biosynthesis that converts androgens into estrogens, estradiol, and estrone. The Aromatase </w:t>
      </w:r>
      <w:r w:rsidR="00924FAB" w:rsidRPr="00924FAB">
        <w:rPr>
          <w:i/>
        </w:rPr>
        <w:t>in vitro</w:t>
      </w:r>
      <w:r>
        <w:t xml:space="preserve"> assay focuses on this portion of the </w:t>
      </w:r>
      <w:proofErr w:type="spellStart"/>
      <w:r>
        <w:t>steroidogenic</w:t>
      </w:r>
      <w:proofErr w:type="spellEnd"/>
      <w:r>
        <w:t xml:space="preserve"> pathway to detect substances that inhibit aromatase activity.</w:t>
      </w:r>
    </w:p>
    <w:p w:rsidR="000F0DF3" w:rsidRDefault="001F435B" w:rsidP="00552B46">
      <w:pPr>
        <w:pStyle w:val="ListParagraph"/>
        <w:numPr>
          <w:ilvl w:val="0"/>
          <w:numId w:val="6"/>
        </w:numPr>
        <w:ind w:left="806" w:hanging="446"/>
        <w:contextualSpacing w:val="0"/>
      </w:pPr>
      <w:r w:rsidRPr="00875336">
        <w:rPr>
          <w:i/>
        </w:rPr>
        <w:t xml:space="preserve">Estrogen Receptor Binding </w:t>
      </w:r>
      <w:r>
        <w:t>- The estrogen receptor (ER) is involved in female maturation and reproductive function. The ER Binding assay measures the ability of a chemical to bind to the estrogen receptor.</w:t>
      </w:r>
    </w:p>
    <w:p w:rsidR="000F0DF3" w:rsidRDefault="001F435B" w:rsidP="00552B46">
      <w:pPr>
        <w:pStyle w:val="ListParagraph"/>
        <w:numPr>
          <w:ilvl w:val="0"/>
          <w:numId w:val="6"/>
        </w:numPr>
        <w:ind w:left="806" w:hanging="446"/>
        <w:contextualSpacing w:val="0"/>
      </w:pPr>
      <w:r w:rsidRPr="00875336">
        <w:rPr>
          <w:i/>
        </w:rPr>
        <w:t>Estrogen Receptor Transcriptional Activation (Human Cell Line (HeLa-9903))</w:t>
      </w:r>
      <w:r>
        <w:t xml:space="preserve"> - The estrogen receptor (ER) is involved in female maturation and reproductive function. The ER Transcriptional Activation is a cell-based assay that measures the ability of a chemical to bind to the ER and activate transcription resulting in the synthesis of the enzyme luciferase.</w:t>
      </w:r>
    </w:p>
    <w:p w:rsidR="000F0DF3" w:rsidRDefault="001F435B" w:rsidP="00552B46">
      <w:pPr>
        <w:pStyle w:val="ListParagraph"/>
        <w:numPr>
          <w:ilvl w:val="0"/>
          <w:numId w:val="6"/>
        </w:numPr>
        <w:ind w:left="806" w:hanging="446"/>
        <w:contextualSpacing w:val="0"/>
      </w:pPr>
      <w:r w:rsidRPr="00875336">
        <w:rPr>
          <w:i/>
        </w:rPr>
        <w:t>Fish Short-term Reproduction</w:t>
      </w:r>
      <w:r>
        <w:t xml:space="preserve"> - The Fish Short-term Reproduction assay screens for disturbances in the hypothalamic-pituitary-</w:t>
      </w:r>
      <w:proofErr w:type="spellStart"/>
      <w:r>
        <w:t>gonadal</w:t>
      </w:r>
      <w:proofErr w:type="spellEnd"/>
      <w:r>
        <w:t xml:space="preserve"> (HPG) axis including (anti-) ¬estrogenic, (anti-) androgenic, aromatase inhibition, and steroid modulating effects. The assay examines abnormalities associated with survival, reproductive behavior, secondary sex characteristics, histopathology, and fecundity (</w:t>
      </w:r>
      <w:r w:rsidRPr="00924FAB">
        <w:rPr>
          <w:i/>
        </w:rPr>
        <w:t>i.e.</w:t>
      </w:r>
      <w:r>
        <w:t>, number of spawns, number of eggs/spawn, fertility, and development of offspring) of fish exposed to test chemicals.</w:t>
      </w:r>
    </w:p>
    <w:p w:rsidR="000F0DF3" w:rsidRDefault="001F435B" w:rsidP="00552B46">
      <w:pPr>
        <w:pStyle w:val="ListParagraph"/>
        <w:numPr>
          <w:ilvl w:val="0"/>
          <w:numId w:val="6"/>
        </w:numPr>
        <w:ind w:left="806" w:hanging="446"/>
        <w:contextualSpacing w:val="0"/>
      </w:pPr>
      <w:r w:rsidRPr="00875336">
        <w:rPr>
          <w:i/>
        </w:rPr>
        <w:t>Hershberger (Rat)</w:t>
      </w:r>
      <w:r>
        <w:t xml:space="preserve"> - The Hershberger assay is designed to detect androgenic and anti-androgenic effects. In this </w:t>
      </w:r>
      <w:r w:rsidR="00924FAB" w:rsidRPr="00924FAB">
        <w:rPr>
          <w:i/>
        </w:rPr>
        <w:t>in vivo</w:t>
      </w:r>
      <w:r>
        <w:t xml:space="preserve"> assay, the weight of several androgen-dependent tissues, including accessory sex glands, are measured in castrated or immature male rats.</w:t>
      </w:r>
    </w:p>
    <w:p w:rsidR="000F0DF3" w:rsidRDefault="001F435B" w:rsidP="00552B46">
      <w:pPr>
        <w:pStyle w:val="ListParagraph"/>
        <w:numPr>
          <w:ilvl w:val="0"/>
          <w:numId w:val="6"/>
        </w:numPr>
        <w:ind w:left="806" w:hanging="446"/>
        <w:contextualSpacing w:val="0"/>
      </w:pPr>
      <w:r w:rsidRPr="00875336">
        <w:rPr>
          <w:i/>
        </w:rPr>
        <w:t xml:space="preserve">Female Pubertal (Rat) </w:t>
      </w:r>
      <w:r>
        <w:t>- The Pubertal Female assay involves the use of rats to screen for estrogenic and thyroid activity in females during sexual maturation. This assay examines abnormalities associated with sex organs and puberty markers, as well as thyroid tissue.</w:t>
      </w:r>
    </w:p>
    <w:p w:rsidR="000F0DF3" w:rsidRDefault="001F435B" w:rsidP="00552B46">
      <w:pPr>
        <w:pStyle w:val="ListParagraph"/>
        <w:numPr>
          <w:ilvl w:val="0"/>
          <w:numId w:val="6"/>
        </w:numPr>
        <w:ind w:left="806" w:hanging="446"/>
        <w:contextualSpacing w:val="0"/>
      </w:pPr>
      <w:r w:rsidRPr="00875336">
        <w:rPr>
          <w:i/>
        </w:rPr>
        <w:t xml:space="preserve">Male Pubertal (Rat) </w:t>
      </w:r>
      <w:r>
        <w:t>- The Pubertal Male assay involves the use of rats to screen for androgenic, anti-androgenic, and thyroid activity in males during sexual maturation. This assay examines abnormalities associated with sex organs and puberty markers, as well as thyroid tissue.</w:t>
      </w:r>
    </w:p>
    <w:p w:rsidR="000F0DF3" w:rsidRDefault="001F435B" w:rsidP="00552B46">
      <w:pPr>
        <w:pStyle w:val="ListParagraph"/>
        <w:numPr>
          <w:ilvl w:val="0"/>
          <w:numId w:val="6"/>
        </w:numPr>
        <w:ind w:left="806" w:hanging="446"/>
        <w:contextualSpacing w:val="0"/>
      </w:pPr>
      <w:proofErr w:type="spellStart"/>
      <w:r w:rsidRPr="00875336">
        <w:rPr>
          <w:i/>
        </w:rPr>
        <w:t>Steroidogenesis</w:t>
      </w:r>
      <w:proofErr w:type="spellEnd"/>
      <w:r w:rsidRPr="00875336">
        <w:rPr>
          <w:i/>
        </w:rPr>
        <w:t xml:space="preserve"> (Human Cell Line – H295R) </w:t>
      </w:r>
      <w:r>
        <w:t xml:space="preserve">- The </w:t>
      </w:r>
      <w:proofErr w:type="spellStart"/>
      <w:r>
        <w:t>Steroidogenesis</w:t>
      </w:r>
      <w:proofErr w:type="spellEnd"/>
      <w:r>
        <w:t xml:space="preserve"> </w:t>
      </w:r>
      <w:r w:rsidR="00924FAB" w:rsidRPr="00924FAB">
        <w:rPr>
          <w:i/>
        </w:rPr>
        <w:t>in vitro</w:t>
      </w:r>
      <w:r>
        <w:t xml:space="preserve"> assay detects interference with the body</w:t>
      </w:r>
      <w:r w:rsidR="00CF1D4B">
        <w:t>'</w:t>
      </w:r>
      <w:r>
        <w:t>s production of male and female steroid sex hormones. This assay is a cell-based assay using the H295R human adrenocortical carcinoma cell line which can detect inducers of enzymes responsible for steroid synthesis as well as chemicals that inhibit it.</w:t>
      </w:r>
    </w:p>
    <w:p w:rsidR="000F0DF3" w:rsidRDefault="001F435B" w:rsidP="00552B46">
      <w:pPr>
        <w:pStyle w:val="ListParagraph"/>
        <w:numPr>
          <w:ilvl w:val="0"/>
          <w:numId w:val="6"/>
        </w:numPr>
        <w:ind w:left="806" w:hanging="446"/>
        <w:contextualSpacing w:val="0"/>
      </w:pPr>
      <w:proofErr w:type="spellStart"/>
      <w:r w:rsidRPr="000F377D">
        <w:rPr>
          <w:i/>
        </w:rPr>
        <w:t>Uterotrophic</w:t>
      </w:r>
      <w:proofErr w:type="spellEnd"/>
      <w:r w:rsidRPr="000F377D">
        <w:rPr>
          <w:i/>
        </w:rPr>
        <w:t xml:space="preserve"> (Rat) </w:t>
      </w:r>
      <w:r>
        <w:t xml:space="preserve">- The </w:t>
      </w:r>
      <w:proofErr w:type="spellStart"/>
      <w:r>
        <w:t>Uterotrophic</w:t>
      </w:r>
      <w:proofErr w:type="spellEnd"/>
      <w:r>
        <w:t xml:space="preserve"> assay involves the use of female rats to screen for estrogenic effects. In this </w:t>
      </w:r>
      <w:r w:rsidR="00924FAB" w:rsidRPr="00924FAB">
        <w:rPr>
          <w:i/>
        </w:rPr>
        <w:t>in vivo</w:t>
      </w:r>
      <w:r>
        <w:t xml:space="preserve"> assay, uterine weight changes are measured in </w:t>
      </w:r>
      <w:proofErr w:type="spellStart"/>
      <w:r>
        <w:t>ovariectomised</w:t>
      </w:r>
      <w:proofErr w:type="spellEnd"/>
      <w:r>
        <w:t xml:space="preserve"> or immature female rats.</w:t>
      </w:r>
    </w:p>
    <w:p w:rsidR="000F0DF3" w:rsidRDefault="001F435B" w:rsidP="00F16932">
      <w:r>
        <w:t xml:space="preserve">For purposes of estimating the potential burden for the Tier 1 screening information collection activities covered by the ICR, the </w:t>
      </w:r>
      <w:r w:rsidR="00CF1D4B">
        <w:t>agency</w:t>
      </w:r>
      <w:r>
        <w:t xml:space="preserve"> is assuming that each Tier 1 </w:t>
      </w:r>
      <w:r w:rsidR="00D70092">
        <w:t>order</w:t>
      </w:r>
      <w:r>
        <w:t xml:space="preserve"> will include all of the above listed </w:t>
      </w:r>
      <w:r>
        <w:lastRenderedPageBreak/>
        <w:t>assays.</w:t>
      </w:r>
      <w:r w:rsidR="000C6CB0">
        <w:t xml:space="preserve"> </w:t>
      </w:r>
      <w:r>
        <w:t xml:space="preserve">By assuming that each </w:t>
      </w:r>
      <w:r w:rsidR="00D70092">
        <w:t>order</w:t>
      </w:r>
      <w:r>
        <w:t xml:space="preserve"> will include all of these assays, the ICR provides coverage for those cases where the </w:t>
      </w:r>
      <w:r w:rsidR="00D70092">
        <w:t>order</w:t>
      </w:r>
      <w:r>
        <w:t xml:space="preserve"> may not include all of the assays.</w:t>
      </w:r>
    </w:p>
    <w:p w:rsidR="000F0DF3" w:rsidRDefault="001F435B" w:rsidP="002F2414">
      <w:pPr>
        <w:pStyle w:val="Heading3"/>
      </w:pPr>
      <w:r>
        <w:t>4(c</w:t>
      </w:r>
      <w:proofErr w:type="gramStart"/>
      <w:r>
        <w:t>)(</w:t>
      </w:r>
      <w:proofErr w:type="gramEnd"/>
      <w:r>
        <w:t>v)</w:t>
      </w:r>
      <w:r w:rsidR="000F377D">
        <w:tab/>
      </w:r>
      <w:r>
        <w:t>Data Submission</w:t>
      </w:r>
    </w:p>
    <w:p w:rsidR="000F0DF3" w:rsidRDefault="001F435B" w:rsidP="00F16932">
      <w:r>
        <w:t>The order itself will specify the data submission content and format that the recipient should use.</w:t>
      </w:r>
      <w:r w:rsidR="000C6CB0">
        <w:t xml:space="preserve"> </w:t>
      </w:r>
      <w:r>
        <w:t xml:space="preserve">For pesticide active ingredients and pesticide inert ingredients the content and format is based on that used currently for other pesticide data submissions. Since the initial chemicals involve pesticides and pesticide inerts, </w:t>
      </w:r>
      <w:r w:rsidR="00C270A7">
        <w:t>the EPA</w:t>
      </w:r>
      <w:r>
        <w:t xml:space="preserve"> believes that doing this helps to minimize the potential burden because the </w:t>
      </w:r>
      <w:r w:rsidR="00D70092">
        <w:t>order</w:t>
      </w:r>
      <w:r>
        <w:t xml:space="preserve"> recipients are likely to be familiar with the existing requirements.</w:t>
      </w:r>
      <w:r w:rsidR="000C6CB0">
        <w:t xml:space="preserve"> </w:t>
      </w:r>
      <w:r>
        <w:t xml:space="preserve">As such, the content and format of the data submission package for transmittal to </w:t>
      </w:r>
      <w:r w:rsidR="00C270A7">
        <w:t>the EPA</w:t>
      </w:r>
      <w:r>
        <w:t xml:space="preserve"> should be consistent with the following existing standards:</w:t>
      </w:r>
    </w:p>
    <w:p w:rsidR="000F0DF3" w:rsidRDefault="001F435B" w:rsidP="00552B46">
      <w:pPr>
        <w:pStyle w:val="ListParagraph"/>
        <w:numPr>
          <w:ilvl w:val="0"/>
          <w:numId w:val="17"/>
        </w:numPr>
        <w:contextualSpacing w:val="0"/>
      </w:pPr>
      <w:r w:rsidRPr="001E640A">
        <w:rPr>
          <w:i/>
        </w:rPr>
        <w:t>Format for Data Submission</w:t>
      </w:r>
      <w:r>
        <w:t>.</w:t>
      </w:r>
      <w:r w:rsidR="000C6CB0">
        <w:t xml:space="preserve"> </w:t>
      </w:r>
      <w:r>
        <w:t xml:space="preserve">As part of a cooperative project, </w:t>
      </w:r>
      <w:r w:rsidR="00C270A7">
        <w:t>the EPA</w:t>
      </w:r>
      <w:r>
        <w:t xml:space="preserve"> and the Canadian Pest Management Regulatory </w:t>
      </w:r>
      <w:r w:rsidR="00CF1D4B">
        <w:t>agency</w:t>
      </w:r>
      <w:r>
        <w:t xml:space="preserve"> (PMRA) developed standard data evaluation formats, or templates. The templates have been in use by the agencies since 2002 for writing their data evaluation records (DERs) of studies submitted under FIFRA and FFDCA to </w:t>
      </w:r>
      <w:r w:rsidR="00C270A7">
        <w:t>the EPA</w:t>
      </w:r>
      <w:r>
        <w:t xml:space="preserve"> and the Canadian data codes (DACOs).</w:t>
      </w:r>
      <w:r w:rsidR="000C6CB0">
        <w:t xml:space="preserve"> </w:t>
      </w:r>
      <w:r>
        <w:t>The DER that the agencies prepare contains a study profile documenting basic study information such as materials, methods, results, applicant</w:t>
      </w:r>
      <w:r w:rsidR="00CF1D4B">
        <w:t>'</w:t>
      </w:r>
      <w:r>
        <w:t>s conclusions and the evaluator</w:t>
      </w:r>
      <w:r w:rsidR="00CF1D4B">
        <w:t>'</w:t>
      </w:r>
      <w:r>
        <w:t>s conclusions. The agencies encourage recipients to include study profiles based on these templates, which describe the layout and scope of information that should be contained within a study profile and can serve as guides for preparation of study documents.</w:t>
      </w:r>
      <w:r w:rsidR="000C6CB0">
        <w:t xml:space="preserve"> </w:t>
      </w:r>
      <w:r>
        <w:t>Use of the templates improves the likelihood of a successful submission, since the information necessary for an efficient agency review is outlined.</w:t>
      </w:r>
      <w:r w:rsidR="000C6CB0">
        <w:t xml:space="preserve"> </w:t>
      </w:r>
      <w:r>
        <w:t>Additional details about these templates are available at</w:t>
      </w:r>
      <w:r w:rsidR="000C6CB0">
        <w:t xml:space="preserve">:  </w:t>
      </w:r>
      <w:hyperlink r:id="rId14" w:history="1">
        <w:r w:rsidR="000F377D" w:rsidRPr="00BA5628">
          <w:rPr>
            <w:rStyle w:val="Hyperlink"/>
          </w:rPr>
          <w:t>http://www.epa.gov/pesticides/regulating/studyprofile_templates/</w:t>
        </w:r>
      </w:hyperlink>
      <w:r>
        <w:t>.</w:t>
      </w:r>
    </w:p>
    <w:p w:rsidR="000F0DF3" w:rsidRDefault="001F435B" w:rsidP="001E640A">
      <w:pPr>
        <w:ind w:left="360"/>
      </w:pPr>
      <w:r>
        <w:t xml:space="preserve">Pesticide Registration (PR) Notice 86-5, entitled </w:t>
      </w:r>
      <w:r w:rsidR="00CF1D4B">
        <w:t>"</w:t>
      </w:r>
      <w:r>
        <w:t>Standard Format for Data Submitted Under the Federal Insecticide, Fungicide, and Rodenticide Act (FIFRA) and Certain Provisions of the Federal Food, Drug, and Cosmetic Act (FFDCA),</w:t>
      </w:r>
      <w:r w:rsidR="00CF1D4B">
        <w:t>"</w:t>
      </w:r>
      <w:r>
        <w:t xml:space="preserve"> describes the requirements for organizing and formatting submittals of data supporting a pesticide registration (</w:t>
      </w:r>
      <w:hyperlink r:id="rId15" w:history="1">
        <w:r w:rsidR="000F377D" w:rsidRPr="00BA5628">
          <w:rPr>
            <w:rStyle w:val="Hyperlink"/>
          </w:rPr>
          <w:t>http://www.epa.gov/PR_Notices/pr86-5.html</w:t>
        </w:r>
      </w:hyperlink>
      <w:r>
        <w:t>).</w:t>
      </w:r>
      <w:r w:rsidR="000C6CB0">
        <w:t xml:space="preserve"> </w:t>
      </w:r>
      <w:r>
        <w:t xml:space="preserve">The </w:t>
      </w:r>
      <w:r w:rsidR="00CF1D4B">
        <w:t>agency</w:t>
      </w:r>
      <w:r>
        <w:t xml:space="preserve"> has begun the process of updating the guidance in PR Notice 86-5 to further clarify the data submission process for pesticide related submissions and will provide the public with an opportunity to comment on the proposed revisions to PR Notice 86-5 consistent with the procedures described in PR Notice 2003-3, entitled </w:t>
      </w:r>
      <w:r w:rsidR="00CF1D4B">
        <w:t>"</w:t>
      </w:r>
      <w:r>
        <w:t>Procedural Guidance for EPA</w:t>
      </w:r>
      <w:r w:rsidR="00CF1D4B">
        <w:t>'</w:t>
      </w:r>
      <w:r>
        <w:t>s Office of Pesticide Programs Procedures Concerning the Development, Modification, and Implementation of Policy Guidance Documents</w:t>
      </w:r>
      <w:r w:rsidR="00CF1D4B">
        <w:t>"</w:t>
      </w:r>
      <w:r>
        <w:t xml:space="preserve"> (</w:t>
      </w:r>
      <w:hyperlink r:id="rId16" w:history="1">
        <w:r w:rsidR="000F377D" w:rsidRPr="00BA5628">
          <w:rPr>
            <w:rStyle w:val="Hyperlink"/>
          </w:rPr>
          <w:t>http://www.epa.gov/PR_Notices/pr2003-3.pdf</w:t>
        </w:r>
      </w:hyperlink>
      <w:r>
        <w:t>).</w:t>
      </w:r>
    </w:p>
    <w:p w:rsidR="000F0DF3" w:rsidRDefault="001F435B" w:rsidP="001E640A">
      <w:pPr>
        <w:ind w:left="360"/>
      </w:pPr>
      <w:r>
        <w:t xml:space="preserve">In addition, the </w:t>
      </w:r>
      <w:r w:rsidR="00CF1D4B">
        <w:t>agency</w:t>
      </w:r>
      <w:r>
        <w:t xml:space="preserve"> encourages </w:t>
      </w:r>
      <w:r w:rsidR="00D70092">
        <w:t>order</w:t>
      </w:r>
      <w:r>
        <w:t xml:space="preserve"> recipients to submit completed study profiles and supporting data in an electronic format (PDF) whether submitting one or several studies.</w:t>
      </w:r>
      <w:r w:rsidR="000C6CB0">
        <w:t xml:space="preserve"> </w:t>
      </w:r>
      <w:r>
        <w:t xml:space="preserve">For more information about electronic submissions, go to </w:t>
      </w:r>
      <w:hyperlink r:id="rId17" w:history="1">
        <w:r w:rsidR="000F377D" w:rsidRPr="00BA5628">
          <w:rPr>
            <w:rStyle w:val="Hyperlink"/>
          </w:rPr>
          <w:t>http://www.epa.gov/pesticides/regulating/registering/submissions/index.htm</w:t>
        </w:r>
      </w:hyperlink>
      <w:r>
        <w:t>.</w:t>
      </w:r>
    </w:p>
    <w:p w:rsidR="00733994" w:rsidRDefault="001F435B" w:rsidP="00552B46">
      <w:pPr>
        <w:pStyle w:val="ListParagraph"/>
        <w:numPr>
          <w:ilvl w:val="0"/>
          <w:numId w:val="17"/>
        </w:numPr>
        <w:contextualSpacing w:val="0"/>
      </w:pPr>
      <w:r w:rsidRPr="000F377D">
        <w:rPr>
          <w:i/>
        </w:rPr>
        <w:t>Transmittal Document</w:t>
      </w:r>
      <w:r>
        <w:t>.</w:t>
      </w:r>
      <w:r w:rsidR="000C6CB0">
        <w:t xml:space="preserve"> </w:t>
      </w:r>
      <w:r>
        <w:t xml:space="preserve">Each submission in satisfaction of a Tier 1 </w:t>
      </w:r>
      <w:r w:rsidR="00D70092">
        <w:t>order</w:t>
      </w:r>
      <w:r>
        <w:t xml:space="preserve"> must be accompanied by a transmittal document that includes the following information:</w:t>
      </w:r>
    </w:p>
    <w:p w:rsidR="001F435B" w:rsidRDefault="001F435B" w:rsidP="00804A22">
      <w:pPr>
        <w:pStyle w:val="ListParagraph"/>
        <w:numPr>
          <w:ilvl w:val="0"/>
          <w:numId w:val="7"/>
        </w:numPr>
        <w:ind w:left="900" w:hanging="540"/>
      </w:pPr>
      <w:r>
        <w:t>Identity of the submitter.</w:t>
      </w:r>
    </w:p>
    <w:p w:rsidR="00733994" w:rsidRDefault="001F435B" w:rsidP="00804A22">
      <w:pPr>
        <w:pStyle w:val="ListParagraph"/>
        <w:numPr>
          <w:ilvl w:val="0"/>
          <w:numId w:val="7"/>
        </w:numPr>
        <w:ind w:left="900" w:hanging="540"/>
      </w:pPr>
      <w:r>
        <w:t xml:space="preserve">The date on which the submission package was prepared for transmittal to </w:t>
      </w:r>
      <w:r w:rsidR="00C270A7">
        <w:t>the EPA</w:t>
      </w:r>
      <w:r>
        <w:t>.</w:t>
      </w:r>
    </w:p>
    <w:p w:rsidR="00733994" w:rsidRDefault="001F435B" w:rsidP="00804A22">
      <w:pPr>
        <w:pStyle w:val="ListParagraph"/>
        <w:numPr>
          <w:ilvl w:val="0"/>
          <w:numId w:val="7"/>
        </w:numPr>
        <w:ind w:left="900" w:hanging="540"/>
      </w:pPr>
      <w:r>
        <w:lastRenderedPageBreak/>
        <w:t xml:space="preserve">Identification of the Tier 1 </w:t>
      </w:r>
      <w:r w:rsidR="00D70092">
        <w:t>order</w:t>
      </w:r>
      <w:r>
        <w:t xml:space="preserve"> associated with the submission (</w:t>
      </w:r>
      <w:r w:rsidRPr="00924FAB">
        <w:rPr>
          <w:i/>
        </w:rPr>
        <w:t>e.g.</w:t>
      </w:r>
      <w:r>
        <w:t xml:space="preserve">, the number assigned to the </w:t>
      </w:r>
      <w:r w:rsidR="00D70092">
        <w:t>order</w:t>
      </w:r>
      <w:r>
        <w:t>).</w:t>
      </w:r>
    </w:p>
    <w:p w:rsidR="00733994" w:rsidRDefault="001F435B" w:rsidP="00804A22">
      <w:pPr>
        <w:pStyle w:val="ListParagraph"/>
        <w:numPr>
          <w:ilvl w:val="0"/>
          <w:numId w:val="7"/>
        </w:numPr>
        <w:ind w:left="900" w:hanging="540"/>
        <w:contextualSpacing w:val="0"/>
      </w:pPr>
      <w:r>
        <w:t>A list of the individual documents included in the submission.</w:t>
      </w:r>
    </w:p>
    <w:p w:rsidR="00733994" w:rsidRDefault="001F435B" w:rsidP="00552B46">
      <w:pPr>
        <w:pStyle w:val="ListParagraph"/>
        <w:numPr>
          <w:ilvl w:val="0"/>
          <w:numId w:val="17"/>
        </w:numPr>
        <w:contextualSpacing w:val="0"/>
      </w:pPr>
      <w:r w:rsidRPr="000F377D">
        <w:rPr>
          <w:i/>
        </w:rPr>
        <w:t>Individual Study or Test Result Documents.</w:t>
      </w:r>
      <w:r w:rsidR="000C6CB0">
        <w:t xml:space="preserve"> </w:t>
      </w:r>
      <w:r>
        <w:t xml:space="preserve">Unless otherwise specified by the </w:t>
      </w:r>
      <w:r w:rsidR="00CF1D4B">
        <w:t>agency</w:t>
      </w:r>
      <w:r>
        <w:t xml:space="preserve">, each submission must be in the form of individual documents or studies. Previously submitted documents should not be resubmitted unless specifically requested by the </w:t>
      </w:r>
      <w:r w:rsidR="00CF1D4B">
        <w:t>agency</w:t>
      </w:r>
      <w:r>
        <w:t>.</w:t>
      </w:r>
      <w:r w:rsidR="000C6CB0">
        <w:t xml:space="preserve"> </w:t>
      </w:r>
      <w:r>
        <w:t>Instead, previously submitted documents should be cited with adequate information to identify the previously submitted document.</w:t>
      </w:r>
      <w:r w:rsidR="000C6CB0">
        <w:t xml:space="preserve"> </w:t>
      </w:r>
      <w:r>
        <w:t>Each study or document should include the following:</w:t>
      </w:r>
    </w:p>
    <w:p w:rsidR="00733994" w:rsidRDefault="001F435B" w:rsidP="00674E1C">
      <w:pPr>
        <w:spacing w:after="0"/>
        <w:ind w:left="1267" w:hanging="547"/>
        <w:contextualSpacing/>
      </w:pPr>
      <w:r>
        <w:t>(1)</w:t>
      </w:r>
      <w:r>
        <w:tab/>
        <w:t>A title page including the following information:</w:t>
      </w:r>
    </w:p>
    <w:p w:rsidR="00733994" w:rsidRDefault="001F435B" w:rsidP="00552B46">
      <w:pPr>
        <w:pStyle w:val="ListParagraph"/>
        <w:numPr>
          <w:ilvl w:val="2"/>
          <w:numId w:val="18"/>
        </w:numPr>
        <w:ind w:left="1620" w:hanging="450"/>
      </w:pPr>
      <w:r>
        <w:t>The title of the study, including identification of the substance(s) tested and the test name or data requirement addressed.</w:t>
      </w:r>
    </w:p>
    <w:p w:rsidR="00733994" w:rsidRDefault="001F435B" w:rsidP="00552B46">
      <w:pPr>
        <w:pStyle w:val="ListParagraph"/>
        <w:numPr>
          <w:ilvl w:val="2"/>
          <w:numId w:val="18"/>
        </w:numPr>
        <w:ind w:left="1620" w:hanging="450"/>
      </w:pPr>
      <w:r>
        <w:t>The author(s) of the study.</w:t>
      </w:r>
    </w:p>
    <w:p w:rsidR="00733994" w:rsidRDefault="001F435B" w:rsidP="00552B46">
      <w:pPr>
        <w:pStyle w:val="ListParagraph"/>
        <w:numPr>
          <w:ilvl w:val="2"/>
          <w:numId w:val="18"/>
        </w:numPr>
        <w:ind w:left="1620" w:hanging="450"/>
      </w:pPr>
      <w:r>
        <w:t>The date the study was completed.</w:t>
      </w:r>
    </w:p>
    <w:p w:rsidR="00733994" w:rsidRDefault="001F435B" w:rsidP="00552B46">
      <w:pPr>
        <w:pStyle w:val="ListParagraph"/>
        <w:numPr>
          <w:ilvl w:val="2"/>
          <w:numId w:val="18"/>
        </w:numPr>
        <w:ind w:left="1620" w:hanging="450"/>
      </w:pPr>
      <w:r>
        <w:t>If the study was performed in a laboratory, the name and address of the laboratory, project numbers or other identifying codes.</w:t>
      </w:r>
    </w:p>
    <w:p w:rsidR="00733994" w:rsidRDefault="001F435B" w:rsidP="00552B46">
      <w:pPr>
        <w:pStyle w:val="ListParagraph"/>
        <w:numPr>
          <w:ilvl w:val="2"/>
          <w:numId w:val="18"/>
        </w:numPr>
        <w:ind w:left="1620" w:hanging="450"/>
      </w:pPr>
      <w:r>
        <w:t>If the study is a commentary on or supplement to another previously submitted study, full identification of the other study with which it should be associated in review.</w:t>
      </w:r>
    </w:p>
    <w:p w:rsidR="00733994" w:rsidRDefault="001F435B" w:rsidP="00552B46">
      <w:pPr>
        <w:pStyle w:val="ListParagraph"/>
        <w:numPr>
          <w:ilvl w:val="2"/>
          <w:numId w:val="18"/>
        </w:numPr>
        <w:spacing w:after="0"/>
        <w:ind w:left="1612" w:hanging="446"/>
      </w:pPr>
      <w:r>
        <w:t>If the study is a reprint of a published document, all relevant facts of publication, such as the journal title, volume, issue, inclusive page numbers, and date of publication.</w:t>
      </w:r>
    </w:p>
    <w:p w:rsidR="00733994" w:rsidRDefault="001F435B" w:rsidP="001E640A">
      <w:pPr>
        <w:ind w:left="1267" w:hanging="547"/>
        <w:contextualSpacing/>
      </w:pPr>
      <w:r>
        <w:t>(2)</w:t>
      </w:r>
      <w:r>
        <w:tab/>
        <w:t xml:space="preserve">Upon submission to </w:t>
      </w:r>
      <w:r w:rsidR="00C270A7">
        <w:t>the EPA</w:t>
      </w:r>
      <w:r>
        <w:t xml:space="preserve">, each document must be accompanied by a signed and dated document containing the appropriate statement(s) regarding any data confidentiality claims as described in the Tier 1 </w:t>
      </w:r>
      <w:r w:rsidR="00D70092">
        <w:t>order</w:t>
      </w:r>
      <w:r>
        <w:t>.</w:t>
      </w:r>
    </w:p>
    <w:p w:rsidR="00733994" w:rsidRDefault="001F435B" w:rsidP="001E640A">
      <w:pPr>
        <w:ind w:left="1267" w:hanging="547"/>
        <w:contextualSpacing/>
      </w:pPr>
      <w:r>
        <w:t>(3)</w:t>
      </w:r>
      <w:r>
        <w:tab/>
        <w:t xml:space="preserve">A statement of compliance or non-compliance with respect to GLP standards, </w:t>
      </w:r>
      <w:r w:rsidRPr="00924FAB">
        <w:rPr>
          <w:i/>
        </w:rPr>
        <w:t>e.g.</w:t>
      </w:r>
      <w:r>
        <w:t>, such as those required by 40</w:t>
      </w:r>
      <w:r w:rsidR="00F92A48">
        <w:t> CFR </w:t>
      </w:r>
      <w:r>
        <w:t>160.12, if applicable.</w:t>
      </w:r>
    </w:p>
    <w:p w:rsidR="000F0DF3" w:rsidRDefault="001F435B" w:rsidP="001E640A">
      <w:pPr>
        <w:ind w:left="1267" w:hanging="547"/>
      </w:pPr>
      <w:r>
        <w:t>(4)</w:t>
      </w:r>
      <w:r>
        <w:tab/>
        <w:t>A complete and accurate English translation must be included for any information that is not in English.</w:t>
      </w:r>
    </w:p>
    <w:p w:rsidR="000F0DF3" w:rsidRDefault="00662542" w:rsidP="00662542">
      <w:pPr>
        <w:pStyle w:val="Heading1"/>
      </w:pPr>
      <w:r>
        <w:t>5.</w:t>
      </w:r>
      <w:r>
        <w:tab/>
        <w:t>Agency Activities, Collection Methodology,</w:t>
      </w:r>
      <w:r w:rsidR="00674E1C">
        <w:t xml:space="preserve"> and </w:t>
      </w:r>
      <w:r>
        <w:t>Information Management</w:t>
      </w:r>
    </w:p>
    <w:p w:rsidR="000F0DF3" w:rsidRDefault="001F435B" w:rsidP="002F2414">
      <w:pPr>
        <w:pStyle w:val="Heading2"/>
      </w:pPr>
      <w:r>
        <w:t>5(a)</w:t>
      </w:r>
      <w:r>
        <w:tab/>
        <w:t>Agency Activities</w:t>
      </w:r>
    </w:p>
    <w:p w:rsidR="00733994" w:rsidRDefault="001F435B" w:rsidP="00F16932">
      <w:r>
        <w:t xml:space="preserve">The functions and responsibilities associated with the EDSP under FFDCA section 408(p) have been assigned to </w:t>
      </w:r>
      <w:r w:rsidR="00C270A7">
        <w:t>the EPA</w:t>
      </w:r>
      <w:r w:rsidR="00CF1D4B">
        <w:t>'</w:t>
      </w:r>
      <w:r>
        <w:t>s OCSPP.</w:t>
      </w:r>
      <w:r w:rsidR="00662542">
        <w:rPr>
          <w:rStyle w:val="FootnoteReference"/>
        </w:rPr>
        <w:footnoteReference w:id="12"/>
      </w:r>
      <w:r w:rsidR="000C6CB0">
        <w:t xml:space="preserve"> </w:t>
      </w:r>
      <w:r>
        <w:t xml:space="preserve">Within OCSPP, OPP will be primarily responsible for the administrative functions related to the issuance of the </w:t>
      </w:r>
      <w:r w:rsidR="001E640A">
        <w:t>orders</w:t>
      </w:r>
      <w:r>
        <w:t xml:space="preserve">, receiving, processing and maintaining records of responses to the </w:t>
      </w:r>
      <w:r w:rsidR="001E640A">
        <w:t>orders</w:t>
      </w:r>
      <w:r>
        <w:t xml:space="preserve">, as well as other administrative functions related to the </w:t>
      </w:r>
      <w:r w:rsidR="001E640A">
        <w:t>orders</w:t>
      </w:r>
      <w:r>
        <w:t>.</w:t>
      </w:r>
    </w:p>
    <w:p w:rsidR="000F0DF3" w:rsidRDefault="001F435B" w:rsidP="00F16932">
      <w:r>
        <w:t>OCSPP</w:t>
      </w:r>
      <w:r w:rsidR="00CF1D4B">
        <w:t>'</w:t>
      </w:r>
      <w:r>
        <w:t xml:space="preserve">s OSCP will coordinate the review of Tier 1 screening data received, posting of information on the </w:t>
      </w:r>
      <w:r w:rsidR="00CF1D4B">
        <w:t>agency'</w:t>
      </w:r>
      <w:r>
        <w:t>s Website, and the preparation of resulting determinations related to the subject chemical.</w:t>
      </w:r>
      <w:r w:rsidR="000C6CB0">
        <w:t xml:space="preserve"> </w:t>
      </w:r>
      <w:r>
        <w:t xml:space="preserve">Data received by </w:t>
      </w:r>
      <w:r w:rsidR="00C270A7">
        <w:t>the EPA</w:t>
      </w:r>
      <w:r>
        <w:t xml:space="preserve"> will first be reviewed for completeness and then routed to an </w:t>
      </w:r>
      <w:r w:rsidR="00CF1D4B">
        <w:t>agency</w:t>
      </w:r>
      <w:r>
        <w:t xml:space="preserve"> team of scientists and analysts for technical review. Although the technical review teams will consist mostly of staff from the offices in OCSPP, it will also include staff from other EPA offices</w:t>
      </w:r>
      <w:proofErr w:type="gramStart"/>
      <w:r>
        <w:t>,  as</w:t>
      </w:r>
      <w:proofErr w:type="gramEnd"/>
      <w:r>
        <w:t xml:space="preserve"> appropriate.</w:t>
      </w:r>
    </w:p>
    <w:p w:rsidR="000F0DF3" w:rsidRDefault="001F435B" w:rsidP="00F16932">
      <w:r>
        <w:lastRenderedPageBreak/>
        <w:t xml:space="preserve">In general, the </w:t>
      </w:r>
      <w:r w:rsidR="00CF1D4B">
        <w:t>agency</w:t>
      </w:r>
      <w:r>
        <w:t xml:space="preserve"> is expected to engage in the following general activities related to the information collection activities under this ICR renewal:</w:t>
      </w:r>
    </w:p>
    <w:p w:rsidR="000F0DF3" w:rsidRDefault="001F435B" w:rsidP="00552B46">
      <w:pPr>
        <w:pStyle w:val="ListParagraph"/>
        <w:numPr>
          <w:ilvl w:val="3"/>
          <w:numId w:val="21"/>
        </w:numPr>
        <w:ind w:left="446" w:hanging="450"/>
        <w:contextualSpacing w:val="0"/>
      </w:pPr>
      <w:r>
        <w:t>Prepare instructions.</w:t>
      </w:r>
      <w:r w:rsidR="000C6CB0">
        <w:t xml:space="preserve"> </w:t>
      </w:r>
      <w:r>
        <w:t xml:space="preserve">Prepare procedural steps, guidance </w:t>
      </w:r>
      <w:r w:rsidR="00FD5EDF">
        <w:t>and</w:t>
      </w:r>
      <w:r>
        <w:t xml:space="preserve"> instructions for </w:t>
      </w:r>
      <w:r w:rsidR="00D70092">
        <w:t>order</w:t>
      </w:r>
      <w:r>
        <w:t xml:space="preserve"> recipients so that they understand what data are to be submitted, when </w:t>
      </w:r>
      <w:r w:rsidR="00FD5EDF">
        <w:t>and</w:t>
      </w:r>
      <w:r>
        <w:t xml:space="preserve"> how.</w:t>
      </w:r>
      <w:r w:rsidR="000C6CB0">
        <w:t xml:space="preserve"> </w:t>
      </w:r>
      <w:r w:rsidR="00873A4A">
        <w:t>The policies and procedures d</w:t>
      </w:r>
      <w:r>
        <w:t xml:space="preserve">ocument (Attachment B) describes the policies and procedures that </w:t>
      </w:r>
      <w:r w:rsidR="00C270A7">
        <w:t>the EPA</w:t>
      </w:r>
      <w:r>
        <w:t xml:space="preserve"> intends to use to implement the data collection component of the EDSP.</w:t>
      </w:r>
      <w:r w:rsidR="000C6CB0">
        <w:t xml:space="preserve"> </w:t>
      </w:r>
      <w:r>
        <w:t xml:space="preserve">Although that document is non-binding, the </w:t>
      </w:r>
      <w:r w:rsidR="00CF1D4B">
        <w:t>agency</w:t>
      </w:r>
      <w:r>
        <w:t xml:space="preserve"> will incorporate specific instructions into each </w:t>
      </w:r>
      <w:r w:rsidR="00D70092">
        <w:t>order</w:t>
      </w:r>
      <w:r>
        <w:t xml:space="preserve">, so that each </w:t>
      </w:r>
      <w:r w:rsidR="00D70092">
        <w:t>order</w:t>
      </w:r>
      <w:r>
        <w:t xml:space="preserve"> recipient receives detailed instructions on what they must do to comply with the </w:t>
      </w:r>
      <w:r w:rsidR="00D70092">
        <w:t>order</w:t>
      </w:r>
      <w:r>
        <w:t>.</w:t>
      </w:r>
    </w:p>
    <w:p w:rsidR="00733994" w:rsidRDefault="001F435B" w:rsidP="00552B46">
      <w:pPr>
        <w:pStyle w:val="ListParagraph"/>
        <w:numPr>
          <w:ilvl w:val="3"/>
          <w:numId w:val="21"/>
        </w:numPr>
        <w:ind w:left="446" w:hanging="450"/>
        <w:contextualSpacing w:val="0"/>
      </w:pPr>
      <w:r>
        <w:t>Identify chemicals to be screened.</w:t>
      </w:r>
      <w:r w:rsidR="000C6CB0">
        <w:t xml:space="preserve"> </w:t>
      </w:r>
      <w:r>
        <w:t>The list of the chemicals covered by this ICR is provided in Attachment G.</w:t>
      </w:r>
      <w:r w:rsidR="000C6CB0">
        <w:t xml:space="preserve"> </w:t>
      </w:r>
      <w:r>
        <w:t xml:space="preserve">For purposes of this renewal ICR, since all of the </w:t>
      </w:r>
      <w:r w:rsidR="00C10AA0">
        <w:t>remaining 52</w:t>
      </w:r>
      <w:r>
        <w:t xml:space="preserve"> chemicals on the final list have been the subject of a Tier 1 </w:t>
      </w:r>
      <w:r w:rsidR="00D70092">
        <w:t>order</w:t>
      </w:r>
      <w:r>
        <w:t xml:space="preserve"> issued under FFDCA </w:t>
      </w:r>
      <w:r w:rsidR="004B1979">
        <w:t xml:space="preserve">section </w:t>
      </w:r>
      <w:r>
        <w:t xml:space="preserve">408(p), the </w:t>
      </w:r>
      <w:r w:rsidR="00CF1D4B">
        <w:t>agency</w:t>
      </w:r>
      <w:r>
        <w:t xml:space="preserve"> assumes that they could also be the subject of a catch-up order.</w:t>
      </w:r>
    </w:p>
    <w:p w:rsidR="000F0DF3" w:rsidRDefault="001F435B" w:rsidP="00552B46">
      <w:pPr>
        <w:pStyle w:val="ListParagraph"/>
        <w:numPr>
          <w:ilvl w:val="3"/>
          <w:numId w:val="21"/>
        </w:numPr>
        <w:ind w:left="446" w:hanging="450"/>
        <w:contextualSpacing w:val="0"/>
      </w:pPr>
      <w:r>
        <w:t>Identify order recipients.</w:t>
      </w:r>
      <w:r w:rsidR="000C6CB0">
        <w:t xml:space="preserve"> </w:t>
      </w:r>
      <w:r>
        <w:t xml:space="preserve">As indicated previously, </w:t>
      </w:r>
      <w:r w:rsidR="00C270A7">
        <w:t>the EPA</w:t>
      </w:r>
      <w:r>
        <w:t xml:space="preserve"> has already issued Tier 1 orders to those identified for the </w:t>
      </w:r>
      <w:r w:rsidR="00C10AA0">
        <w:t>remaining 52</w:t>
      </w:r>
      <w:r>
        <w:t xml:space="preserve"> chemicals as described in the existing ICR. As such, this ICR renewal involves potential recipients of catch-up orders.</w:t>
      </w:r>
      <w:r w:rsidR="000C6CB0">
        <w:t xml:space="preserve"> </w:t>
      </w:r>
      <w:r>
        <w:t xml:space="preserve">Recipients of catch-up orders will only be identified if a new registration application is received by the </w:t>
      </w:r>
      <w:r w:rsidR="00CF1D4B">
        <w:t>agency</w:t>
      </w:r>
      <w:r>
        <w:t xml:space="preserve"> for one of the chemicals on the </w:t>
      </w:r>
      <w:r w:rsidR="00812153">
        <w:t>initial</w:t>
      </w:r>
      <w:r>
        <w:t xml:space="preserve"> list, or if a company is otherwise identified.</w:t>
      </w:r>
      <w:r w:rsidR="000C6CB0">
        <w:t xml:space="preserve"> </w:t>
      </w:r>
      <w:r>
        <w:t>See the discussion on respondents in section 4(a) of this ICR renewal.</w:t>
      </w:r>
    </w:p>
    <w:p w:rsidR="00733994" w:rsidRDefault="001F435B" w:rsidP="00127A1A">
      <w:pPr>
        <w:ind w:left="446"/>
      </w:pPr>
      <w:r>
        <w:t xml:space="preserve">To facilitate the formation of consortia to develop the data requested in an </w:t>
      </w:r>
      <w:r w:rsidR="00D70092">
        <w:t>order</w:t>
      </w:r>
      <w:r>
        <w:t xml:space="preserve">, and to the extent that the information is not protected as confidential business information, </w:t>
      </w:r>
      <w:r w:rsidR="00C270A7">
        <w:t>the EPA</w:t>
      </w:r>
      <w:r>
        <w:t xml:space="preserve"> will provide each </w:t>
      </w:r>
      <w:r w:rsidR="00D70092">
        <w:t>order</w:t>
      </w:r>
      <w:r>
        <w:t xml:space="preserve"> recipient with a list of the other recipients of the </w:t>
      </w:r>
      <w:r w:rsidR="00D70092">
        <w:t>order</w:t>
      </w:r>
      <w:r>
        <w:t xml:space="preserve"> for the subject chemical.</w:t>
      </w:r>
      <w:r w:rsidR="000C6CB0">
        <w:t xml:space="preserve"> </w:t>
      </w:r>
      <w:r>
        <w:t xml:space="preserve">The list of </w:t>
      </w:r>
      <w:r w:rsidR="00D70092">
        <w:t>order</w:t>
      </w:r>
      <w:r>
        <w:t xml:space="preserve"> recipients is maintained up to date on the </w:t>
      </w:r>
      <w:r w:rsidR="00CF1D4B">
        <w:t>agency'</w:t>
      </w:r>
      <w:r>
        <w:t xml:space="preserve">s EDSP Web site, along with the status of the </w:t>
      </w:r>
      <w:r w:rsidR="00D70092">
        <w:t>order</w:t>
      </w:r>
      <w:r>
        <w:t xml:space="preserve"> (including recipients</w:t>
      </w:r>
      <w:r w:rsidR="00CF1D4B">
        <w:t>'</w:t>
      </w:r>
      <w:r>
        <w:t xml:space="preserve"> responses received by </w:t>
      </w:r>
      <w:r w:rsidR="00C270A7">
        <w:t>the EPA</w:t>
      </w:r>
      <w:r>
        <w:t>).</w:t>
      </w:r>
      <w:r w:rsidR="000C6CB0">
        <w:t xml:space="preserve"> </w:t>
      </w:r>
      <w:r>
        <w:t xml:space="preserve">These reports can be accessed at </w:t>
      </w:r>
      <w:hyperlink r:id="rId18" w:history="1">
        <w:r w:rsidR="00662542" w:rsidRPr="00BA5628">
          <w:rPr>
            <w:rStyle w:val="Hyperlink"/>
          </w:rPr>
          <w:t>http://www.epa.gov/endo/pubs/toresources/index.htm</w:t>
        </w:r>
      </w:hyperlink>
      <w:r>
        <w:t>.</w:t>
      </w:r>
    </w:p>
    <w:p w:rsidR="000F0DF3" w:rsidRDefault="001F435B" w:rsidP="00552B46">
      <w:pPr>
        <w:pStyle w:val="ListParagraph"/>
        <w:numPr>
          <w:ilvl w:val="3"/>
          <w:numId w:val="21"/>
        </w:numPr>
        <w:ind w:left="446" w:hanging="450"/>
        <w:contextualSpacing w:val="0"/>
      </w:pPr>
      <w:r w:rsidRPr="00662542">
        <w:rPr>
          <w:i/>
        </w:rPr>
        <w:t>Prepare the EDSP Tier 1 Orders</w:t>
      </w:r>
      <w:r>
        <w:t>.</w:t>
      </w:r>
      <w:r w:rsidR="000C6CB0">
        <w:t xml:space="preserve"> </w:t>
      </w:r>
      <w:r w:rsidR="00C270A7">
        <w:t>The EPA</w:t>
      </w:r>
      <w:r>
        <w:t xml:space="preserve"> intends to use the appropriate </w:t>
      </w:r>
      <w:r w:rsidR="00D70092">
        <w:t>order</w:t>
      </w:r>
      <w:r>
        <w:t xml:space="preserve"> template (as discussed in section 4(b) of this ICR) to prepare individual </w:t>
      </w:r>
      <w:r w:rsidR="001E640A">
        <w:t>orders</w:t>
      </w:r>
      <w:r>
        <w:t xml:space="preserve"> for each chemical and </w:t>
      </w:r>
      <w:r w:rsidR="00D70092">
        <w:t>order</w:t>
      </w:r>
      <w:r>
        <w:t xml:space="preserve"> recipient. The </w:t>
      </w:r>
      <w:r w:rsidR="00D70092">
        <w:t>order</w:t>
      </w:r>
      <w:r>
        <w:t xml:space="preserve"> will identify all of the non-CBI protected recipients so that the recipients may more easily identify the potential participants to include in a consortium, and it will indicate how many recipients could not be listed.</w:t>
      </w:r>
      <w:r w:rsidR="000C6CB0">
        <w:t xml:space="preserve"> </w:t>
      </w:r>
      <w:r>
        <w:t xml:space="preserve">Those companies protected as CBI will not be listed, but will still receive an </w:t>
      </w:r>
      <w:r w:rsidR="00D70092">
        <w:t>order</w:t>
      </w:r>
      <w:r>
        <w:t xml:space="preserve"> and will have an opportunity to designate an agent for purposes of the </w:t>
      </w:r>
      <w:r w:rsidR="00E308C0" w:rsidRPr="00E308C0">
        <w:t>list of order recipients</w:t>
      </w:r>
      <w:r w:rsidR="00E308C0">
        <w:t>.</w:t>
      </w:r>
      <w:r w:rsidR="000C6CB0">
        <w:t xml:space="preserve"> </w:t>
      </w:r>
      <w:r>
        <w:t xml:space="preserve">As indicated previously, </w:t>
      </w:r>
      <w:r w:rsidR="00C270A7">
        <w:t>the EPA</w:t>
      </w:r>
      <w:r>
        <w:t xml:space="preserve"> intends to maintain an up to date list of </w:t>
      </w:r>
      <w:r w:rsidR="00D70092">
        <w:t>order</w:t>
      </w:r>
      <w:r>
        <w:t xml:space="preserve"> recipients on the </w:t>
      </w:r>
      <w:r w:rsidR="00CF1D4B">
        <w:t>agency'</w:t>
      </w:r>
      <w:r>
        <w:t>s EDSP Web site.</w:t>
      </w:r>
    </w:p>
    <w:p w:rsidR="000F0DF3" w:rsidRDefault="001F435B" w:rsidP="00127A1A">
      <w:pPr>
        <w:ind w:left="446"/>
      </w:pPr>
      <w:r>
        <w:t xml:space="preserve">Along with preparation of the </w:t>
      </w:r>
      <w:r w:rsidR="001E640A">
        <w:t>orders</w:t>
      </w:r>
      <w:r>
        <w:t xml:space="preserve">, </w:t>
      </w:r>
      <w:r w:rsidR="00C270A7">
        <w:t>the EPA</w:t>
      </w:r>
      <w:r>
        <w:t xml:space="preserve"> will prepare the pre-populated Initial Response Form for each </w:t>
      </w:r>
      <w:r w:rsidR="00D70092">
        <w:t>order</w:t>
      </w:r>
      <w:r>
        <w:t xml:space="preserve"> recipient. The </w:t>
      </w:r>
      <w:r w:rsidR="00CF1D4B">
        <w:t>agency</w:t>
      </w:r>
      <w:r>
        <w:t xml:space="preserve"> intends to accomplish this through a semi-automated process using the same database that will track the </w:t>
      </w:r>
      <w:r w:rsidR="001E640A">
        <w:t>orders</w:t>
      </w:r>
      <w:r>
        <w:t xml:space="preserve">, initial responses, and data submissions. This system is discussed in more detail in section 5(b) of this ICR. In using this approach, </w:t>
      </w:r>
      <w:r w:rsidR="00C270A7">
        <w:t>the EPA</w:t>
      </w:r>
      <w:r>
        <w:t xml:space="preserve"> is maximizing the available resources and efficiencies related to the administrative components of Tier 1 screening under the EDSP.</w:t>
      </w:r>
    </w:p>
    <w:p w:rsidR="000F0DF3" w:rsidRDefault="001F435B" w:rsidP="00552B46">
      <w:pPr>
        <w:pStyle w:val="ListParagraph"/>
        <w:numPr>
          <w:ilvl w:val="3"/>
          <w:numId w:val="21"/>
        </w:numPr>
        <w:ind w:left="446" w:hanging="450"/>
        <w:contextualSpacing w:val="0"/>
      </w:pPr>
      <w:r w:rsidRPr="00662542">
        <w:rPr>
          <w:i/>
        </w:rPr>
        <w:t xml:space="preserve">Review </w:t>
      </w:r>
      <w:r w:rsidR="00FD5EDF">
        <w:rPr>
          <w:i/>
        </w:rPr>
        <w:t>and</w:t>
      </w:r>
      <w:r w:rsidRPr="00662542">
        <w:rPr>
          <w:i/>
        </w:rPr>
        <w:t xml:space="preserve"> Approve Orders</w:t>
      </w:r>
      <w:r>
        <w:t>.</w:t>
      </w:r>
      <w:r w:rsidR="000C6CB0">
        <w:t xml:space="preserve"> </w:t>
      </w:r>
      <w:r>
        <w:t xml:space="preserve">The EDSP Tier 1 </w:t>
      </w:r>
      <w:r w:rsidR="001E640A">
        <w:t>orders</w:t>
      </w:r>
      <w:r>
        <w:t xml:space="preserve"> will be reviewed and approved by a senior </w:t>
      </w:r>
      <w:r w:rsidR="00CF1D4B">
        <w:t>agency</w:t>
      </w:r>
      <w:r>
        <w:t xml:space="preserve"> official(s) for completeness before they are issued.</w:t>
      </w:r>
    </w:p>
    <w:p w:rsidR="000F0DF3" w:rsidRDefault="001F435B" w:rsidP="00552B46">
      <w:pPr>
        <w:pStyle w:val="ListParagraph"/>
        <w:numPr>
          <w:ilvl w:val="3"/>
          <w:numId w:val="21"/>
        </w:numPr>
        <w:ind w:left="446" w:hanging="450"/>
        <w:contextualSpacing w:val="0"/>
      </w:pPr>
      <w:r w:rsidRPr="00662542">
        <w:rPr>
          <w:i/>
        </w:rPr>
        <w:lastRenderedPageBreak/>
        <w:t>Issue the Orders</w:t>
      </w:r>
      <w:r>
        <w:t>.</w:t>
      </w:r>
      <w:r w:rsidR="000C6CB0">
        <w:t xml:space="preserve"> </w:t>
      </w:r>
      <w:r>
        <w:t xml:space="preserve">The appropriate authorized </w:t>
      </w:r>
      <w:r w:rsidR="00C10AA0">
        <w:t>OCSPP</w:t>
      </w:r>
      <w:r>
        <w:t xml:space="preserve"> senior official will sign each </w:t>
      </w:r>
      <w:r w:rsidR="00D70092">
        <w:t>order</w:t>
      </w:r>
      <w:r>
        <w:t>, which will then be processed for issuance as appropriate.</w:t>
      </w:r>
      <w:r w:rsidR="000C6CB0">
        <w:t xml:space="preserve"> </w:t>
      </w:r>
      <w:r>
        <w:t>Orders will then be mailed to each recipient using certified and return receipt mailing options offered by the U.S. Postal Service.</w:t>
      </w:r>
    </w:p>
    <w:p w:rsidR="000F0DF3" w:rsidRDefault="001F435B" w:rsidP="00552B46">
      <w:pPr>
        <w:pStyle w:val="ListParagraph"/>
        <w:numPr>
          <w:ilvl w:val="3"/>
          <w:numId w:val="21"/>
        </w:numPr>
        <w:ind w:left="446" w:hanging="450"/>
        <w:contextualSpacing w:val="0"/>
      </w:pPr>
      <w:r w:rsidRPr="00662542">
        <w:rPr>
          <w:i/>
        </w:rPr>
        <w:t>Process Initial Responses</w:t>
      </w:r>
      <w:r>
        <w:t>.</w:t>
      </w:r>
      <w:r w:rsidR="000C6CB0">
        <w:t xml:space="preserve"> </w:t>
      </w:r>
      <w:r>
        <w:t xml:space="preserve">The </w:t>
      </w:r>
      <w:r w:rsidR="00CF1D4B">
        <w:t>agency</w:t>
      </w:r>
      <w:r>
        <w:t xml:space="preserve"> will receive the Initial Response Form, document the response, track responses </w:t>
      </w:r>
      <w:r w:rsidR="00FD5EDF">
        <w:t>and</w:t>
      </w:r>
      <w:r>
        <w:t xml:space="preserve"> determine next steps based on the responses.</w:t>
      </w:r>
      <w:r w:rsidR="000C6CB0">
        <w:t xml:space="preserve"> </w:t>
      </w:r>
      <w:r>
        <w:t xml:space="preserve">In general, the </w:t>
      </w:r>
      <w:r w:rsidR="00CF1D4B">
        <w:t>agency</w:t>
      </w:r>
      <w:r>
        <w:t xml:space="preserve"> will review the response to determine if it is complete and whether it satisfies the request in the Tier</w:t>
      </w:r>
      <w:r w:rsidR="00E308C0">
        <w:t> </w:t>
      </w:r>
      <w:r>
        <w:t xml:space="preserve">1 </w:t>
      </w:r>
      <w:r w:rsidR="00D70092">
        <w:t>order</w:t>
      </w:r>
      <w:r>
        <w:t xml:space="preserve">, if so, the response will be documented accordingly. Depending on the response, the </w:t>
      </w:r>
      <w:r w:rsidR="00CF1D4B">
        <w:t>agency</w:t>
      </w:r>
      <w:r>
        <w:t xml:space="preserve"> may also complete other tasks, </w:t>
      </w:r>
      <w:r w:rsidRPr="00924FAB">
        <w:rPr>
          <w:i/>
        </w:rPr>
        <w:t>e.g.</w:t>
      </w:r>
      <w:r>
        <w:t>, document lead for a consortia, process a voluntary cancellation request or request for reformulation, etc.</w:t>
      </w:r>
      <w:r w:rsidR="000C6CB0">
        <w:t xml:space="preserve"> </w:t>
      </w:r>
      <w:r>
        <w:t xml:space="preserve">The </w:t>
      </w:r>
      <w:r w:rsidR="00CF1D4B">
        <w:t>agency</w:t>
      </w:r>
      <w:r>
        <w:t xml:space="preserve"> will verify claims and review data cited or submitted and provide a written response to the </w:t>
      </w:r>
      <w:r w:rsidR="00D70092">
        <w:t>order</w:t>
      </w:r>
      <w:r>
        <w:t xml:space="preserve"> recipient that accepts or rejects their claim(s).</w:t>
      </w:r>
    </w:p>
    <w:p w:rsidR="000F0DF3" w:rsidRDefault="001F435B" w:rsidP="00552B46">
      <w:pPr>
        <w:pStyle w:val="ListParagraph"/>
        <w:numPr>
          <w:ilvl w:val="3"/>
          <w:numId w:val="21"/>
        </w:numPr>
        <w:ind w:left="446" w:hanging="450"/>
        <w:contextualSpacing w:val="0"/>
      </w:pPr>
      <w:r w:rsidRPr="00662542">
        <w:rPr>
          <w:i/>
        </w:rPr>
        <w:t>Provide Assistance</w:t>
      </w:r>
      <w:r w:rsidR="00674E1C">
        <w:rPr>
          <w:i/>
        </w:rPr>
        <w:t xml:space="preserve"> and </w:t>
      </w:r>
      <w:r w:rsidRPr="00662542">
        <w:rPr>
          <w:i/>
        </w:rPr>
        <w:t>Complete Follow-up, as needed</w:t>
      </w:r>
      <w:r>
        <w:t>.</w:t>
      </w:r>
      <w:r w:rsidR="000C6CB0">
        <w:t xml:space="preserve"> </w:t>
      </w:r>
      <w:r>
        <w:t xml:space="preserve">The </w:t>
      </w:r>
      <w:r w:rsidR="00CF1D4B">
        <w:t>agency</w:t>
      </w:r>
      <w:r>
        <w:t xml:space="preserve"> will respond to any questions the recipient may have regarding the Tier 1 </w:t>
      </w:r>
      <w:r w:rsidR="00D70092">
        <w:t>order</w:t>
      </w:r>
      <w:r>
        <w:t xml:space="preserve"> in a timely manner, as well as process any requests for extensions or protocol variations.</w:t>
      </w:r>
    </w:p>
    <w:p w:rsidR="000F0DF3" w:rsidRDefault="001F435B" w:rsidP="00552B46">
      <w:pPr>
        <w:pStyle w:val="ListParagraph"/>
        <w:numPr>
          <w:ilvl w:val="3"/>
          <w:numId w:val="21"/>
        </w:numPr>
        <w:ind w:left="446" w:hanging="450"/>
        <w:contextualSpacing w:val="0"/>
      </w:pPr>
      <w:r w:rsidRPr="00662542">
        <w:rPr>
          <w:i/>
        </w:rPr>
        <w:t>Address Non-responders</w:t>
      </w:r>
      <w:r>
        <w:t>.</w:t>
      </w:r>
      <w:r w:rsidR="000C6CB0">
        <w:t xml:space="preserve"> </w:t>
      </w:r>
      <w:r>
        <w:t>Once identified, OCSPP will determine appropriate action (</w:t>
      </w:r>
      <w:r w:rsidRPr="00924FAB">
        <w:rPr>
          <w:i/>
        </w:rPr>
        <w:t>i.e.</w:t>
      </w:r>
      <w:r>
        <w:t xml:space="preserve">, whether to initiate cancellation </w:t>
      </w:r>
      <w:proofErr w:type="gramStart"/>
      <w:r w:rsidR="00804A22">
        <w:t>procedures,</w:t>
      </w:r>
      <w:proofErr w:type="gramEnd"/>
      <w:r>
        <w:t xml:space="preserve"> refer the case to </w:t>
      </w:r>
      <w:r w:rsidR="00C270A7">
        <w:t>the EPA</w:t>
      </w:r>
      <w:r w:rsidR="00CF1D4B">
        <w:t>'</w:t>
      </w:r>
      <w:r>
        <w:t>s Office of Enforcement and Compliance Assurance (OECA) for enforcement, etc.).</w:t>
      </w:r>
    </w:p>
    <w:p w:rsidR="000F0DF3" w:rsidRDefault="001F435B" w:rsidP="00552B46">
      <w:pPr>
        <w:pStyle w:val="ListParagraph"/>
        <w:numPr>
          <w:ilvl w:val="3"/>
          <w:numId w:val="21"/>
        </w:numPr>
        <w:ind w:left="446" w:hanging="450"/>
        <w:contextualSpacing w:val="0"/>
      </w:pPr>
      <w:r w:rsidRPr="00662542">
        <w:rPr>
          <w:i/>
        </w:rPr>
        <w:t xml:space="preserve">Issue </w:t>
      </w:r>
      <w:r w:rsidR="00CF1D4B">
        <w:rPr>
          <w:i/>
        </w:rPr>
        <w:t>"</w:t>
      </w:r>
      <w:r w:rsidRPr="00662542">
        <w:rPr>
          <w:i/>
        </w:rPr>
        <w:t>Catch-up</w:t>
      </w:r>
      <w:r w:rsidR="00CF1D4B">
        <w:rPr>
          <w:i/>
        </w:rPr>
        <w:t>"</w:t>
      </w:r>
      <w:r w:rsidRPr="00662542">
        <w:rPr>
          <w:i/>
        </w:rPr>
        <w:t xml:space="preserve"> Orders</w:t>
      </w:r>
      <w:r>
        <w:t>.</w:t>
      </w:r>
      <w:r w:rsidR="000C6CB0">
        <w:t xml:space="preserve"> </w:t>
      </w:r>
      <w:r w:rsidR="00C270A7">
        <w:t>The EPA</w:t>
      </w:r>
      <w:r>
        <w:t xml:space="preserve"> may issue a so called </w:t>
      </w:r>
      <w:r w:rsidR="00CF1D4B">
        <w:t>"</w:t>
      </w:r>
      <w:r>
        <w:t>catch-up</w:t>
      </w:r>
      <w:r w:rsidR="00CF1D4B">
        <w:t>"</w:t>
      </w:r>
      <w:r>
        <w:t xml:space="preserve"> </w:t>
      </w:r>
      <w:r w:rsidR="00D70092">
        <w:t>order</w:t>
      </w:r>
      <w:r>
        <w:t xml:space="preserve"> to a manufacturer or importer who begins to sell a pesticide ingredient (active or inert) following the submission of required EDSP data on the ingredient by manufacturers or importers who were in the marketplace when the initial </w:t>
      </w:r>
      <w:r w:rsidR="001E640A">
        <w:t>orders</w:t>
      </w:r>
      <w:r>
        <w:t xml:space="preserve"> were issued.</w:t>
      </w:r>
    </w:p>
    <w:p w:rsidR="000F0DF3" w:rsidRDefault="001F435B" w:rsidP="00552B46">
      <w:pPr>
        <w:pStyle w:val="ListParagraph"/>
        <w:numPr>
          <w:ilvl w:val="3"/>
          <w:numId w:val="21"/>
        </w:numPr>
        <w:ind w:left="446" w:hanging="450"/>
        <w:contextualSpacing w:val="0"/>
      </w:pPr>
      <w:r w:rsidRPr="00662542">
        <w:rPr>
          <w:i/>
        </w:rPr>
        <w:t>Process Data Submissions</w:t>
      </w:r>
      <w:r>
        <w:t>.</w:t>
      </w:r>
      <w:r w:rsidR="000C6CB0">
        <w:t xml:space="preserve"> </w:t>
      </w:r>
      <w:r>
        <w:t xml:space="preserve">The </w:t>
      </w:r>
      <w:r w:rsidR="00CF1D4B">
        <w:t>agency</w:t>
      </w:r>
      <w:r>
        <w:t xml:space="preserve"> will process submissions of data generated under the Tier 1 </w:t>
      </w:r>
      <w:r w:rsidR="00D70092">
        <w:t>order</w:t>
      </w:r>
      <w:r>
        <w:t xml:space="preserve">, including initial review of the data submission for completeness, initial log-in to document receipt, and determining the close out of the </w:t>
      </w:r>
      <w:r w:rsidR="00D70092">
        <w:t>order</w:t>
      </w:r>
      <w:r>
        <w:t>.</w:t>
      </w:r>
      <w:r w:rsidR="000C6CB0">
        <w:t xml:space="preserve"> </w:t>
      </w:r>
      <w:r>
        <w:t>As indicated previously, this will be coordinated by OPP, OPPT and OSCP.</w:t>
      </w:r>
      <w:r w:rsidR="000C6CB0">
        <w:t xml:space="preserve"> </w:t>
      </w:r>
      <w:r>
        <w:t xml:space="preserve">Although each </w:t>
      </w:r>
      <w:r w:rsidR="00D70092">
        <w:t>order</w:t>
      </w:r>
      <w:r>
        <w:t xml:space="preserve"> will need to be addressed individually, the </w:t>
      </w:r>
      <w:r w:rsidR="00CF1D4B">
        <w:t>agency</w:t>
      </w:r>
      <w:r>
        <w:t xml:space="preserve"> may determine that the satisfaction of the </w:t>
      </w:r>
      <w:r w:rsidR="00D70092">
        <w:t>order</w:t>
      </w:r>
      <w:r>
        <w:t xml:space="preserve"> for a particular chemical by one </w:t>
      </w:r>
      <w:r w:rsidR="00D70092">
        <w:t>order</w:t>
      </w:r>
      <w:r>
        <w:t xml:space="preserve"> recipient can be used to determine that all of the </w:t>
      </w:r>
      <w:r w:rsidR="001E640A">
        <w:t>orders</w:t>
      </w:r>
      <w:r>
        <w:t xml:space="preserve"> for that chemical are also satisfied.</w:t>
      </w:r>
      <w:r w:rsidR="000C6CB0">
        <w:t xml:space="preserve"> </w:t>
      </w:r>
      <w:r>
        <w:t xml:space="preserve">However, satisfaction of an </w:t>
      </w:r>
      <w:r w:rsidR="00D70092">
        <w:t>order</w:t>
      </w:r>
      <w:r>
        <w:t xml:space="preserve"> by one </w:t>
      </w:r>
      <w:r w:rsidR="00D70092">
        <w:t>order</w:t>
      </w:r>
      <w:r>
        <w:t xml:space="preserve"> recipient, may not affect the need for the other </w:t>
      </w:r>
      <w:r w:rsidR="00D70092">
        <w:t>order</w:t>
      </w:r>
      <w:r>
        <w:t xml:space="preserve"> recipients to comply at all.</w:t>
      </w:r>
      <w:r w:rsidR="000C6CB0">
        <w:t xml:space="preserve"> </w:t>
      </w:r>
      <w:r>
        <w:t>For more information,</w:t>
      </w:r>
      <w:r w:rsidR="00873A4A">
        <w:t xml:space="preserve"> see the policies and procedures d</w:t>
      </w:r>
      <w:r>
        <w:t>ocument (Attachment B).</w:t>
      </w:r>
    </w:p>
    <w:p w:rsidR="00733994" w:rsidRDefault="001F435B" w:rsidP="00552B46">
      <w:pPr>
        <w:pStyle w:val="ListParagraph"/>
        <w:numPr>
          <w:ilvl w:val="3"/>
          <w:numId w:val="21"/>
        </w:numPr>
        <w:ind w:left="446" w:hanging="450"/>
        <w:contextualSpacing w:val="0"/>
      </w:pPr>
      <w:r w:rsidRPr="00662542">
        <w:rPr>
          <w:i/>
        </w:rPr>
        <w:t>Analyze Data</w:t>
      </w:r>
      <w:r>
        <w:t>.</w:t>
      </w:r>
      <w:r w:rsidR="000C6CB0">
        <w:t xml:space="preserve"> </w:t>
      </w:r>
      <w:r>
        <w:t xml:space="preserve">OCSPP will implement the </w:t>
      </w:r>
      <w:r w:rsidR="00CF1D4B">
        <w:t>agency'</w:t>
      </w:r>
      <w:r>
        <w:t>s internal standard review procedures to review the data. For example, what do the data tell us about the chemical</w:t>
      </w:r>
      <w:r w:rsidR="00CF1D4B">
        <w:t>'</w:t>
      </w:r>
      <w:r>
        <w:t>s potential to interact with E, A, and/or T?</w:t>
      </w:r>
    </w:p>
    <w:p w:rsidR="00733994" w:rsidRDefault="001F435B" w:rsidP="00127A1A">
      <w:pPr>
        <w:ind w:left="446"/>
      </w:pPr>
      <w:r>
        <w:t xml:space="preserve">In general, the </w:t>
      </w:r>
      <w:r w:rsidR="00CF1D4B">
        <w:t>agency</w:t>
      </w:r>
      <w:r>
        <w:t xml:space="preserve"> intends to take a weight-of-evidence approach to evaluate the available data for a particular chemical to determine whether the potential endocrine disrupting effects associated with the use of the chemical can be ascertained with the data available, or whether additional </w:t>
      </w:r>
      <w:r w:rsidR="00273B98">
        <w:t xml:space="preserve">data are </w:t>
      </w:r>
      <w:r>
        <w:t>needed.</w:t>
      </w:r>
      <w:r w:rsidR="000C6CB0">
        <w:t xml:space="preserve"> </w:t>
      </w:r>
      <w:r>
        <w:t xml:space="preserve">For more </w:t>
      </w:r>
      <w:r w:rsidR="00E21C22">
        <w:t xml:space="preserve">background </w:t>
      </w:r>
      <w:r>
        <w:t xml:space="preserve">information on the weight-of-evidence approach, please go to </w:t>
      </w:r>
      <w:hyperlink r:id="rId19" w:history="1">
        <w:r w:rsidR="00662542" w:rsidRPr="00BA5628">
          <w:rPr>
            <w:rStyle w:val="Hyperlink"/>
          </w:rPr>
          <w:t>http://www.regulations.gov</w:t>
        </w:r>
      </w:hyperlink>
      <w:r>
        <w:t>, specifically under docket EPA</w:t>
      </w:r>
      <w:r w:rsidR="00677D4B">
        <w:noBreakHyphen/>
        <w:t>HQ</w:t>
      </w:r>
      <w:r w:rsidR="00677D4B">
        <w:noBreakHyphen/>
      </w:r>
      <w:r>
        <w:t>OPPT</w:t>
      </w:r>
      <w:r w:rsidR="00677D4B">
        <w:noBreakHyphen/>
      </w:r>
      <w:r>
        <w:t>2010</w:t>
      </w:r>
      <w:r w:rsidR="00677D4B">
        <w:noBreakHyphen/>
      </w:r>
      <w:r>
        <w:t>0877.</w:t>
      </w:r>
    </w:p>
    <w:p w:rsidR="000F0DF3" w:rsidRDefault="001F435B" w:rsidP="00552B46">
      <w:pPr>
        <w:pStyle w:val="ListParagraph"/>
        <w:numPr>
          <w:ilvl w:val="3"/>
          <w:numId w:val="21"/>
        </w:numPr>
        <w:ind w:left="446" w:hanging="450"/>
        <w:contextualSpacing w:val="0"/>
      </w:pPr>
      <w:r w:rsidRPr="00662542">
        <w:rPr>
          <w:i/>
        </w:rPr>
        <w:t>Incorporate/Use the Data</w:t>
      </w:r>
      <w:r>
        <w:t xml:space="preserve">. The </w:t>
      </w:r>
      <w:r w:rsidR="00CF1D4B">
        <w:t>agency</w:t>
      </w:r>
      <w:r>
        <w:t xml:space="preserve"> will incorporate the data into a risk assessment and make a regulatory decision as necessary and appropriate.</w:t>
      </w:r>
      <w:r w:rsidR="000C6CB0">
        <w:t xml:space="preserve"> </w:t>
      </w:r>
      <w:r w:rsidR="00C270A7">
        <w:t>The EPA</w:t>
      </w:r>
      <w:r>
        <w:t xml:space="preserve"> has extensive experience in using data from multiple sources to develop integrated assessments of hazard, modes of action / mechanisms </w:t>
      </w:r>
      <w:r>
        <w:lastRenderedPageBreak/>
        <w:t>of toxicity, and overall potential for risk. EPA scientists will continue to use such experience to address the potential of chemicals to cause adverse effects as a consequence of interaction with the endocrine system.</w:t>
      </w:r>
      <w:r w:rsidR="000C6CB0">
        <w:t xml:space="preserve"> </w:t>
      </w:r>
      <w:r>
        <w:t>For example, do we know enough to determine whether or not we should take any regulatory action to prevent or mitigate the exposures that might lead to the interaction identified? Should the chemical be considered for Tier 2 testing?</w:t>
      </w:r>
    </w:p>
    <w:p w:rsidR="00733994" w:rsidRDefault="001F435B" w:rsidP="00127A1A">
      <w:pPr>
        <w:ind w:left="446"/>
      </w:pPr>
      <w:r>
        <w:t xml:space="preserve">In addition, chemicals that go through Tier 1 screening and are found to have the potential to interact with the estrogen, androgen, or thyroid hormone systems will proceed to the next stage of the EDSP where </w:t>
      </w:r>
      <w:r w:rsidR="00C270A7">
        <w:t>the EPA</w:t>
      </w:r>
      <w:r>
        <w:t xml:space="preserve"> will determine which, if any, of the Tier 2 tests are necessary based on the available data.</w:t>
      </w:r>
      <w:r w:rsidR="000C6CB0">
        <w:t xml:space="preserve"> </w:t>
      </w:r>
      <w:r>
        <w:t>Tier 2 testing is designed to identify any adverse endocrine-related effects caused by the substance, and establish a quantitative relationship between the dose and that endocrine effect.</w:t>
      </w:r>
    </w:p>
    <w:p w:rsidR="000F0DF3" w:rsidRDefault="001F435B" w:rsidP="00552B46">
      <w:pPr>
        <w:pStyle w:val="ListParagraph"/>
        <w:numPr>
          <w:ilvl w:val="3"/>
          <w:numId w:val="21"/>
        </w:numPr>
        <w:ind w:left="446" w:hanging="450"/>
        <w:contextualSpacing w:val="0"/>
      </w:pPr>
      <w:r w:rsidRPr="00273B98">
        <w:rPr>
          <w:i/>
        </w:rPr>
        <w:t>Store Data in Retrievable System</w:t>
      </w:r>
      <w:r>
        <w:t>.</w:t>
      </w:r>
      <w:r w:rsidR="000C6CB0">
        <w:t xml:space="preserve"> </w:t>
      </w:r>
      <w:r>
        <w:t xml:space="preserve">The </w:t>
      </w:r>
      <w:r w:rsidR="00CF1D4B">
        <w:t>agency</w:t>
      </w:r>
      <w:r>
        <w:t xml:space="preserve"> will index and store the data in the </w:t>
      </w:r>
      <w:r w:rsidR="00CF1D4B">
        <w:t>agency'</w:t>
      </w:r>
      <w:r>
        <w:t>s files.</w:t>
      </w:r>
      <w:r w:rsidR="000C6CB0">
        <w:t xml:space="preserve"> </w:t>
      </w:r>
      <w:r>
        <w:t>For pesticide active and inert ingredients, the data will be stored in OPPIN. This system is discussed in more detail in section 5(b) of this ICR.</w:t>
      </w:r>
    </w:p>
    <w:p w:rsidR="000F0DF3" w:rsidRDefault="001F435B" w:rsidP="002F2414">
      <w:pPr>
        <w:pStyle w:val="Heading2"/>
      </w:pPr>
      <w:r>
        <w:t>5(b)</w:t>
      </w:r>
      <w:r w:rsidR="00662542">
        <w:tab/>
      </w:r>
      <w:r>
        <w:t>Collection Methodology and Management</w:t>
      </w:r>
    </w:p>
    <w:p w:rsidR="000F0DF3" w:rsidRDefault="001F435B" w:rsidP="00F16932">
      <w:r>
        <w:t xml:space="preserve">For each of the chemicals identified for Tier 1 screening as part of the EDSP, the specific data requested, the testing necessary to generate that data, along with the validated protocols to conduct the tests, the time frame for completing the testing, and the date by which the requested data must be submitted to the </w:t>
      </w:r>
      <w:r w:rsidR="00CF1D4B">
        <w:t>agency</w:t>
      </w:r>
      <w:r>
        <w:t xml:space="preserve"> will be established in the Tier 1 </w:t>
      </w:r>
      <w:r w:rsidR="00D70092">
        <w:t>order</w:t>
      </w:r>
      <w:r>
        <w:t>.</w:t>
      </w:r>
      <w:r w:rsidR="000C6CB0">
        <w:t xml:space="preserve"> </w:t>
      </w:r>
      <w:r>
        <w:t xml:space="preserve">As indicated previously, the </w:t>
      </w:r>
      <w:r w:rsidR="00CF1D4B">
        <w:t>agency</w:t>
      </w:r>
      <w:r>
        <w:t xml:space="preserve"> intends to utilize the systems and procedures already established and in use for Data-Call-In activities under FIFRA to collect and manage the data submitted in response to the Tier 1 </w:t>
      </w:r>
      <w:r w:rsidR="00D70092">
        <w:t>order</w:t>
      </w:r>
      <w:r>
        <w:t xml:space="preserve">. For example, as with other pesticide data related submissions, </w:t>
      </w:r>
      <w:r w:rsidR="00C270A7">
        <w:t>the EPA</w:t>
      </w:r>
      <w:r>
        <w:t xml:space="preserve"> will maintain a record of each study submitted in the </w:t>
      </w:r>
      <w:r w:rsidR="00CF1D4B">
        <w:t>agency'</w:t>
      </w:r>
      <w:r>
        <w:t>s Pesticide Document Management System (PDMS), and public access to the PDMS bibliography may be made through the National Pesticides Information Retrieval System (NPIRS).</w:t>
      </w:r>
      <w:r w:rsidR="000C6CB0">
        <w:t xml:space="preserve"> </w:t>
      </w:r>
      <w:r>
        <w:t>NPIRS supports searches of the PDMS database by chemical, subject, submission date, laboratory, guideline number, and document type. The public, after satisfying any applicable requirements (</w:t>
      </w:r>
      <w:r w:rsidRPr="00924FAB">
        <w:rPr>
          <w:i/>
        </w:rPr>
        <w:t>e.g.</w:t>
      </w:r>
      <w:r>
        <w:t xml:space="preserve">, FIFRA </w:t>
      </w:r>
      <w:r w:rsidR="004B1979">
        <w:t xml:space="preserve">section </w:t>
      </w:r>
      <w:r>
        <w:t>10) may request copies of non-confidential studies through FOIA.</w:t>
      </w:r>
    </w:p>
    <w:p w:rsidR="000F0DF3" w:rsidRDefault="001F435B" w:rsidP="00F16932">
      <w:r>
        <w:t>In addition, OPP</w:t>
      </w:r>
      <w:r w:rsidR="00CF1D4B">
        <w:t>'</w:t>
      </w:r>
      <w:r>
        <w:t xml:space="preserve">s Information Technology </w:t>
      </w:r>
      <w:r w:rsidR="00E21C22">
        <w:t>and</w:t>
      </w:r>
      <w:r>
        <w:t xml:space="preserve"> Resource Management Division (ITRMD) </w:t>
      </w:r>
      <w:proofErr w:type="gramStart"/>
      <w:r>
        <w:t>has</w:t>
      </w:r>
      <w:proofErr w:type="gramEnd"/>
      <w:r>
        <w:t xml:space="preserve"> enhanced the </w:t>
      </w:r>
      <w:r w:rsidR="00CF1D4B">
        <w:t>agency'</w:t>
      </w:r>
      <w:r>
        <w:t>s tracking database (PRISM) to provide the necessary information to accomplish the Tier 1 goal.</w:t>
      </w:r>
      <w:r w:rsidR="000C6CB0">
        <w:t xml:space="preserve"> </w:t>
      </w:r>
      <w:r>
        <w:t xml:space="preserve">PRISM was used for issuance and tracking of EDSP </w:t>
      </w:r>
      <w:r w:rsidR="001E640A">
        <w:t>orders</w:t>
      </w:r>
      <w:r>
        <w:t xml:space="preserve"> related to the </w:t>
      </w:r>
      <w:r w:rsidR="00812153">
        <w:t>initial</w:t>
      </w:r>
      <w:r>
        <w:t xml:space="preserve"> list of chemicals.</w:t>
      </w:r>
    </w:p>
    <w:p w:rsidR="000F0DF3" w:rsidRDefault="001F435B" w:rsidP="00F16932">
      <w:r>
        <w:t xml:space="preserve">To meet the goals of the EDSP, the system allows for the creation of </w:t>
      </w:r>
      <w:r w:rsidR="001E640A">
        <w:t>orders</w:t>
      </w:r>
      <w:r>
        <w:t xml:space="preserve"> for each chemical.</w:t>
      </w:r>
      <w:r w:rsidR="000C6CB0">
        <w:t xml:space="preserve"> </w:t>
      </w:r>
      <w:r>
        <w:t>For pesticide active ingredients, the system will manage information associated with the company, product or pesticide active ingredients, requirement information, and information related to the responses.</w:t>
      </w:r>
      <w:r w:rsidR="000C6CB0">
        <w:t xml:space="preserve"> </w:t>
      </w:r>
      <w:r>
        <w:t>For inert ingredients, the system manages the associated companies only, since these companies may not have any registered products.</w:t>
      </w:r>
      <w:r w:rsidR="000C6CB0">
        <w:t xml:space="preserve"> </w:t>
      </w:r>
      <w:r>
        <w:t>In addition, the system allows for the submission of studies through registrant consortiums, in addition to individuals.</w:t>
      </w:r>
      <w:r w:rsidR="000C6CB0">
        <w:t xml:space="preserve"> </w:t>
      </w:r>
      <w:r>
        <w:t xml:space="preserve">This will ensure that the companies who received </w:t>
      </w:r>
      <w:r w:rsidR="001E640A">
        <w:t>orders</w:t>
      </w:r>
      <w:r>
        <w:t xml:space="preserve"> are given credit for the submissions when the consortium is identified as the study owner.</w:t>
      </w:r>
      <w:r w:rsidR="000C6CB0">
        <w:t xml:space="preserve"> </w:t>
      </w:r>
      <w:r>
        <w:t>For every inert there is a subsection for its Battery, results and comments.</w:t>
      </w:r>
      <w:r w:rsidR="000C6CB0">
        <w:t xml:space="preserve"> </w:t>
      </w:r>
      <w:r>
        <w:t>The system will track the milestones associated with the drafting, concurrence, mail-out, 90-day response, submission receipts, and reviews.</w:t>
      </w:r>
      <w:r w:rsidR="000C6CB0">
        <w:t xml:space="preserve"> </w:t>
      </w:r>
      <w:r>
        <w:t>Also, the system manages response extensions and identifies all non-responsive companies.</w:t>
      </w:r>
    </w:p>
    <w:p w:rsidR="00733994" w:rsidRDefault="001F435B" w:rsidP="00F16932">
      <w:r>
        <w:lastRenderedPageBreak/>
        <w:t xml:space="preserve">In addition to tracking the previously mentioned elements related to each specific </w:t>
      </w:r>
      <w:r w:rsidR="00D70092">
        <w:t>order</w:t>
      </w:r>
      <w:r>
        <w:t xml:space="preserve">, the </w:t>
      </w:r>
      <w:r w:rsidR="00CF1D4B">
        <w:t>agency</w:t>
      </w:r>
      <w:r>
        <w:t xml:space="preserve"> will track the following</w:t>
      </w:r>
      <w:r w:rsidR="000C6CB0">
        <w:t xml:space="preserve">:  </w:t>
      </w:r>
      <w:r>
        <w:t>submission type, submission date, submission comment, review sent and completed dates, requirement status and requirement status comment.</w:t>
      </w:r>
      <w:r w:rsidR="000C6CB0">
        <w:t xml:space="preserve"> </w:t>
      </w:r>
      <w:r>
        <w:t>These elements are needed in order to track the responses submitted by each company, the submitted studies, study reviews, study status and requirement status.</w:t>
      </w:r>
    </w:p>
    <w:p w:rsidR="000F0DF3" w:rsidRDefault="001F435B" w:rsidP="00F16932">
      <w:r>
        <w:t xml:space="preserve">The </w:t>
      </w:r>
      <w:r w:rsidR="00CF1D4B">
        <w:t>agency</w:t>
      </w:r>
      <w:r>
        <w:t xml:space="preserve"> will produce several reports to facilitate tracking, etc.</w:t>
      </w:r>
      <w:r w:rsidR="000C6CB0">
        <w:t xml:space="preserve"> </w:t>
      </w:r>
      <w:r>
        <w:t>For example, a 90-day company response status report is needed to determine whether companies have responded, and to identify their intentions.</w:t>
      </w:r>
      <w:r w:rsidR="000C6CB0">
        <w:t xml:space="preserve"> </w:t>
      </w:r>
      <w:r>
        <w:t>An option to display only overdue responses will be included. It should include all chemicals and be sorted by company (and product if applicable).</w:t>
      </w:r>
      <w:r w:rsidR="000C6CB0">
        <w:t xml:space="preserve"> </w:t>
      </w:r>
      <w:r>
        <w:t>A status report by requirement across all chemicals, sorted by company is needed in order to present overall progress and allow management to directly identify delays.</w:t>
      </w:r>
    </w:p>
    <w:p w:rsidR="000F0DF3" w:rsidRDefault="001F435B" w:rsidP="002F2414">
      <w:pPr>
        <w:pStyle w:val="Heading2"/>
      </w:pPr>
      <w:r>
        <w:t>5(c)</w:t>
      </w:r>
      <w:r w:rsidR="00662542">
        <w:tab/>
      </w:r>
      <w:r>
        <w:t>Small Entity Flexibility</w:t>
      </w:r>
    </w:p>
    <w:p w:rsidR="000F0DF3" w:rsidRDefault="001F435B" w:rsidP="00F16932">
      <w:r>
        <w:t xml:space="preserve">In developing the </w:t>
      </w:r>
      <w:r w:rsidR="00873A4A">
        <w:t xml:space="preserve">policies and procedures document </w:t>
      </w:r>
      <w:r>
        <w:t xml:space="preserve">(Attachment B), the </w:t>
      </w:r>
      <w:r w:rsidR="00CF1D4B">
        <w:t>agency</w:t>
      </w:r>
      <w:r>
        <w:t xml:space="preserve"> considered alternatives for small businesses to the extent practical within the mandate in FFDCA.</w:t>
      </w:r>
      <w:r w:rsidR="000C6CB0">
        <w:t xml:space="preserve"> </w:t>
      </w:r>
      <w:r>
        <w:t xml:space="preserve">For example, as described in more detail in that document, </w:t>
      </w:r>
      <w:r w:rsidR="00C270A7">
        <w:t>the EPA</w:t>
      </w:r>
      <w:r>
        <w:t xml:space="preserve"> does not intend to issue Tier 1 </w:t>
      </w:r>
      <w:r w:rsidR="001E640A">
        <w:t>orders</w:t>
      </w:r>
      <w:r>
        <w:t xml:space="preserve"> to registrants of end-use products or formulators, primarily because most small entities potentially impacted under the EDSP are end-use product registrants or formulators and are not basic manufacturers or registrants.</w:t>
      </w:r>
      <w:r w:rsidR="000C6CB0">
        <w:t xml:space="preserve"> </w:t>
      </w:r>
      <w:r>
        <w:t>As such, small businesses are not expected to be responsible for supplying endocrine data on a chemical they use in their end-use product or formulation.</w:t>
      </w:r>
    </w:p>
    <w:p w:rsidR="000F0DF3" w:rsidRDefault="001F435B" w:rsidP="00F16932">
      <w:r>
        <w:t>In addition, the procedures are intended to minimize potential duplicative testing, and emphasize collaborative efforts to generate the requested data.</w:t>
      </w:r>
      <w:r w:rsidR="000C6CB0">
        <w:t xml:space="preserve"> </w:t>
      </w:r>
      <w:r>
        <w:t>If there is a small business that happen</w:t>
      </w:r>
      <w:r w:rsidR="00C10AA0">
        <w:t>s</w:t>
      </w:r>
      <w:r>
        <w:t xml:space="preserve"> to manufacture one of the chemicals and therefore receives a Tier 1 </w:t>
      </w:r>
      <w:r w:rsidR="00C10AA0">
        <w:t xml:space="preserve">test </w:t>
      </w:r>
      <w:r w:rsidR="00D70092">
        <w:t>order</w:t>
      </w:r>
      <w:r>
        <w:t>, the small business may minimize potential burden by joining a consortium or task force, which may relieve the small business of direct responsibility for generating or submitting the data.</w:t>
      </w:r>
      <w:r w:rsidR="000C6CB0">
        <w:t xml:space="preserve"> </w:t>
      </w:r>
      <w:r w:rsidR="00C270A7">
        <w:t>The EPA</w:t>
      </w:r>
      <w:r>
        <w:t xml:space="preserve"> has further facilitated this collaborative approach by including the list of </w:t>
      </w:r>
      <w:r w:rsidR="00D70092">
        <w:t>order</w:t>
      </w:r>
      <w:r>
        <w:t xml:space="preserve"> recipients for a particular chemical in the original </w:t>
      </w:r>
      <w:r w:rsidR="00D70092">
        <w:t>order</w:t>
      </w:r>
      <w:r>
        <w:t xml:space="preserve"> package that the entity will receive.</w:t>
      </w:r>
      <w:r w:rsidR="000C6CB0">
        <w:t xml:space="preserve"> </w:t>
      </w:r>
      <w:r>
        <w:t>Participants in a consortium are free to negotiate the terms of the agreement, including the level of participation expected from each member. Typically, that level of participation, which may be based on time or money, is based on the entity</w:t>
      </w:r>
      <w:r w:rsidR="00CF1D4B">
        <w:t>'</w:t>
      </w:r>
      <w:r>
        <w:t>s market share for that chemical.</w:t>
      </w:r>
    </w:p>
    <w:p w:rsidR="000F0DF3" w:rsidRDefault="00C270A7" w:rsidP="00F16932">
      <w:r>
        <w:t>The EPA</w:t>
      </w:r>
      <w:r w:rsidR="001F435B">
        <w:t xml:space="preserve"> can accommodate requests for extensions of time from small businesses, and provide other assistance, as needed. In fact, OPP has established small business liaisons that are available to provide a broad range of assistance to small businesses.</w:t>
      </w:r>
      <w:r w:rsidR="000C6CB0">
        <w:t xml:space="preserve"> </w:t>
      </w:r>
      <w:r w:rsidR="001F435B">
        <w:t xml:space="preserve">An extension in time may help a small business because other manufacturers who received an </w:t>
      </w:r>
      <w:r w:rsidR="00D70092">
        <w:t>order</w:t>
      </w:r>
      <w:r w:rsidR="001F435B">
        <w:t xml:space="preserve"> for that same chemical may submit the data sooner.</w:t>
      </w:r>
      <w:r w:rsidR="000C6CB0">
        <w:t xml:space="preserve"> </w:t>
      </w:r>
      <w:r w:rsidR="001F435B">
        <w:t>Since an entity may demonstrate that they made a reasonable offer to contribute towards the costs for generating that data, a small entity in this case would only be responsible for their fair share of the costs, and the time an effort involved in making a reasonable offer.</w:t>
      </w:r>
    </w:p>
    <w:p w:rsidR="000F0DF3" w:rsidRDefault="001F435B" w:rsidP="002F2414">
      <w:pPr>
        <w:pStyle w:val="Heading2"/>
      </w:pPr>
      <w:r>
        <w:t>5(d)</w:t>
      </w:r>
      <w:r w:rsidR="00662542">
        <w:tab/>
      </w:r>
      <w:r>
        <w:t>Collection Schedule</w:t>
      </w:r>
    </w:p>
    <w:p w:rsidR="000F0DF3" w:rsidRDefault="001F435B" w:rsidP="00F16932">
      <w:r>
        <w:t>There is no periodic schedule for the collections under this ICR. This information collection activity only involves a one-time, three step collection activity per chemical.</w:t>
      </w:r>
      <w:r w:rsidR="000C6CB0">
        <w:t xml:space="preserve"> </w:t>
      </w:r>
      <w:r>
        <w:t xml:space="preserve">The </w:t>
      </w:r>
      <w:r w:rsidR="00D70092">
        <w:t>order</w:t>
      </w:r>
      <w:r>
        <w:t xml:space="preserve"> will identify the applicable due dates for the collections under the </w:t>
      </w:r>
      <w:r w:rsidR="00D70092">
        <w:t>order</w:t>
      </w:r>
      <w:r>
        <w:t xml:space="preserve">, which will be calculated based on the date the </w:t>
      </w:r>
      <w:r>
        <w:lastRenderedPageBreak/>
        <w:t>order is issued.</w:t>
      </w:r>
      <w:r w:rsidR="000C6CB0">
        <w:t xml:space="preserve"> </w:t>
      </w:r>
      <w:r>
        <w:t xml:space="preserve">In general, the basic schedule </w:t>
      </w:r>
      <w:r w:rsidR="00C270A7">
        <w:t>the EPA</w:t>
      </w:r>
      <w:r>
        <w:t xml:space="preserve"> intends to use in the </w:t>
      </w:r>
      <w:r w:rsidR="00D70092">
        <w:t>order</w:t>
      </w:r>
      <w:r>
        <w:t xml:space="preserve"> is based on the timeframes identified in Table 3.</w:t>
      </w:r>
    </w:p>
    <w:p w:rsidR="00733994" w:rsidRDefault="001F435B" w:rsidP="002F2414">
      <w:pPr>
        <w:pStyle w:val="TableCaption"/>
      </w:pPr>
      <w:r>
        <w:t>Table 3 – General Basis for Establishing the Due Dates in the Order</w:t>
      </w:r>
    </w:p>
    <w:tbl>
      <w:tblPr>
        <w:tblStyle w:val="TableGrid"/>
        <w:tblW w:w="0" w:type="auto"/>
        <w:tblLook w:val="04A0"/>
      </w:tblPr>
      <w:tblGrid>
        <w:gridCol w:w="4698"/>
        <w:gridCol w:w="5598"/>
      </w:tblGrid>
      <w:tr w:rsidR="00662542" w:rsidRPr="00E308C0" w:rsidTr="00E308C0">
        <w:tc>
          <w:tcPr>
            <w:tcW w:w="4698" w:type="dxa"/>
            <w:shd w:val="clear" w:color="auto" w:fill="B8CCE4" w:themeFill="accent1" w:themeFillTint="66"/>
          </w:tcPr>
          <w:p w:rsidR="00662542" w:rsidRPr="00E308C0" w:rsidRDefault="00662542" w:rsidP="00E308C0">
            <w:pPr>
              <w:keepNext/>
              <w:spacing w:after="0"/>
              <w:rPr>
                <w:b/>
                <w:sz w:val="20"/>
                <w:szCs w:val="20"/>
              </w:rPr>
            </w:pPr>
            <w:r w:rsidRPr="00E308C0">
              <w:rPr>
                <w:b/>
                <w:sz w:val="20"/>
                <w:szCs w:val="20"/>
              </w:rPr>
              <w:t>Timeframes for Due Dates</w:t>
            </w:r>
          </w:p>
        </w:tc>
        <w:tc>
          <w:tcPr>
            <w:tcW w:w="5598" w:type="dxa"/>
            <w:shd w:val="clear" w:color="auto" w:fill="B8CCE4" w:themeFill="accent1" w:themeFillTint="66"/>
          </w:tcPr>
          <w:p w:rsidR="00662542" w:rsidRPr="00E308C0" w:rsidRDefault="00662542" w:rsidP="00E308C0">
            <w:pPr>
              <w:keepNext/>
              <w:spacing w:after="0"/>
              <w:rPr>
                <w:b/>
                <w:sz w:val="20"/>
                <w:szCs w:val="20"/>
              </w:rPr>
            </w:pPr>
            <w:r w:rsidRPr="00E308C0">
              <w:rPr>
                <w:b/>
                <w:sz w:val="20"/>
                <w:szCs w:val="20"/>
              </w:rPr>
              <w:t>What is Du</w:t>
            </w:r>
            <w:r w:rsidR="00123223" w:rsidRPr="00E308C0">
              <w:rPr>
                <w:b/>
                <w:sz w:val="20"/>
                <w:szCs w:val="20"/>
              </w:rPr>
              <w:t>e</w:t>
            </w:r>
          </w:p>
        </w:tc>
      </w:tr>
      <w:tr w:rsidR="00662542" w:rsidRPr="00E308C0" w:rsidTr="00E308C0">
        <w:tc>
          <w:tcPr>
            <w:tcW w:w="4698" w:type="dxa"/>
          </w:tcPr>
          <w:p w:rsidR="00662542" w:rsidRPr="00E308C0" w:rsidRDefault="00662542" w:rsidP="00E308C0">
            <w:pPr>
              <w:keepNext/>
              <w:spacing w:after="0"/>
              <w:rPr>
                <w:sz w:val="20"/>
                <w:szCs w:val="20"/>
              </w:rPr>
            </w:pPr>
            <w:r w:rsidRPr="00E308C0">
              <w:rPr>
                <w:sz w:val="20"/>
                <w:szCs w:val="20"/>
              </w:rPr>
              <w:t xml:space="preserve">Within 90 calendar days of the </w:t>
            </w:r>
            <w:r w:rsidR="00D70092" w:rsidRPr="00E308C0">
              <w:rPr>
                <w:sz w:val="20"/>
                <w:szCs w:val="20"/>
              </w:rPr>
              <w:t>order</w:t>
            </w:r>
            <w:r w:rsidR="00CF1D4B" w:rsidRPr="00E308C0">
              <w:rPr>
                <w:sz w:val="20"/>
                <w:szCs w:val="20"/>
              </w:rPr>
              <w:t>'</w:t>
            </w:r>
            <w:r w:rsidRPr="00E308C0">
              <w:rPr>
                <w:sz w:val="20"/>
                <w:szCs w:val="20"/>
              </w:rPr>
              <w:t xml:space="preserve">s issuance </w:t>
            </w:r>
            <w:r w:rsidR="006D2911" w:rsidRPr="00E308C0">
              <w:rPr>
                <w:sz w:val="20"/>
                <w:szCs w:val="20"/>
              </w:rPr>
              <w:br/>
            </w:r>
            <w:r w:rsidRPr="00E308C0">
              <w:rPr>
                <w:sz w:val="20"/>
                <w:szCs w:val="20"/>
              </w:rPr>
              <w:t xml:space="preserve">(+ 10 calendar days for processing) </w:t>
            </w:r>
          </w:p>
        </w:tc>
        <w:tc>
          <w:tcPr>
            <w:tcW w:w="5598" w:type="dxa"/>
          </w:tcPr>
          <w:p w:rsidR="00662542" w:rsidRPr="00E308C0" w:rsidRDefault="00662542" w:rsidP="00E308C0">
            <w:pPr>
              <w:keepNext/>
              <w:spacing w:after="0"/>
              <w:rPr>
                <w:sz w:val="20"/>
                <w:szCs w:val="20"/>
              </w:rPr>
            </w:pPr>
            <w:r w:rsidRPr="00E308C0">
              <w:rPr>
                <w:sz w:val="20"/>
                <w:szCs w:val="20"/>
              </w:rPr>
              <w:t>Individual Recipient</w:t>
            </w:r>
            <w:r w:rsidR="00CF1D4B" w:rsidRPr="00E308C0">
              <w:rPr>
                <w:sz w:val="20"/>
                <w:szCs w:val="20"/>
              </w:rPr>
              <w:t>'</w:t>
            </w:r>
            <w:r w:rsidRPr="00E308C0">
              <w:rPr>
                <w:sz w:val="20"/>
                <w:szCs w:val="20"/>
              </w:rPr>
              <w:t>s Initial Response</w:t>
            </w:r>
          </w:p>
        </w:tc>
      </w:tr>
      <w:tr w:rsidR="00662542" w:rsidRPr="00E308C0" w:rsidTr="00E308C0">
        <w:tc>
          <w:tcPr>
            <w:tcW w:w="4698" w:type="dxa"/>
          </w:tcPr>
          <w:p w:rsidR="00662542" w:rsidRPr="00E308C0" w:rsidRDefault="00662542" w:rsidP="00E308C0">
            <w:pPr>
              <w:keepNext/>
              <w:spacing w:after="0"/>
              <w:rPr>
                <w:sz w:val="20"/>
                <w:szCs w:val="20"/>
              </w:rPr>
            </w:pPr>
            <w:r w:rsidRPr="00E308C0">
              <w:rPr>
                <w:sz w:val="20"/>
                <w:szCs w:val="20"/>
              </w:rPr>
              <w:t xml:space="preserve">Within 150 calendar days of the </w:t>
            </w:r>
            <w:r w:rsidR="00D70092" w:rsidRPr="00E308C0">
              <w:rPr>
                <w:sz w:val="20"/>
                <w:szCs w:val="20"/>
              </w:rPr>
              <w:t>order</w:t>
            </w:r>
            <w:r w:rsidR="00CF1D4B" w:rsidRPr="00E308C0">
              <w:rPr>
                <w:sz w:val="20"/>
                <w:szCs w:val="20"/>
              </w:rPr>
              <w:t>'</w:t>
            </w:r>
            <w:r w:rsidRPr="00E308C0">
              <w:rPr>
                <w:sz w:val="20"/>
                <w:szCs w:val="20"/>
              </w:rPr>
              <w:t xml:space="preserve">s issuance </w:t>
            </w:r>
            <w:r w:rsidR="006D2911" w:rsidRPr="00E308C0">
              <w:rPr>
                <w:sz w:val="20"/>
                <w:szCs w:val="20"/>
              </w:rPr>
              <w:br/>
            </w:r>
            <w:r w:rsidRPr="00E308C0">
              <w:rPr>
                <w:sz w:val="20"/>
                <w:szCs w:val="20"/>
              </w:rPr>
              <w:t xml:space="preserve">(+ 10 calendar days for processing) </w:t>
            </w:r>
          </w:p>
        </w:tc>
        <w:tc>
          <w:tcPr>
            <w:tcW w:w="5598" w:type="dxa"/>
          </w:tcPr>
          <w:p w:rsidR="00662542" w:rsidRPr="00E308C0" w:rsidRDefault="00662542" w:rsidP="00E308C0">
            <w:pPr>
              <w:keepNext/>
              <w:spacing w:after="0"/>
              <w:rPr>
                <w:sz w:val="20"/>
                <w:szCs w:val="20"/>
              </w:rPr>
            </w:pPr>
            <w:r w:rsidRPr="00E308C0">
              <w:rPr>
                <w:sz w:val="20"/>
                <w:szCs w:val="20"/>
              </w:rPr>
              <w:t>Consortia</w:t>
            </w:r>
            <w:r w:rsidR="00CF1D4B" w:rsidRPr="00E308C0">
              <w:rPr>
                <w:sz w:val="20"/>
                <w:szCs w:val="20"/>
              </w:rPr>
              <w:t>'</w:t>
            </w:r>
            <w:r w:rsidRPr="00E308C0">
              <w:rPr>
                <w:sz w:val="20"/>
                <w:szCs w:val="20"/>
              </w:rPr>
              <w:t xml:space="preserve">s Documentation </w:t>
            </w:r>
            <w:r w:rsidR="00E21C22" w:rsidRPr="00E308C0">
              <w:rPr>
                <w:sz w:val="20"/>
                <w:szCs w:val="20"/>
              </w:rPr>
              <w:t>and</w:t>
            </w:r>
            <w:r w:rsidRPr="00E308C0">
              <w:rPr>
                <w:sz w:val="20"/>
                <w:szCs w:val="20"/>
              </w:rPr>
              <w:t xml:space="preserve"> Initial Response</w:t>
            </w:r>
          </w:p>
        </w:tc>
      </w:tr>
      <w:tr w:rsidR="00662542" w:rsidRPr="00E308C0" w:rsidTr="00E308C0">
        <w:tc>
          <w:tcPr>
            <w:tcW w:w="4698" w:type="dxa"/>
          </w:tcPr>
          <w:p w:rsidR="00662542" w:rsidRPr="00E308C0" w:rsidRDefault="00662542" w:rsidP="00E308C0">
            <w:pPr>
              <w:keepNext/>
              <w:spacing w:after="0"/>
              <w:rPr>
                <w:sz w:val="20"/>
                <w:szCs w:val="20"/>
              </w:rPr>
            </w:pPr>
            <w:r w:rsidRPr="00E308C0">
              <w:rPr>
                <w:sz w:val="20"/>
                <w:szCs w:val="20"/>
              </w:rPr>
              <w:t xml:space="preserve">Within 12 months from </w:t>
            </w:r>
            <w:r w:rsidR="00D70092" w:rsidRPr="00E308C0">
              <w:rPr>
                <w:sz w:val="20"/>
                <w:szCs w:val="20"/>
              </w:rPr>
              <w:t>order</w:t>
            </w:r>
            <w:r w:rsidR="00CF1D4B" w:rsidRPr="00E308C0">
              <w:rPr>
                <w:sz w:val="20"/>
                <w:szCs w:val="20"/>
              </w:rPr>
              <w:t>'</w:t>
            </w:r>
            <w:r w:rsidRPr="00E308C0">
              <w:rPr>
                <w:sz w:val="20"/>
                <w:szCs w:val="20"/>
              </w:rPr>
              <w:t xml:space="preserve">s issuance </w:t>
            </w:r>
          </w:p>
        </w:tc>
        <w:tc>
          <w:tcPr>
            <w:tcW w:w="5598" w:type="dxa"/>
          </w:tcPr>
          <w:p w:rsidR="00662542" w:rsidRPr="00E308C0" w:rsidRDefault="00662542" w:rsidP="00E308C0">
            <w:pPr>
              <w:keepNext/>
              <w:spacing w:after="0"/>
              <w:rPr>
                <w:sz w:val="20"/>
                <w:szCs w:val="20"/>
              </w:rPr>
            </w:pPr>
            <w:r w:rsidRPr="00E308C0">
              <w:rPr>
                <w:sz w:val="20"/>
                <w:szCs w:val="20"/>
              </w:rPr>
              <w:t xml:space="preserve">A Progress Report describing the status of an </w:t>
            </w:r>
            <w:r w:rsidR="00D70092" w:rsidRPr="00E308C0">
              <w:rPr>
                <w:sz w:val="20"/>
                <w:szCs w:val="20"/>
              </w:rPr>
              <w:t>order</w:t>
            </w:r>
            <w:r w:rsidRPr="00E308C0">
              <w:rPr>
                <w:sz w:val="20"/>
                <w:szCs w:val="20"/>
              </w:rPr>
              <w:t xml:space="preserve"> Recipient</w:t>
            </w:r>
            <w:r w:rsidR="00CF1D4B" w:rsidRPr="00E308C0">
              <w:rPr>
                <w:sz w:val="20"/>
                <w:szCs w:val="20"/>
              </w:rPr>
              <w:t>'</w:t>
            </w:r>
            <w:r w:rsidRPr="00E308C0">
              <w:rPr>
                <w:sz w:val="20"/>
                <w:szCs w:val="20"/>
              </w:rPr>
              <w:t xml:space="preserve">s compliance with the </w:t>
            </w:r>
            <w:r w:rsidR="00D70092" w:rsidRPr="00E308C0">
              <w:rPr>
                <w:sz w:val="20"/>
                <w:szCs w:val="20"/>
              </w:rPr>
              <w:t>order</w:t>
            </w:r>
            <w:r w:rsidRPr="00E308C0">
              <w:rPr>
                <w:sz w:val="20"/>
                <w:szCs w:val="20"/>
              </w:rPr>
              <w:t>.</w:t>
            </w:r>
          </w:p>
        </w:tc>
      </w:tr>
      <w:tr w:rsidR="00662542" w:rsidRPr="00E308C0" w:rsidTr="00E308C0">
        <w:tc>
          <w:tcPr>
            <w:tcW w:w="4698" w:type="dxa"/>
          </w:tcPr>
          <w:p w:rsidR="00662542" w:rsidRPr="00E308C0" w:rsidRDefault="00662542" w:rsidP="006D2911">
            <w:pPr>
              <w:spacing w:after="0"/>
              <w:rPr>
                <w:sz w:val="20"/>
                <w:szCs w:val="20"/>
              </w:rPr>
            </w:pPr>
            <w:r w:rsidRPr="00E308C0">
              <w:rPr>
                <w:sz w:val="20"/>
                <w:szCs w:val="20"/>
              </w:rPr>
              <w:t xml:space="preserve">24 months from </w:t>
            </w:r>
            <w:r w:rsidR="00D70092" w:rsidRPr="00E308C0">
              <w:rPr>
                <w:sz w:val="20"/>
                <w:szCs w:val="20"/>
              </w:rPr>
              <w:t>order</w:t>
            </w:r>
            <w:r w:rsidR="00CF1D4B" w:rsidRPr="00E308C0">
              <w:rPr>
                <w:sz w:val="20"/>
                <w:szCs w:val="20"/>
              </w:rPr>
              <w:t>'</w:t>
            </w:r>
            <w:r w:rsidRPr="00E308C0">
              <w:rPr>
                <w:sz w:val="20"/>
                <w:szCs w:val="20"/>
              </w:rPr>
              <w:t xml:space="preserve">s issuance </w:t>
            </w:r>
          </w:p>
        </w:tc>
        <w:tc>
          <w:tcPr>
            <w:tcW w:w="5598" w:type="dxa"/>
          </w:tcPr>
          <w:p w:rsidR="00662542" w:rsidRPr="00E308C0" w:rsidRDefault="00662542" w:rsidP="006D2911">
            <w:pPr>
              <w:spacing w:after="0"/>
              <w:rPr>
                <w:sz w:val="20"/>
                <w:szCs w:val="20"/>
              </w:rPr>
            </w:pPr>
            <w:r w:rsidRPr="00E308C0">
              <w:rPr>
                <w:sz w:val="20"/>
                <w:szCs w:val="20"/>
              </w:rPr>
              <w:t xml:space="preserve">Final Study Report and submission of the data to </w:t>
            </w:r>
            <w:r w:rsidR="00C270A7" w:rsidRPr="00E308C0">
              <w:rPr>
                <w:sz w:val="20"/>
                <w:szCs w:val="20"/>
              </w:rPr>
              <w:t>the EPA</w:t>
            </w:r>
          </w:p>
        </w:tc>
      </w:tr>
    </w:tbl>
    <w:p w:rsidR="00733994" w:rsidRDefault="001F435B" w:rsidP="002F2414">
      <w:pPr>
        <w:spacing w:before="240"/>
      </w:pPr>
      <w:r>
        <w:t xml:space="preserve">In calculating the due date for the Initial Response, the </w:t>
      </w:r>
      <w:r w:rsidR="00CF1D4B">
        <w:t>agency</w:t>
      </w:r>
      <w:r>
        <w:t xml:space="preserve"> has included an additional 10 calendar days to build in extra time for the </w:t>
      </w:r>
      <w:r w:rsidR="00CF1D4B">
        <w:t>agency</w:t>
      </w:r>
      <w:r>
        <w:t xml:space="preserve"> to process the final </w:t>
      </w:r>
      <w:r w:rsidR="00D70092">
        <w:t>order</w:t>
      </w:r>
      <w:r>
        <w:t xml:space="preserve"> package after signature, </w:t>
      </w:r>
      <w:r w:rsidRPr="00924FAB">
        <w:rPr>
          <w:i/>
        </w:rPr>
        <w:t>i.e.</w:t>
      </w:r>
      <w:r>
        <w:t>, to add all the due dates that will be calculated from the signature date, and for physical delivery of the package to the Post Office for mailing.</w:t>
      </w:r>
    </w:p>
    <w:p w:rsidR="00733994" w:rsidRDefault="001F435B" w:rsidP="00F16932">
      <w:r>
        <w:t xml:space="preserve">In general, the </w:t>
      </w:r>
      <w:r w:rsidR="00CF1D4B">
        <w:t>agency</w:t>
      </w:r>
      <w:r>
        <w:t xml:space="preserve"> does not expect to consider requests for extending the deadlines for the Initial Response. However, the </w:t>
      </w:r>
      <w:r w:rsidR="00CF1D4B">
        <w:t>agency</w:t>
      </w:r>
      <w:r>
        <w:t xml:space="preserve"> will consider extending the final report due date when the circumstances warrant it.</w:t>
      </w:r>
      <w:r w:rsidR="000C6CB0">
        <w:t xml:space="preserve"> </w:t>
      </w:r>
      <w:r>
        <w:t xml:space="preserve">The </w:t>
      </w:r>
      <w:r w:rsidR="00CF1D4B">
        <w:t>agency'</w:t>
      </w:r>
      <w:r>
        <w:t xml:space="preserve">s policy regarding time extensions is presented in the </w:t>
      </w:r>
      <w:r w:rsidR="00873A4A">
        <w:t xml:space="preserve">policies and procedures </w:t>
      </w:r>
      <w:r>
        <w:t>document (Attachment B).</w:t>
      </w:r>
    </w:p>
    <w:p w:rsidR="001F435B" w:rsidRDefault="001F435B" w:rsidP="00F16932">
      <w:r>
        <w:t>The timing of the activities covered by this ICR is not specific enough to accurately divide them by year.</w:t>
      </w:r>
      <w:r w:rsidR="000C6CB0">
        <w:t xml:space="preserve"> </w:t>
      </w:r>
      <w:r>
        <w:t xml:space="preserve">For purposes of estimating the potential paperwork burden in this ICR, </w:t>
      </w:r>
      <w:r w:rsidR="00C270A7">
        <w:t>the EPA</w:t>
      </w:r>
      <w:r>
        <w:t xml:space="preserve"> therefore assumed that the data would be submitted within 2 or 3 years of receiving the Tier 1 </w:t>
      </w:r>
      <w:r w:rsidR="00D70092">
        <w:t>order</w:t>
      </w:r>
      <w:r>
        <w:t xml:space="preserve">, </w:t>
      </w:r>
      <w:r w:rsidRPr="00924FAB">
        <w:rPr>
          <w:i/>
        </w:rPr>
        <w:t>i.e.</w:t>
      </w:r>
      <w:r>
        <w:t>, within the 3 year approval period for this ICR.</w:t>
      </w:r>
      <w:r w:rsidR="000C6CB0">
        <w:t xml:space="preserve"> </w:t>
      </w:r>
      <w:r>
        <w:t xml:space="preserve">To calculate an annual burden, the </w:t>
      </w:r>
      <w:r w:rsidR="00CF1D4B">
        <w:t>agency</w:t>
      </w:r>
      <w:r>
        <w:t xml:space="preserve"> assumed </w:t>
      </w:r>
      <w:proofErr w:type="gramStart"/>
      <w:r>
        <w:t>a 3</w:t>
      </w:r>
      <w:proofErr w:type="gramEnd"/>
      <w:r>
        <w:t xml:space="preserve"> year duration of equal annual effort.</w:t>
      </w:r>
    </w:p>
    <w:p w:rsidR="000F0DF3" w:rsidRDefault="00D53E0A" w:rsidP="00D53E0A">
      <w:pPr>
        <w:pStyle w:val="Heading1"/>
      </w:pPr>
      <w:r>
        <w:t>6.</w:t>
      </w:r>
      <w:r>
        <w:tab/>
        <w:t>Estimating the Burden and Cost of the Collection</w:t>
      </w:r>
    </w:p>
    <w:p w:rsidR="00733994" w:rsidRDefault="001F435B" w:rsidP="00F16932">
      <w:r>
        <w:t xml:space="preserve">The PRA requires </w:t>
      </w:r>
      <w:r w:rsidR="00C270A7">
        <w:t>the EPA</w:t>
      </w:r>
      <w:r>
        <w:t xml:space="preserve"> to estimate the </w:t>
      </w:r>
      <w:r w:rsidR="00CF1D4B">
        <w:t>"</w:t>
      </w:r>
      <w:r>
        <w:t>paperwork burden</w:t>
      </w:r>
      <w:r w:rsidR="00CF1D4B">
        <w:t>"</w:t>
      </w:r>
      <w:r>
        <w:t xml:space="preserve"> </w:t>
      </w:r>
      <w:r w:rsidRPr="00924FAB">
        <w:rPr>
          <w:i/>
        </w:rPr>
        <w:t>i.e.</w:t>
      </w:r>
      <w:r>
        <w:t xml:space="preserve">, the total time, effort, or financial resources expended by persons to generate, maintain, retain, or disclose or provide information to or for a </w:t>
      </w:r>
      <w:r w:rsidR="00CF1D4B">
        <w:t>federal</w:t>
      </w:r>
      <w:r>
        <w:t xml:space="preserve"> agency.</w:t>
      </w:r>
      <w:r w:rsidR="000C6CB0">
        <w:t xml:space="preserve"> </w:t>
      </w:r>
      <w:r>
        <w:t xml:space="preserve">Under the PRA, </w:t>
      </w:r>
      <w:r w:rsidR="00CF1D4B">
        <w:t>"</w:t>
      </w:r>
      <w:r>
        <w:t>burden</w:t>
      </w:r>
      <w:r w:rsidR="00CF1D4B">
        <w:t>"</w:t>
      </w:r>
      <w:r>
        <w:t xml:space="preserve"> means the </w:t>
      </w:r>
      <w:r w:rsidR="00CF1D4B">
        <w:t>"</w:t>
      </w:r>
      <w:r>
        <w:t xml:space="preserve">time, effort, or financial resources expended by persons to generate, maintain, or provide information to or for a Federal </w:t>
      </w:r>
      <w:r w:rsidR="00CF1D4B">
        <w:t>agency</w:t>
      </w:r>
      <w:r>
        <w:t>.</w:t>
      </w:r>
      <w:r w:rsidR="00CF1D4B">
        <w:t>"</w:t>
      </w:r>
      <w:r w:rsidR="000C6CB0">
        <w:t xml:space="preserve"> </w:t>
      </w:r>
      <w:r>
        <w:t>This can include the resources to</w:t>
      </w:r>
      <w:r w:rsidR="000C6CB0">
        <w:t xml:space="preserve">:  </w:t>
      </w:r>
      <w:r>
        <w:t>review instructions; develop, acquire, install, and use technology and systems; search data sources; collect, review, validate, and verify information/data; process and maintain information/data; disclose and transmit/submit information/data; change/adjust the existing ways of complying with any previously applicable instructions and requirements to now comply with new requirements; and, train personnel.</w:t>
      </w:r>
      <w:r w:rsidR="000C6CB0">
        <w:t xml:space="preserve"> </w:t>
      </w:r>
      <w:r>
        <w:t xml:space="preserve">The </w:t>
      </w:r>
      <w:r w:rsidR="00CF1D4B">
        <w:t>agency</w:t>
      </w:r>
      <w:r>
        <w:t xml:space="preserve"> is also required to estimate the paperwork costs, which include both the costs associated with the paperwork burden hours, and any additional costs not tied to a burden hour, but incurred under the PRA nonetheless (</w:t>
      </w:r>
      <w:r w:rsidRPr="00924FAB">
        <w:rPr>
          <w:i/>
        </w:rPr>
        <w:t>e.g.</w:t>
      </w:r>
      <w:r>
        <w:t xml:space="preserve">, the cost for mailing the forms to </w:t>
      </w:r>
      <w:r w:rsidR="00C270A7">
        <w:t>the EPA</w:t>
      </w:r>
      <w:r>
        <w:t>).</w:t>
      </w:r>
    </w:p>
    <w:p w:rsidR="000F0DF3" w:rsidRDefault="001F435B" w:rsidP="00127A1A">
      <w:r>
        <w:t xml:space="preserve">In this section of the ICR, the </w:t>
      </w:r>
      <w:r w:rsidR="00CF1D4B">
        <w:t>agency</w:t>
      </w:r>
      <w:r>
        <w:t xml:space="preserve"> discusses the methodology and assumptions used to calculate the potential paperwork burden and costs for both respondents and </w:t>
      </w:r>
      <w:r w:rsidR="00C270A7">
        <w:t>the EPA</w:t>
      </w:r>
      <w:r>
        <w:t>.</w:t>
      </w:r>
    </w:p>
    <w:p w:rsidR="00733994" w:rsidRDefault="001F435B" w:rsidP="002F2414">
      <w:pPr>
        <w:pStyle w:val="Heading2"/>
      </w:pPr>
      <w:r>
        <w:lastRenderedPageBreak/>
        <w:t>6(a)</w:t>
      </w:r>
      <w:r w:rsidR="00D53E0A">
        <w:tab/>
      </w:r>
      <w:r>
        <w:t>Methodology for Estimating Respondent Burden and Cost</w:t>
      </w:r>
    </w:p>
    <w:p w:rsidR="000F0DF3" w:rsidRDefault="001F435B" w:rsidP="002F2414">
      <w:pPr>
        <w:pStyle w:val="Heading3"/>
      </w:pPr>
      <w:r>
        <w:t>6(a</w:t>
      </w:r>
      <w:proofErr w:type="gramStart"/>
      <w:r>
        <w:t>)(</w:t>
      </w:r>
      <w:proofErr w:type="spellStart"/>
      <w:proofErr w:type="gramEnd"/>
      <w:r>
        <w:t>i</w:t>
      </w:r>
      <w:proofErr w:type="spellEnd"/>
      <w:r>
        <w:t>)</w:t>
      </w:r>
      <w:r w:rsidR="00D53E0A">
        <w:tab/>
      </w:r>
      <w:r>
        <w:t>Method Used to Calculate the Loaded Labor Rates</w:t>
      </w:r>
    </w:p>
    <w:p w:rsidR="00733994" w:rsidRDefault="001F435B" w:rsidP="00F16932">
      <w:r>
        <w:t xml:space="preserve">Average wage data for the relevant sectors of respondents are available in the </w:t>
      </w:r>
      <w:r w:rsidR="00E913B5">
        <w:t xml:space="preserve">May 2011 </w:t>
      </w:r>
      <w:r>
        <w:t xml:space="preserve">National Industry-Specific Occupational Employment and Wage Estimates from the Bureau of Labor Statistics (BLS) at </w:t>
      </w:r>
      <w:hyperlink r:id="rId20" w:history="1">
        <w:r w:rsidR="006D2911" w:rsidRPr="00BA5628">
          <w:rPr>
            <w:rStyle w:val="Hyperlink"/>
          </w:rPr>
          <w:t>http://www.bls.gov/oes/current/oes_nat.htm</w:t>
        </w:r>
      </w:hyperlink>
      <w:r>
        <w:t>.</w:t>
      </w:r>
    </w:p>
    <w:p w:rsidR="000F0DF3" w:rsidRDefault="001F435B" w:rsidP="00F16932">
      <w:r>
        <w:t xml:space="preserve">We used the NAICS codes to obtain the estimated loaded labor rates used in this ICR, </w:t>
      </w:r>
      <w:r w:rsidRPr="00924FAB">
        <w:rPr>
          <w:i/>
        </w:rPr>
        <w:t>i.e.</w:t>
      </w:r>
      <w:r>
        <w:t>, NAICS 325300, Pesticide, Fertilizer,</w:t>
      </w:r>
      <w:r w:rsidR="00674E1C">
        <w:t xml:space="preserve"> and </w:t>
      </w:r>
      <w:r>
        <w:t xml:space="preserve">Other Agricultural Chemical Manufacturing </w:t>
      </w:r>
      <w:hyperlink r:id="rId21" w:history="1">
        <w:r w:rsidR="006D2911" w:rsidRPr="00BA5628">
          <w:rPr>
            <w:rStyle w:val="Hyperlink"/>
          </w:rPr>
          <w:t>http://www.bls.gov/oes/current/naics4_325300.htm</w:t>
        </w:r>
      </w:hyperlink>
      <w:r>
        <w:t>.</w:t>
      </w:r>
      <w:r w:rsidR="000C6CB0">
        <w:t xml:space="preserve"> </w:t>
      </w:r>
      <w:r>
        <w:t>Within that sector, the wage data are provided by Standard Occupational Classification (SOC).</w:t>
      </w:r>
      <w:r w:rsidR="000C6CB0">
        <w:t xml:space="preserve"> </w:t>
      </w:r>
      <w:r>
        <w:t>The SOC system is used by Federal statistical agencies to classify workers into occupational categories for the purpose of collecting, calculating, or disseminating data.</w:t>
      </w:r>
      <w:r w:rsidR="000C6CB0">
        <w:t xml:space="preserve"> </w:t>
      </w:r>
      <w:r>
        <w:t>Each broad occupation includes detailed occupation(s) based on similar job duties, skills, education, or experience.</w:t>
      </w:r>
      <w:r w:rsidR="000C6CB0">
        <w:t xml:space="preserve"> </w:t>
      </w:r>
      <w:r>
        <w:t xml:space="preserve">For more information on SOC and what is included in each SOC, see </w:t>
      </w:r>
      <w:hyperlink r:id="rId22" w:history="1">
        <w:r w:rsidR="006D2911" w:rsidRPr="00BA5628">
          <w:rPr>
            <w:rStyle w:val="Hyperlink"/>
          </w:rPr>
          <w:t>http://www.bls.gov/oes/current/oes_stru.htm</w:t>
        </w:r>
      </w:hyperlink>
      <w:r>
        <w:t>.</w:t>
      </w:r>
      <w:r w:rsidR="000C6CB0">
        <w:t xml:space="preserve"> </w:t>
      </w:r>
      <w:r>
        <w:t>The SOCs used for the following labor types are listed below in Table 4 and apply to all of the sectors identified above.</w:t>
      </w:r>
    </w:p>
    <w:p w:rsidR="006D2911" w:rsidRPr="006D2911" w:rsidRDefault="006D2911" w:rsidP="002F2414">
      <w:pPr>
        <w:pStyle w:val="TableCaption"/>
      </w:pPr>
      <w:r w:rsidRPr="006D2911">
        <w:t>Table 4</w:t>
      </w:r>
      <w:r w:rsidR="0076212E">
        <w:t xml:space="preserve"> – </w:t>
      </w:r>
      <w:r w:rsidRPr="006D2911">
        <w:t>Respondent SOCs Used in this ICR</w:t>
      </w:r>
    </w:p>
    <w:tbl>
      <w:tblPr>
        <w:tblStyle w:val="TableGrid"/>
        <w:tblW w:w="4222" w:type="pct"/>
        <w:jc w:val="center"/>
        <w:tblLook w:val="04A0"/>
      </w:tblPr>
      <w:tblGrid>
        <w:gridCol w:w="2124"/>
        <w:gridCol w:w="1231"/>
        <w:gridCol w:w="5339"/>
      </w:tblGrid>
      <w:tr w:rsidR="006D2911" w:rsidRPr="00991ACB" w:rsidTr="007F41D7">
        <w:trPr>
          <w:cantSplit/>
          <w:trHeight w:hRule="exact" w:val="360"/>
          <w:tblHeader/>
          <w:jc w:val="center"/>
        </w:trPr>
        <w:tc>
          <w:tcPr>
            <w:tcW w:w="2124" w:type="dxa"/>
            <w:shd w:val="clear" w:color="auto" w:fill="B8CCE4" w:themeFill="accent1" w:themeFillTint="66"/>
            <w:vAlign w:val="center"/>
          </w:tcPr>
          <w:p w:rsidR="006D2911" w:rsidRPr="00991ACB" w:rsidRDefault="006D2911" w:rsidP="00E308C0">
            <w:pPr>
              <w:keepNext/>
              <w:spacing w:after="0"/>
              <w:rPr>
                <w:b/>
              </w:rPr>
            </w:pPr>
            <w:r w:rsidRPr="00991ACB">
              <w:rPr>
                <w:b/>
              </w:rPr>
              <w:t>Labor Category</w:t>
            </w:r>
          </w:p>
        </w:tc>
        <w:tc>
          <w:tcPr>
            <w:tcW w:w="1231" w:type="dxa"/>
            <w:shd w:val="clear" w:color="auto" w:fill="B8CCE4" w:themeFill="accent1" w:themeFillTint="66"/>
            <w:vAlign w:val="center"/>
          </w:tcPr>
          <w:p w:rsidR="006D2911" w:rsidRPr="00991ACB" w:rsidRDefault="006D2911" w:rsidP="00E308C0">
            <w:pPr>
              <w:keepNext/>
              <w:spacing w:after="0"/>
              <w:rPr>
                <w:b/>
              </w:rPr>
            </w:pPr>
            <w:r w:rsidRPr="00991ACB">
              <w:rPr>
                <w:b/>
              </w:rPr>
              <w:t>SOC #</w:t>
            </w:r>
          </w:p>
        </w:tc>
        <w:tc>
          <w:tcPr>
            <w:tcW w:w="5339" w:type="dxa"/>
            <w:shd w:val="clear" w:color="auto" w:fill="B8CCE4" w:themeFill="accent1" w:themeFillTint="66"/>
            <w:vAlign w:val="center"/>
          </w:tcPr>
          <w:p w:rsidR="006D2911" w:rsidRPr="00991ACB" w:rsidRDefault="006D2911" w:rsidP="00E308C0">
            <w:pPr>
              <w:keepNext/>
              <w:spacing w:after="0"/>
              <w:rPr>
                <w:b/>
              </w:rPr>
            </w:pPr>
            <w:r w:rsidRPr="00991ACB">
              <w:rPr>
                <w:b/>
              </w:rPr>
              <w:t>Standard Occupational Classification</w:t>
            </w:r>
          </w:p>
        </w:tc>
      </w:tr>
      <w:tr w:rsidR="006D2911" w:rsidRPr="00991ACB" w:rsidTr="006D2911">
        <w:trPr>
          <w:cantSplit/>
          <w:trHeight w:hRule="exact" w:val="360"/>
          <w:jc w:val="center"/>
        </w:trPr>
        <w:tc>
          <w:tcPr>
            <w:tcW w:w="2124" w:type="dxa"/>
            <w:vAlign w:val="center"/>
          </w:tcPr>
          <w:p w:rsidR="006D2911" w:rsidRPr="00991ACB" w:rsidRDefault="006D2911" w:rsidP="00E308C0">
            <w:pPr>
              <w:keepNext/>
              <w:spacing w:after="0"/>
            </w:pPr>
            <w:r w:rsidRPr="00991ACB">
              <w:t>Management</w:t>
            </w:r>
          </w:p>
        </w:tc>
        <w:tc>
          <w:tcPr>
            <w:tcW w:w="1231" w:type="dxa"/>
            <w:vAlign w:val="center"/>
          </w:tcPr>
          <w:p w:rsidR="006D2911" w:rsidRPr="00991ACB" w:rsidRDefault="006D2911" w:rsidP="00E308C0">
            <w:pPr>
              <w:keepNext/>
              <w:spacing w:after="0"/>
            </w:pPr>
            <w:r w:rsidRPr="00991ACB">
              <w:t>11-0000</w:t>
            </w:r>
          </w:p>
        </w:tc>
        <w:tc>
          <w:tcPr>
            <w:tcW w:w="5339" w:type="dxa"/>
            <w:vAlign w:val="center"/>
          </w:tcPr>
          <w:p w:rsidR="006D2911" w:rsidRPr="00991ACB" w:rsidRDefault="006D2911" w:rsidP="00E308C0">
            <w:pPr>
              <w:keepNext/>
              <w:spacing w:after="0"/>
            </w:pPr>
            <w:r w:rsidRPr="00991ACB">
              <w:t>Management Occupations</w:t>
            </w:r>
          </w:p>
        </w:tc>
      </w:tr>
      <w:tr w:rsidR="006D2911" w:rsidRPr="00991ACB" w:rsidTr="006D2911">
        <w:trPr>
          <w:cantSplit/>
          <w:trHeight w:hRule="exact" w:val="360"/>
          <w:jc w:val="center"/>
        </w:trPr>
        <w:tc>
          <w:tcPr>
            <w:tcW w:w="2124" w:type="dxa"/>
            <w:vAlign w:val="center"/>
          </w:tcPr>
          <w:p w:rsidR="006D2911" w:rsidRPr="00991ACB" w:rsidRDefault="006D2911" w:rsidP="00E308C0">
            <w:pPr>
              <w:keepNext/>
              <w:spacing w:after="0"/>
            </w:pPr>
            <w:r w:rsidRPr="00991ACB">
              <w:t>Technical</w:t>
            </w:r>
          </w:p>
        </w:tc>
        <w:tc>
          <w:tcPr>
            <w:tcW w:w="1231" w:type="dxa"/>
            <w:vAlign w:val="center"/>
          </w:tcPr>
          <w:p w:rsidR="006D2911" w:rsidRPr="00991ACB" w:rsidRDefault="006D2911" w:rsidP="00E308C0">
            <w:pPr>
              <w:keepNext/>
              <w:spacing w:after="0"/>
            </w:pPr>
            <w:r w:rsidRPr="00991ACB">
              <w:t>19-0000</w:t>
            </w:r>
          </w:p>
        </w:tc>
        <w:tc>
          <w:tcPr>
            <w:tcW w:w="5339" w:type="dxa"/>
            <w:vAlign w:val="center"/>
          </w:tcPr>
          <w:p w:rsidR="006D2911" w:rsidRPr="00991ACB" w:rsidRDefault="006D2911" w:rsidP="00E308C0">
            <w:pPr>
              <w:keepNext/>
              <w:spacing w:after="0"/>
            </w:pPr>
            <w:r w:rsidRPr="00991ACB">
              <w:t>Life, Physical, and Social Science Occupations</w:t>
            </w:r>
          </w:p>
        </w:tc>
      </w:tr>
      <w:tr w:rsidR="006D2911" w:rsidRPr="00991ACB" w:rsidTr="006D2911">
        <w:trPr>
          <w:cantSplit/>
          <w:trHeight w:hRule="exact" w:val="360"/>
          <w:jc w:val="center"/>
        </w:trPr>
        <w:tc>
          <w:tcPr>
            <w:tcW w:w="2124" w:type="dxa"/>
            <w:vAlign w:val="center"/>
          </w:tcPr>
          <w:p w:rsidR="006D2911" w:rsidRPr="00991ACB" w:rsidRDefault="006D2911" w:rsidP="006D2911">
            <w:pPr>
              <w:spacing w:after="0"/>
            </w:pPr>
            <w:r w:rsidRPr="00991ACB">
              <w:t>Clerical</w:t>
            </w:r>
          </w:p>
        </w:tc>
        <w:tc>
          <w:tcPr>
            <w:tcW w:w="1231" w:type="dxa"/>
            <w:vAlign w:val="center"/>
          </w:tcPr>
          <w:p w:rsidR="006D2911" w:rsidRPr="00991ACB" w:rsidRDefault="006D2911" w:rsidP="006D2911">
            <w:pPr>
              <w:spacing w:after="0"/>
            </w:pPr>
            <w:r w:rsidRPr="00991ACB">
              <w:t>43-0000</w:t>
            </w:r>
          </w:p>
        </w:tc>
        <w:tc>
          <w:tcPr>
            <w:tcW w:w="5339" w:type="dxa"/>
            <w:vAlign w:val="center"/>
          </w:tcPr>
          <w:p w:rsidR="006D2911" w:rsidRPr="00991ACB" w:rsidRDefault="006D2911" w:rsidP="006D2911">
            <w:pPr>
              <w:spacing w:after="0"/>
            </w:pPr>
            <w:r w:rsidRPr="00991ACB">
              <w:t>Office and Administrative Support Occupations</w:t>
            </w:r>
          </w:p>
        </w:tc>
      </w:tr>
    </w:tbl>
    <w:p w:rsidR="000F0DF3" w:rsidRDefault="001F435B" w:rsidP="002F2414">
      <w:pPr>
        <w:spacing w:before="240"/>
      </w:pPr>
      <w:r>
        <w:t xml:space="preserve">For purposes of calculating a loaded labor rate, we used the mean average hourly wage rate and assumed that benefits are </w:t>
      </w:r>
      <w:r w:rsidR="00AB6D85">
        <w:t>29</w:t>
      </w:r>
      <w:r w:rsidR="00B72DA4">
        <w:t>.6</w:t>
      </w:r>
      <w:r>
        <w:t xml:space="preserve">% of </w:t>
      </w:r>
      <w:r w:rsidR="00377215">
        <w:t>total labor cost</w:t>
      </w:r>
      <w:r>
        <w:t xml:space="preserve">, based on benefits for all </w:t>
      </w:r>
      <w:r w:rsidR="00AB6D85">
        <w:t>private industry</w:t>
      </w:r>
      <w:r>
        <w:t xml:space="preserve"> workers from </w:t>
      </w:r>
      <w:r w:rsidR="00B72DA4" w:rsidRPr="00B72DA4">
        <w:t>http://www.bls.gov/schedule/archives/ecec_nr.htm</w:t>
      </w:r>
      <w:r>
        <w:t>.</w:t>
      </w:r>
      <w:r w:rsidR="00AB6D85">
        <w:rPr>
          <w:rStyle w:val="FootnoteReference"/>
        </w:rPr>
        <w:footnoteReference w:id="13"/>
      </w:r>
      <w:r w:rsidR="000C6CB0">
        <w:t xml:space="preserve"> </w:t>
      </w:r>
      <w:r>
        <w:t>We then multiply the loaded wage by 50% to get overhead costs.</w:t>
      </w:r>
      <w:r w:rsidR="000C6CB0">
        <w:t xml:space="preserve"> </w:t>
      </w:r>
      <w:r>
        <w:t>Overhead costs are added to the loaded wage rate to get the fully loaded wage rate.</w:t>
      </w:r>
    </w:p>
    <w:p w:rsidR="00123223" w:rsidRPr="00123223" w:rsidRDefault="00123223" w:rsidP="002F2414">
      <w:pPr>
        <w:pStyle w:val="TableCaption"/>
      </w:pPr>
      <w:r w:rsidRPr="00123223">
        <w:t xml:space="preserve">Table 5 – Respondent Loaded Labor Rates Used in this ICR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640"/>
        <w:gridCol w:w="1895"/>
        <w:gridCol w:w="2520"/>
        <w:gridCol w:w="1418"/>
        <w:gridCol w:w="1418"/>
        <w:gridCol w:w="1419"/>
      </w:tblGrid>
      <w:tr w:rsidR="00E85ED5" w:rsidRPr="00991ACB" w:rsidTr="00912A3A">
        <w:trPr>
          <w:cantSplit/>
        </w:trPr>
        <w:tc>
          <w:tcPr>
            <w:tcW w:w="3535" w:type="dxa"/>
            <w:gridSpan w:val="2"/>
            <w:shd w:val="clear" w:color="auto" w:fill="B8CCE4" w:themeFill="accent1" w:themeFillTint="66"/>
            <w:noWrap/>
            <w:vAlign w:val="center"/>
            <w:hideMark/>
          </w:tcPr>
          <w:p w:rsidR="00123223" w:rsidRPr="00991ACB" w:rsidRDefault="00123223" w:rsidP="00E85ED5">
            <w:pPr>
              <w:spacing w:after="0"/>
              <w:rPr>
                <w:rFonts w:cs="Arial"/>
                <w:b/>
                <w:bCs/>
                <w:sz w:val="20"/>
                <w:szCs w:val="20"/>
              </w:rPr>
            </w:pPr>
            <w:r w:rsidRPr="00991ACB">
              <w:rPr>
                <w:rFonts w:cs="Arial"/>
                <w:b/>
                <w:bCs/>
                <w:sz w:val="20"/>
                <w:szCs w:val="20"/>
              </w:rPr>
              <w:t>Labor Category</w:t>
            </w:r>
          </w:p>
        </w:tc>
        <w:tc>
          <w:tcPr>
            <w:tcW w:w="2520" w:type="dxa"/>
            <w:shd w:val="clear" w:color="auto" w:fill="B8CCE4" w:themeFill="accent1" w:themeFillTint="66"/>
            <w:noWrap/>
            <w:vAlign w:val="center"/>
            <w:hideMark/>
          </w:tcPr>
          <w:p w:rsidR="00123223" w:rsidRPr="00991ACB" w:rsidRDefault="00123223" w:rsidP="00E85ED5">
            <w:pPr>
              <w:spacing w:after="0"/>
              <w:jc w:val="center"/>
              <w:rPr>
                <w:rFonts w:cs="Arial"/>
                <w:b/>
                <w:bCs/>
                <w:sz w:val="20"/>
                <w:szCs w:val="20"/>
              </w:rPr>
            </w:pPr>
            <w:r w:rsidRPr="00991ACB">
              <w:rPr>
                <w:rFonts w:cs="Arial"/>
                <w:b/>
                <w:bCs/>
                <w:sz w:val="20"/>
                <w:szCs w:val="20"/>
              </w:rPr>
              <w:t>Formula Used</w:t>
            </w:r>
          </w:p>
        </w:tc>
        <w:tc>
          <w:tcPr>
            <w:tcW w:w="1418" w:type="dxa"/>
            <w:shd w:val="clear" w:color="auto" w:fill="B8CCE4" w:themeFill="accent1" w:themeFillTint="66"/>
            <w:noWrap/>
            <w:vAlign w:val="center"/>
            <w:hideMark/>
          </w:tcPr>
          <w:p w:rsidR="00123223" w:rsidRPr="00991ACB" w:rsidRDefault="00123223" w:rsidP="00E85ED5">
            <w:pPr>
              <w:spacing w:after="0"/>
              <w:jc w:val="center"/>
              <w:rPr>
                <w:rFonts w:cs="Arial"/>
                <w:b/>
                <w:bCs/>
                <w:sz w:val="20"/>
                <w:szCs w:val="20"/>
              </w:rPr>
            </w:pPr>
            <w:r w:rsidRPr="00991ACB">
              <w:rPr>
                <w:rFonts w:cs="Arial"/>
                <w:b/>
                <w:bCs/>
                <w:sz w:val="20"/>
                <w:szCs w:val="20"/>
              </w:rPr>
              <w:t>Managerial</w:t>
            </w:r>
          </w:p>
        </w:tc>
        <w:tc>
          <w:tcPr>
            <w:tcW w:w="1418" w:type="dxa"/>
            <w:shd w:val="clear" w:color="auto" w:fill="B8CCE4" w:themeFill="accent1" w:themeFillTint="66"/>
            <w:noWrap/>
            <w:vAlign w:val="center"/>
            <w:hideMark/>
          </w:tcPr>
          <w:p w:rsidR="00123223" w:rsidRPr="00991ACB" w:rsidRDefault="00123223" w:rsidP="00E85ED5">
            <w:pPr>
              <w:spacing w:after="0"/>
              <w:jc w:val="center"/>
              <w:rPr>
                <w:rFonts w:cs="Arial"/>
                <w:b/>
                <w:bCs/>
                <w:sz w:val="20"/>
                <w:szCs w:val="20"/>
              </w:rPr>
            </w:pPr>
            <w:r w:rsidRPr="00991ACB">
              <w:rPr>
                <w:rFonts w:cs="Arial"/>
                <w:b/>
                <w:bCs/>
                <w:sz w:val="20"/>
                <w:szCs w:val="20"/>
              </w:rPr>
              <w:t>Technical</w:t>
            </w:r>
          </w:p>
        </w:tc>
        <w:tc>
          <w:tcPr>
            <w:tcW w:w="1419" w:type="dxa"/>
            <w:shd w:val="clear" w:color="auto" w:fill="B8CCE4" w:themeFill="accent1" w:themeFillTint="66"/>
            <w:noWrap/>
            <w:vAlign w:val="center"/>
            <w:hideMark/>
          </w:tcPr>
          <w:p w:rsidR="00123223" w:rsidRPr="00991ACB" w:rsidRDefault="00123223" w:rsidP="00E85ED5">
            <w:pPr>
              <w:spacing w:after="0"/>
              <w:jc w:val="center"/>
              <w:rPr>
                <w:rFonts w:cs="Arial"/>
                <w:b/>
                <w:bCs/>
                <w:sz w:val="20"/>
                <w:szCs w:val="20"/>
              </w:rPr>
            </w:pPr>
            <w:r w:rsidRPr="00991ACB">
              <w:rPr>
                <w:rFonts w:cs="Arial"/>
                <w:b/>
                <w:bCs/>
                <w:sz w:val="20"/>
                <w:szCs w:val="20"/>
              </w:rPr>
              <w:t>Clerical</w:t>
            </w:r>
          </w:p>
        </w:tc>
      </w:tr>
      <w:tr w:rsidR="00E85ED5" w:rsidRPr="00991ACB" w:rsidTr="00912A3A">
        <w:trPr>
          <w:cantSplit/>
        </w:trPr>
        <w:tc>
          <w:tcPr>
            <w:tcW w:w="3535" w:type="dxa"/>
            <w:gridSpan w:val="2"/>
            <w:shd w:val="clear" w:color="auto" w:fill="auto"/>
            <w:noWrap/>
            <w:vAlign w:val="center"/>
            <w:hideMark/>
          </w:tcPr>
          <w:p w:rsidR="00123223" w:rsidRPr="00991ACB" w:rsidRDefault="00123223" w:rsidP="00E85ED5">
            <w:pPr>
              <w:spacing w:after="0"/>
              <w:rPr>
                <w:rFonts w:cs="Arial"/>
                <w:sz w:val="20"/>
                <w:szCs w:val="20"/>
              </w:rPr>
            </w:pPr>
            <w:r w:rsidRPr="00991ACB">
              <w:rPr>
                <w:rFonts w:cs="Arial"/>
                <w:sz w:val="20"/>
                <w:szCs w:val="20"/>
              </w:rPr>
              <w:t>Unloaded Hourly Rate</w:t>
            </w:r>
            <w:r w:rsidRPr="00991ACB">
              <w:rPr>
                <w:rFonts w:cs="Arial"/>
                <w:sz w:val="20"/>
                <w:szCs w:val="20"/>
                <w:vertAlign w:val="superscript"/>
              </w:rPr>
              <w:t>1</w:t>
            </w:r>
          </w:p>
        </w:tc>
        <w:tc>
          <w:tcPr>
            <w:tcW w:w="2520" w:type="dxa"/>
            <w:shd w:val="clear" w:color="auto" w:fill="auto"/>
            <w:noWrap/>
            <w:vAlign w:val="center"/>
            <w:hideMark/>
          </w:tcPr>
          <w:p w:rsidR="00123223" w:rsidRPr="00991ACB" w:rsidRDefault="00123223" w:rsidP="00912A3A">
            <w:pPr>
              <w:spacing w:after="0"/>
              <w:jc w:val="center"/>
              <w:rPr>
                <w:rFonts w:cs="Arial"/>
                <w:sz w:val="20"/>
                <w:szCs w:val="20"/>
              </w:rPr>
            </w:pPr>
            <w:r w:rsidRPr="00991ACB">
              <w:rPr>
                <w:rFonts w:cs="Arial"/>
                <w:sz w:val="20"/>
                <w:szCs w:val="20"/>
              </w:rPr>
              <w:t>W</w:t>
            </w:r>
            <w:r w:rsidR="000503D7">
              <w:rPr>
                <w:rFonts w:cs="Arial"/>
                <w:sz w:val="20"/>
                <w:szCs w:val="20"/>
              </w:rPr>
              <w:t>ages</w:t>
            </w:r>
          </w:p>
        </w:tc>
        <w:tc>
          <w:tcPr>
            <w:tcW w:w="1418" w:type="dxa"/>
            <w:shd w:val="clear" w:color="auto" w:fill="auto"/>
            <w:noWrap/>
            <w:vAlign w:val="center"/>
            <w:hideMark/>
          </w:tcPr>
          <w:p w:rsidR="00123223" w:rsidRPr="00991ACB" w:rsidRDefault="00123223" w:rsidP="00E85ED5">
            <w:pPr>
              <w:tabs>
                <w:tab w:val="decimal" w:pos="695"/>
              </w:tabs>
              <w:spacing w:after="0"/>
              <w:rPr>
                <w:rFonts w:cs="Arial"/>
                <w:sz w:val="20"/>
                <w:szCs w:val="20"/>
              </w:rPr>
            </w:pPr>
            <w:r w:rsidRPr="00991ACB">
              <w:rPr>
                <w:rFonts w:cs="Arial"/>
                <w:sz w:val="20"/>
                <w:szCs w:val="20"/>
              </w:rPr>
              <w:t>$57.42</w:t>
            </w:r>
          </w:p>
        </w:tc>
        <w:tc>
          <w:tcPr>
            <w:tcW w:w="1418" w:type="dxa"/>
            <w:shd w:val="clear" w:color="auto" w:fill="auto"/>
            <w:noWrap/>
            <w:vAlign w:val="center"/>
            <w:hideMark/>
          </w:tcPr>
          <w:p w:rsidR="00123223" w:rsidRPr="00991ACB" w:rsidRDefault="00123223" w:rsidP="00E85ED5">
            <w:pPr>
              <w:tabs>
                <w:tab w:val="decimal" w:pos="627"/>
              </w:tabs>
              <w:spacing w:after="0"/>
              <w:rPr>
                <w:rFonts w:cs="Arial"/>
                <w:sz w:val="20"/>
                <w:szCs w:val="20"/>
              </w:rPr>
            </w:pPr>
            <w:r w:rsidRPr="00991ACB">
              <w:rPr>
                <w:rFonts w:cs="Arial"/>
                <w:sz w:val="20"/>
                <w:szCs w:val="20"/>
              </w:rPr>
              <w:t>$28.32</w:t>
            </w:r>
          </w:p>
        </w:tc>
        <w:tc>
          <w:tcPr>
            <w:tcW w:w="1419" w:type="dxa"/>
            <w:shd w:val="clear" w:color="auto" w:fill="auto"/>
            <w:noWrap/>
            <w:vAlign w:val="center"/>
            <w:hideMark/>
          </w:tcPr>
          <w:p w:rsidR="00123223" w:rsidRPr="00991ACB" w:rsidRDefault="00123223" w:rsidP="00E85ED5">
            <w:pPr>
              <w:tabs>
                <w:tab w:val="decimal" w:pos="649"/>
              </w:tabs>
              <w:spacing w:after="0"/>
              <w:rPr>
                <w:rFonts w:cs="Arial"/>
                <w:sz w:val="20"/>
                <w:szCs w:val="20"/>
              </w:rPr>
            </w:pPr>
            <w:r w:rsidRPr="00991ACB">
              <w:rPr>
                <w:rFonts w:cs="Arial"/>
                <w:sz w:val="20"/>
                <w:szCs w:val="20"/>
              </w:rPr>
              <w:t>$17.02</w:t>
            </w:r>
          </w:p>
        </w:tc>
      </w:tr>
      <w:tr w:rsidR="00E85ED5" w:rsidRPr="00991ACB" w:rsidTr="00912A3A">
        <w:trPr>
          <w:cantSplit/>
        </w:trPr>
        <w:tc>
          <w:tcPr>
            <w:tcW w:w="3535" w:type="dxa"/>
            <w:gridSpan w:val="2"/>
            <w:shd w:val="clear" w:color="auto" w:fill="auto"/>
            <w:noWrap/>
            <w:vAlign w:val="center"/>
            <w:hideMark/>
          </w:tcPr>
          <w:p w:rsidR="00123223" w:rsidRPr="00991ACB" w:rsidRDefault="00123223" w:rsidP="008310C3">
            <w:pPr>
              <w:spacing w:after="0"/>
              <w:rPr>
                <w:rFonts w:cs="Arial"/>
                <w:sz w:val="20"/>
                <w:szCs w:val="20"/>
              </w:rPr>
            </w:pPr>
            <w:r w:rsidRPr="00991ACB">
              <w:rPr>
                <w:rFonts w:cs="Arial"/>
                <w:sz w:val="20"/>
                <w:szCs w:val="20"/>
              </w:rPr>
              <w:t>Benefits Percentage</w:t>
            </w:r>
            <w:r w:rsidR="008310C3">
              <w:rPr>
                <w:rFonts w:cs="Arial"/>
                <w:sz w:val="20"/>
                <w:szCs w:val="20"/>
              </w:rPr>
              <w:t xml:space="preserve"> of Total Labor</w:t>
            </w:r>
            <w:r w:rsidR="008310C3" w:rsidRPr="00991ACB">
              <w:rPr>
                <w:rFonts w:cs="Arial"/>
                <w:sz w:val="20"/>
                <w:szCs w:val="20"/>
                <w:vertAlign w:val="superscript"/>
              </w:rPr>
              <w:t xml:space="preserve"> </w:t>
            </w:r>
            <w:r w:rsidRPr="00991ACB">
              <w:rPr>
                <w:rFonts w:cs="Arial"/>
                <w:sz w:val="20"/>
                <w:szCs w:val="20"/>
                <w:vertAlign w:val="superscript"/>
              </w:rPr>
              <w:t>2</w:t>
            </w:r>
          </w:p>
        </w:tc>
        <w:tc>
          <w:tcPr>
            <w:tcW w:w="2520" w:type="dxa"/>
            <w:shd w:val="clear" w:color="auto" w:fill="auto"/>
            <w:noWrap/>
            <w:vAlign w:val="center"/>
            <w:hideMark/>
          </w:tcPr>
          <w:p w:rsidR="00123223" w:rsidRPr="00991ACB" w:rsidRDefault="00123223" w:rsidP="00912A3A">
            <w:pPr>
              <w:spacing w:after="0"/>
              <w:jc w:val="center"/>
              <w:rPr>
                <w:rFonts w:cs="Arial"/>
                <w:sz w:val="20"/>
                <w:szCs w:val="20"/>
              </w:rPr>
            </w:pPr>
            <w:r w:rsidRPr="00991ACB">
              <w:rPr>
                <w:rFonts w:cs="Arial"/>
                <w:sz w:val="20"/>
                <w:szCs w:val="20"/>
              </w:rPr>
              <w:t>B</w:t>
            </w:r>
            <w:r w:rsidR="000503D7">
              <w:rPr>
                <w:rFonts w:cs="Arial"/>
                <w:sz w:val="20"/>
                <w:szCs w:val="20"/>
              </w:rPr>
              <w:t>enefits</w:t>
            </w:r>
            <w:r w:rsidR="00912A3A">
              <w:rPr>
                <w:rFonts w:cs="Arial"/>
                <w:sz w:val="20"/>
                <w:szCs w:val="20"/>
              </w:rPr>
              <w:t>%</w:t>
            </w:r>
          </w:p>
        </w:tc>
        <w:tc>
          <w:tcPr>
            <w:tcW w:w="1418" w:type="dxa"/>
            <w:shd w:val="clear" w:color="auto" w:fill="auto"/>
            <w:noWrap/>
            <w:vAlign w:val="center"/>
            <w:hideMark/>
          </w:tcPr>
          <w:p w:rsidR="00123223" w:rsidRPr="00991ACB" w:rsidRDefault="00AB6D85" w:rsidP="00E85ED5">
            <w:pPr>
              <w:tabs>
                <w:tab w:val="decimal" w:pos="695"/>
              </w:tabs>
              <w:spacing w:after="0"/>
              <w:rPr>
                <w:rFonts w:cs="Arial"/>
                <w:sz w:val="20"/>
                <w:szCs w:val="20"/>
              </w:rPr>
            </w:pPr>
            <w:r>
              <w:rPr>
                <w:rFonts w:cs="Arial"/>
                <w:sz w:val="20"/>
                <w:szCs w:val="20"/>
              </w:rPr>
              <w:t>29</w:t>
            </w:r>
            <w:r w:rsidR="00123223" w:rsidRPr="00991ACB">
              <w:rPr>
                <w:rFonts w:cs="Arial"/>
                <w:sz w:val="20"/>
                <w:szCs w:val="20"/>
              </w:rPr>
              <w:t>.6%</w:t>
            </w:r>
          </w:p>
        </w:tc>
        <w:tc>
          <w:tcPr>
            <w:tcW w:w="1418" w:type="dxa"/>
            <w:shd w:val="clear" w:color="auto" w:fill="auto"/>
            <w:noWrap/>
            <w:vAlign w:val="center"/>
            <w:hideMark/>
          </w:tcPr>
          <w:p w:rsidR="00123223" w:rsidRPr="00991ACB" w:rsidRDefault="00AB6D85" w:rsidP="00E85ED5">
            <w:pPr>
              <w:tabs>
                <w:tab w:val="decimal" w:pos="627"/>
              </w:tabs>
              <w:spacing w:after="0"/>
              <w:rPr>
                <w:rFonts w:cs="Arial"/>
                <w:sz w:val="20"/>
                <w:szCs w:val="20"/>
              </w:rPr>
            </w:pPr>
            <w:r>
              <w:rPr>
                <w:rFonts w:cs="Arial"/>
                <w:sz w:val="20"/>
                <w:szCs w:val="20"/>
              </w:rPr>
              <w:t>29</w:t>
            </w:r>
            <w:r w:rsidR="00123223" w:rsidRPr="00991ACB">
              <w:rPr>
                <w:rFonts w:cs="Arial"/>
                <w:sz w:val="20"/>
                <w:szCs w:val="20"/>
              </w:rPr>
              <w:t>.6%</w:t>
            </w:r>
          </w:p>
        </w:tc>
        <w:tc>
          <w:tcPr>
            <w:tcW w:w="1419" w:type="dxa"/>
            <w:shd w:val="clear" w:color="auto" w:fill="auto"/>
            <w:noWrap/>
            <w:vAlign w:val="center"/>
            <w:hideMark/>
          </w:tcPr>
          <w:p w:rsidR="00123223" w:rsidRPr="00991ACB" w:rsidRDefault="00AB6D85" w:rsidP="00E85ED5">
            <w:pPr>
              <w:tabs>
                <w:tab w:val="decimal" w:pos="649"/>
              </w:tabs>
              <w:spacing w:after="0"/>
              <w:rPr>
                <w:rFonts w:cs="Arial"/>
                <w:sz w:val="20"/>
                <w:szCs w:val="20"/>
              </w:rPr>
            </w:pPr>
            <w:r>
              <w:rPr>
                <w:rFonts w:cs="Arial"/>
                <w:sz w:val="20"/>
                <w:szCs w:val="20"/>
              </w:rPr>
              <w:t>29</w:t>
            </w:r>
            <w:r w:rsidR="00123223" w:rsidRPr="00991ACB">
              <w:rPr>
                <w:rFonts w:cs="Arial"/>
                <w:sz w:val="20"/>
                <w:szCs w:val="20"/>
              </w:rPr>
              <w:t>.6%</w:t>
            </w:r>
          </w:p>
        </w:tc>
      </w:tr>
      <w:tr w:rsidR="00E85ED5" w:rsidRPr="00991ACB" w:rsidTr="00912A3A">
        <w:trPr>
          <w:cantSplit/>
        </w:trPr>
        <w:tc>
          <w:tcPr>
            <w:tcW w:w="3535" w:type="dxa"/>
            <w:gridSpan w:val="2"/>
            <w:vMerge w:val="restart"/>
            <w:shd w:val="clear" w:color="auto" w:fill="auto"/>
            <w:noWrap/>
            <w:vAlign w:val="center"/>
            <w:hideMark/>
          </w:tcPr>
          <w:p w:rsidR="00123223" w:rsidRPr="00991ACB" w:rsidRDefault="00123223" w:rsidP="00912A3A">
            <w:pPr>
              <w:spacing w:after="0"/>
              <w:rPr>
                <w:rFonts w:cs="Arial"/>
                <w:sz w:val="20"/>
                <w:szCs w:val="20"/>
              </w:rPr>
            </w:pPr>
            <w:r w:rsidRPr="00991ACB">
              <w:rPr>
                <w:rFonts w:cs="Arial"/>
                <w:sz w:val="20"/>
                <w:szCs w:val="20"/>
              </w:rPr>
              <w:t>Loaded Hourly Rate</w:t>
            </w:r>
            <w:r w:rsidR="00912A3A">
              <w:rPr>
                <w:rFonts w:cs="Arial"/>
                <w:sz w:val="20"/>
                <w:szCs w:val="20"/>
              </w:rPr>
              <w:t xml:space="preserve"> (LHR</w:t>
            </w:r>
            <w:r w:rsidR="000503D7">
              <w:rPr>
                <w:rFonts w:cs="Arial"/>
                <w:sz w:val="20"/>
                <w:szCs w:val="20"/>
              </w:rPr>
              <w:t>)</w:t>
            </w:r>
          </w:p>
        </w:tc>
        <w:tc>
          <w:tcPr>
            <w:tcW w:w="2520" w:type="dxa"/>
            <w:shd w:val="clear" w:color="auto" w:fill="auto"/>
            <w:noWrap/>
            <w:vAlign w:val="center"/>
            <w:hideMark/>
          </w:tcPr>
          <w:p w:rsidR="00123223" w:rsidRPr="00991ACB" w:rsidRDefault="00123223" w:rsidP="00E85ED5">
            <w:pPr>
              <w:spacing w:after="0"/>
              <w:jc w:val="center"/>
              <w:rPr>
                <w:rFonts w:cs="Arial"/>
                <w:sz w:val="20"/>
                <w:szCs w:val="20"/>
              </w:rPr>
            </w:pPr>
            <w:r w:rsidRPr="00991ACB">
              <w:rPr>
                <w:rFonts w:cs="Arial"/>
                <w:sz w:val="20"/>
                <w:szCs w:val="20"/>
              </w:rPr>
              <w:t>W</w:t>
            </w:r>
            <w:r w:rsidR="00912A3A">
              <w:rPr>
                <w:rFonts w:cs="Arial"/>
                <w:sz w:val="20"/>
                <w:szCs w:val="20"/>
              </w:rPr>
              <w:t>ages</w:t>
            </w:r>
          </w:p>
        </w:tc>
        <w:tc>
          <w:tcPr>
            <w:tcW w:w="1418" w:type="dxa"/>
            <w:vMerge w:val="restart"/>
            <w:shd w:val="clear" w:color="auto" w:fill="auto"/>
            <w:noWrap/>
            <w:vAlign w:val="center"/>
            <w:hideMark/>
          </w:tcPr>
          <w:p w:rsidR="00123223" w:rsidRPr="00991ACB" w:rsidRDefault="00123223" w:rsidP="008310C3">
            <w:pPr>
              <w:tabs>
                <w:tab w:val="decimal" w:pos="695"/>
              </w:tabs>
              <w:spacing w:after="0"/>
              <w:rPr>
                <w:rFonts w:cs="Arial"/>
                <w:sz w:val="20"/>
                <w:szCs w:val="20"/>
              </w:rPr>
            </w:pPr>
            <w:r w:rsidRPr="00991ACB">
              <w:rPr>
                <w:rFonts w:cs="Arial"/>
                <w:sz w:val="20"/>
                <w:szCs w:val="20"/>
              </w:rPr>
              <w:t>$</w:t>
            </w:r>
            <w:r w:rsidR="00E913B5">
              <w:rPr>
                <w:rFonts w:cs="Arial"/>
                <w:sz w:val="20"/>
                <w:szCs w:val="20"/>
              </w:rPr>
              <w:t>81.56</w:t>
            </w:r>
          </w:p>
        </w:tc>
        <w:tc>
          <w:tcPr>
            <w:tcW w:w="1418" w:type="dxa"/>
            <w:vMerge w:val="restart"/>
            <w:shd w:val="clear" w:color="auto" w:fill="auto"/>
            <w:noWrap/>
            <w:vAlign w:val="center"/>
            <w:hideMark/>
          </w:tcPr>
          <w:p w:rsidR="00123223" w:rsidRPr="00991ACB" w:rsidRDefault="00123223" w:rsidP="008310C3">
            <w:pPr>
              <w:tabs>
                <w:tab w:val="decimal" w:pos="627"/>
              </w:tabs>
              <w:spacing w:after="0"/>
              <w:rPr>
                <w:rFonts w:cs="Arial"/>
                <w:sz w:val="20"/>
                <w:szCs w:val="20"/>
              </w:rPr>
            </w:pPr>
            <w:r w:rsidRPr="00991ACB">
              <w:rPr>
                <w:rFonts w:cs="Arial"/>
                <w:sz w:val="20"/>
                <w:szCs w:val="20"/>
              </w:rPr>
              <w:t>$</w:t>
            </w:r>
            <w:r w:rsidR="00E913B5">
              <w:rPr>
                <w:rFonts w:cs="Arial"/>
                <w:sz w:val="20"/>
                <w:szCs w:val="20"/>
              </w:rPr>
              <w:t>40.23</w:t>
            </w:r>
          </w:p>
        </w:tc>
        <w:tc>
          <w:tcPr>
            <w:tcW w:w="1419" w:type="dxa"/>
            <w:vMerge w:val="restart"/>
            <w:shd w:val="clear" w:color="auto" w:fill="auto"/>
            <w:noWrap/>
            <w:vAlign w:val="center"/>
            <w:hideMark/>
          </w:tcPr>
          <w:p w:rsidR="00123223" w:rsidRPr="00991ACB" w:rsidRDefault="00123223" w:rsidP="008310C3">
            <w:pPr>
              <w:tabs>
                <w:tab w:val="decimal" w:pos="649"/>
              </w:tabs>
              <w:spacing w:after="0"/>
              <w:rPr>
                <w:rFonts w:cs="Arial"/>
                <w:sz w:val="20"/>
                <w:szCs w:val="20"/>
              </w:rPr>
            </w:pPr>
            <w:r w:rsidRPr="00991ACB">
              <w:rPr>
                <w:rFonts w:cs="Arial"/>
                <w:sz w:val="20"/>
                <w:szCs w:val="20"/>
              </w:rPr>
              <w:t>$</w:t>
            </w:r>
            <w:r w:rsidR="00E913B5">
              <w:rPr>
                <w:rFonts w:cs="Arial"/>
                <w:sz w:val="20"/>
                <w:szCs w:val="20"/>
              </w:rPr>
              <w:t>24.18</w:t>
            </w:r>
          </w:p>
        </w:tc>
      </w:tr>
      <w:tr w:rsidR="00E85ED5" w:rsidRPr="00991ACB" w:rsidTr="00912A3A">
        <w:trPr>
          <w:cantSplit/>
        </w:trPr>
        <w:tc>
          <w:tcPr>
            <w:tcW w:w="3535" w:type="dxa"/>
            <w:gridSpan w:val="2"/>
            <w:vMerge/>
            <w:vAlign w:val="center"/>
            <w:hideMark/>
          </w:tcPr>
          <w:p w:rsidR="00123223" w:rsidRPr="00991ACB" w:rsidRDefault="00123223" w:rsidP="00E85ED5">
            <w:pPr>
              <w:spacing w:after="0"/>
              <w:rPr>
                <w:rFonts w:cs="Arial"/>
                <w:sz w:val="20"/>
                <w:szCs w:val="20"/>
              </w:rPr>
            </w:pPr>
          </w:p>
        </w:tc>
        <w:tc>
          <w:tcPr>
            <w:tcW w:w="2520" w:type="dxa"/>
            <w:shd w:val="clear" w:color="auto" w:fill="auto"/>
            <w:noWrap/>
            <w:vAlign w:val="center"/>
            <w:hideMark/>
          </w:tcPr>
          <w:p w:rsidR="00123223" w:rsidRPr="00991ACB" w:rsidRDefault="00123223" w:rsidP="00912A3A">
            <w:pPr>
              <w:spacing w:after="0"/>
              <w:jc w:val="center"/>
              <w:rPr>
                <w:rFonts w:cs="Arial"/>
                <w:sz w:val="20"/>
                <w:szCs w:val="20"/>
              </w:rPr>
            </w:pPr>
            <w:r w:rsidRPr="00991ACB">
              <w:rPr>
                <w:rFonts w:cs="Arial"/>
                <w:sz w:val="20"/>
                <w:szCs w:val="20"/>
              </w:rPr>
              <w:t>1</w:t>
            </w:r>
            <w:r w:rsidR="00912A3A">
              <w:rPr>
                <w:rFonts w:cs="Arial"/>
                <w:sz w:val="20"/>
                <w:szCs w:val="20"/>
              </w:rPr>
              <w:t>-Benefits%</w:t>
            </w:r>
          </w:p>
        </w:tc>
        <w:tc>
          <w:tcPr>
            <w:tcW w:w="1418" w:type="dxa"/>
            <w:vMerge/>
            <w:vAlign w:val="center"/>
            <w:hideMark/>
          </w:tcPr>
          <w:p w:rsidR="00123223" w:rsidRPr="00991ACB" w:rsidRDefault="00123223" w:rsidP="00E85ED5">
            <w:pPr>
              <w:tabs>
                <w:tab w:val="decimal" w:pos="695"/>
              </w:tabs>
              <w:spacing w:after="0"/>
              <w:rPr>
                <w:rFonts w:cs="Arial"/>
                <w:sz w:val="20"/>
                <w:szCs w:val="20"/>
              </w:rPr>
            </w:pPr>
          </w:p>
        </w:tc>
        <w:tc>
          <w:tcPr>
            <w:tcW w:w="1418" w:type="dxa"/>
            <w:vMerge/>
            <w:vAlign w:val="center"/>
            <w:hideMark/>
          </w:tcPr>
          <w:p w:rsidR="00123223" w:rsidRPr="00991ACB" w:rsidRDefault="00123223" w:rsidP="00E85ED5">
            <w:pPr>
              <w:tabs>
                <w:tab w:val="decimal" w:pos="627"/>
              </w:tabs>
              <w:spacing w:after="0"/>
              <w:rPr>
                <w:rFonts w:cs="Arial"/>
                <w:sz w:val="20"/>
                <w:szCs w:val="20"/>
              </w:rPr>
            </w:pPr>
          </w:p>
        </w:tc>
        <w:tc>
          <w:tcPr>
            <w:tcW w:w="1419" w:type="dxa"/>
            <w:vMerge/>
            <w:vAlign w:val="center"/>
            <w:hideMark/>
          </w:tcPr>
          <w:p w:rsidR="00123223" w:rsidRPr="00991ACB" w:rsidRDefault="00123223" w:rsidP="00E85ED5">
            <w:pPr>
              <w:tabs>
                <w:tab w:val="decimal" w:pos="649"/>
              </w:tabs>
              <w:spacing w:after="0"/>
              <w:rPr>
                <w:rFonts w:cs="Arial"/>
                <w:sz w:val="20"/>
                <w:szCs w:val="20"/>
              </w:rPr>
            </w:pPr>
          </w:p>
        </w:tc>
      </w:tr>
      <w:tr w:rsidR="00E85ED5" w:rsidRPr="00991ACB" w:rsidTr="00912A3A">
        <w:trPr>
          <w:cantSplit/>
        </w:trPr>
        <w:tc>
          <w:tcPr>
            <w:tcW w:w="3535" w:type="dxa"/>
            <w:gridSpan w:val="2"/>
            <w:shd w:val="clear" w:color="auto" w:fill="auto"/>
            <w:noWrap/>
            <w:vAlign w:val="center"/>
            <w:hideMark/>
          </w:tcPr>
          <w:p w:rsidR="00123223" w:rsidRPr="00991ACB" w:rsidRDefault="00123223" w:rsidP="00E85ED5">
            <w:pPr>
              <w:spacing w:after="0"/>
              <w:rPr>
                <w:rFonts w:cs="Arial"/>
                <w:sz w:val="20"/>
                <w:szCs w:val="20"/>
              </w:rPr>
            </w:pPr>
            <w:r w:rsidRPr="00991ACB">
              <w:rPr>
                <w:rFonts w:cs="Arial"/>
                <w:sz w:val="20"/>
                <w:szCs w:val="20"/>
              </w:rPr>
              <w:t>Overhead Percentage</w:t>
            </w:r>
            <w:r w:rsidRPr="00991ACB">
              <w:rPr>
                <w:rFonts w:cs="Arial"/>
                <w:sz w:val="20"/>
                <w:szCs w:val="20"/>
                <w:vertAlign w:val="superscript"/>
              </w:rPr>
              <w:t>3</w:t>
            </w:r>
          </w:p>
        </w:tc>
        <w:tc>
          <w:tcPr>
            <w:tcW w:w="2520" w:type="dxa"/>
            <w:shd w:val="clear" w:color="auto" w:fill="auto"/>
            <w:noWrap/>
            <w:vAlign w:val="center"/>
            <w:hideMark/>
          </w:tcPr>
          <w:p w:rsidR="00123223" w:rsidRPr="00991ACB" w:rsidRDefault="00123223" w:rsidP="00E85ED5">
            <w:pPr>
              <w:spacing w:after="0"/>
              <w:jc w:val="center"/>
              <w:rPr>
                <w:rFonts w:cs="Arial"/>
                <w:sz w:val="20"/>
                <w:szCs w:val="20"/>
              </w:rPr>
            </w:pPr>
          </w:p>
        </w:tc>
        <w:tc>
          <w:tcPr>
            <w:tcW w:w="1418" w:type="dxa"/>
            <w:shd w:val="clear" w:color="auto" w:fill="auto"/>
            <w:noWrap/>
            <w:vAlign w:val="center"/>
            <w:hideMark/>
          </w:tcPr>
          <w:p w:rsidR="00123223" w:rsidRPr="00991ACB" w:rsidRDefault="00123223" w:rsidP="00E85ED5">
            <w:pPr>
              <w:tabs>
                <w:tab w:val="decimal" w:pos="695"/>
              </w:tabs>
              <w:spacing w:after="0"/>
              <w:rPr>
                <w:rFonts w:cs="Arial"/>
                <w:sz w:val="20"/>
                <w:szCs w:val="20"/>
              </w:rPr>
            </w:pPr>
            <w:r w:rsidRPr="00991ACB">
              <w:rPr>
                <w:rFonts w:cs="Arial"/>
                <w:sz w:val="20"/>
                <w:szCs w:val="20"/>
              </w:rPr>
              <w:t>50%</w:t>
            </w:r>
          </w:p>
        </w:tc>
        <w:tc>
          <w:tcPr>
            <w:tcW w:w="1418" w:type="dxa"/>
            <w:shd w:val="clear" w:color="auto" w:fill="auto"/>
            <w:noWrap/>
            <w:vAlign w:val="center"/>
            <w:hideMark/>
          </w:tcPr>
          <w:p w:rsidR="00123223" w:rsidRPr="00991ACB" w:rsidRDefault="00123223" w:rsidP="00E85ED5">
            <w:pPr>
              <w:tabs>
                <w:tab w:val="decimal" w:pos="627"/>
              </w:tabs>
              <w:spacing w:after="0"/>
              <w:rPr>
                <w:rFonts w:cs="Arial"/>
                <w:sz w:val="20"/>
                <w:szCs w:val="20"/>
              </w:rPr>
            </w:pPr>
            <w:r w:rsidRPr="00991ACB">
              <w:rPr>
                <w:rFonts w:cs="Arial"/>
                <w:sz w:val="20"/>
                <w:szCs w:val="20"/>
              </w:rPr>
              <w:t>50%</w:t>
            </w:r>
          </w:p>
        </w:tc>
        <w:tc>
          <w:tcPr>
            <w:tcW w:w="1419" w:type="dxa"/>
            <w:shd w:val="clear" w:color="auto" w:fill="auto"/>
            <w:noWrap/>
            <w:vAlign w:val="center"/>
            <w:hideMark/>
          </w:tcPr>
          <w:p w:rsidR="00123223" w:rsidRPr="00991ACB" w:rsidRDefault="00123223" w:rsidP="00E85ED5">
            <w:pPr>
              <w:tabs>
                <w:tab w:val="decimal" w:pos="649"/>
              </w:tabs>
              <w:spacing w:after="0"/>
              <w:rPr>
                <w:rFonts w:cs="Arial"/>
                <w:sz w:val="20"/>
                <w:szCs w:val="20"/>
              </w:rPr>
            </w:pPr>
            <w:r w:rsidRPr="00991ACB">
              <w:rPr>
                <w:rFonts w:cs="Arial"/>
                <w:sz w:val="20"/>
                <w:szCs w:val="20"/>
              </w:rPr>
              <w:t>50%</w:t>
            </w:r>
          </w:p>
        </w:tc>
      </w:tr>
      <w:tr w:rsidR="00E85ED5" w:rsidRPr="00991ACB" w:rsidTr="00912A3A">
        <w:trPr>
          <w:cantSplit/>
        </w:trPr>
        <w:tc>
          <w:tcPr>
            <w:tcW w:w="3535" w:type="dxa"/>
            <w:gridSpan w:val="2"/>
            <w:shd w:val="clear" w:color="auto" w:fill="auto"/>
            <w:noWrap/>
            <w:vAlign w:val="center"/>
            <w:hideMark/>
          </w:tcPr>
          <w:p w:rsidR="00123223" w:rsidRPr="00991ACB" w:rsidRDefault="00123223" w:rsidP="00E85ED5">
            <w:pPr>
              <w:spacing w:after="0"/>
              <w:rPr>
                <w:rFonts w:cs="Arial"/>
                <w:sz w:val="20"/>
                <w:szCs w:val="20"/>
              </w:rPr>
            </w:pPr>
            <w:r w:rsidRPr="00991ACB">
              <w:rPr>
                <w:rFonts w:cs="Arial"/>
                <w:sz w:val="20"/>
                <w:szCs w:val="20"/>
              </w:rPr>
              <w:t xml:space="preserve">Overhead </w:t>
            </w:r>
            <w:r w:rsidR="00912A3A" w:rsidRPr="00991ACB">
              <w:rPr>
                <w:rFonts w:cs="Arial"/>
                <w:sz w:val="20"/>
                <w:szCs w:val="20"/>
              </w:rPr>
              <w:t>Per Hour</w:t>
            </w:r>
            <w:r w:rsidR="00912A3A">
              <w:rPr>
                <w:rFonts w:cs="Arial"/>
                <w:sz w:val="20"/>
                <w:szCs w:val="20"/>
              </w:rPr>
              <w:t xml:space="preserve"> (OPH)</w:t>
            </w:r>
          </w:p>
        </w:tc>
        <w:tc>
          <w:tcPr>
            <w:tcW w:w="2520" w:type="dxa"/>
            <w:shd w:val="clear" w:color="auto" w:fill="auto"/>
            <w:noWrap/>
            <w:vAlign w:val="center"/>
            <w:hideMark/>
          </w:tcPr>
          <w:p w:rsidR="00123223" w:rsidRPr="00991ACB" w:rsidRDefault="00912A3A" w:rsidP="00912A3A">
            <w:pPr>
              <w:spacing w:after="0"/>
              <w:jc w:val="center"/>
              <w:rPr>
                <w:rFonts w:cs="Arial"/>
                <w:sz w:val="20"/>
                <w:szCs w:val="20"/>
              </w:rPr>
            </w:pPr>
            <w:r>
              <w:rPr>
                <w:rFonts w:cs="Arial"/>
                <w:sz w:val="20"/>
                <w:szCs w:val="20"/>
              </w:rPr>
              <w:t>LHR*Overhead%</w:t>
            </w:r>
          </w:p>
        </w:tc>
        <w:tc>
          <w:tcPr>
            <w:tcW w:w="1418" w:type="dxa"/>
            <w:shd w:val="clear" w:color="auto" w:fill="auto"/>
            <w:noWrap/>
            <w:vAlign w:val="center"/>
            <w:hideMark/>
          </w:tcPr>
          <w:p w:rsidR="00123223" w:rsidRPr="00991ACB" w:rsidRDefault="00123223" w:rsidP="008310C3">
            <w:pPr>
              <w:tabs>
                <w:tab w:val="decimal" w:pos="695"/>
              </w:tabs>
              <w:spacing w:after="0"/>
              <w:rPr>
                <w:rFonts w:cs="Arial"/>
                <w:sz w:val="20"/>
                <w:szCs w:val="20"/>
              </w:rPr>
            </w:pPr>
            <w:r w:rsidRPr="00991ACB">
              <w:rPr>
                <w:rFonts w:cs="Arial"/>
                <w:sz w:val="20"/>
                <w:szCs w:val="20"/>
              </w:rPr>
              <w:t>$</w:t>
            </w:r>
            <w:r w:rsidR="00E85ED5">
              <w:rPr>
                <w:rFonts w:cs="Arial"/>
                <w:sz w:val="20"/>
                <w:szCs w:val="20"/>
              </w:rPr>
              <w:t>40.78</w:t>
            </w:r>
          </w:p>
        </w:tc>
        <w:tc>
          <w:tcPr>
            <w:tcW w:w="1418" w:type="dxa"/>
            <w:shd w:val="clear" w:color="auto" w:fill="auto"/>
            <w:noWrap/>
            <w:vAlign w:val="center"/>
            <w:hideMark/>
          </w:tcPr>
          <w:p w:rsidR="00123223" w:rsidRPr="00991ACB" w:rsidRDefault="00123223" w:rsidP="008310C3">
            <w:pPr>
              <w:tabs>
                <w:tab w:val="decimal" w:pos="627"/>
              </w:tabs>
              <w:spacing w:after="0"/>
              <w:rPr>
                <w:rFonts w:cs="Arial"/>
                <w:sz w:val="20"/>
                <w:szCs w:val="20"/>
              </w:rPr>
            </w:pPr>
            <w:r w:rsidRPr="00991ACB">
              <w:rPr>
                <w:rFonts w:cs="Arial"/>
                <w:sz w:val="20"/>
                <w:szCs w:val="20"/>
              </w:rPr>
              <w:t>$</w:t>
            </w:r>
            <w:r w:rsidR="00E85ED5">
              <w:rPr>
                <w:rFonts w:cs="Arial"/>
                <w:sz w:val="20"/>
                <w:szCs w:val="20"/>
              </w:rPr>
              <w:t>20.12</w:t>
            </w:r>
          </w:p>
        </w:tc>
        <w:tc>
          <w:tcPr>
            <w:tcW w:w="1419" w:type="dxa"/>
            <w:shd w:val="clear" w:color="auto" w:fill="auto"/>
            <w:noWrap/>
            <w:vAlign w:val="center"/>
            <w:hideMark/>
          </w:tcPr>
          <w:p w:rsidR="00123223" w:rsidRPr="00991ACB" w:rsidRDefault="00123223" w:rsidP="008310C3">
            <w:pPr>
              <w:tabs>
                <w:tab w:val="decimal" w:pos="649"/>
              </w:tabs>
              <w:spacing w:after="0"/>
              <w:rPr>
                <w:rFonts w:cs="Arial"/>
                <w:sz w:val="20"/>
                <w:szCs w:val="20"/>
              </w:rPr>
            </w:pPr>
            <w:r w:rsidRPr="00991ACB">
              <w:rPr>
                <w:rFonts w:cs="Arial"/>
                <w:sz w:val="20"/>
                <w:szCs w:val="20"/>
              </w:rPr>
              <w:t>$</w:t>
            </w:r>
            <w:r w:rsidR="008310C3">
              <w:rPr>
                <w:rFonts w:cs="Arial"/>
                <w:sz w:val="20"/>
                <w:szCs w:val="20"/>
              </w:rPr>
              <w:t>12</w:t>
            </w:r>
            <w:r w:rsidR="00E85ED5">
              <w:rPr>
                <w:rFonts w:cs="Arial"/>
                <w:sz w:val="20"/>
                <w:szCs w:val="20"/>
              </w:rPr>
              <w:t>.09</w:t>
            </w:r>
          </w:p>
        </w:tc>
      </w:tr>
      <w:tr w:rsidR="00912A3A" w:rsidRPr="00674E1C" w:rsidTr="00674E1C">
        <w:trPr>
          <w:cantSplit/>
        </w:trPr>
        <w:tc>
          <w:tcPr>
            <w:tcW w:w="3535" w:type="dxa"/>
            <w:gridSpan w:val="2"/>
            <w:shd w:val="clear" w:color="auto" w:fill="B8CCE4" w:themeFill="accent1" w:themeFillTint="66"/>
            <w:noWrap/>
            <w:vAlign w:val="center"/>
            <w:hideMark/>
          </w:tcPr>
          <w:p w:rsidR="00912A3A" w:rsidRPr="00674E1C" w:rsidRDefault="00912A3A" w:rsidP="00E85ED5">
            <w:pPr>
              <w:spacing w:after="0"/>
              <w:rPr>
                <w:rFonts w:cs="Arial"/>
                <w:b/>
                <w:sz w:val="20"/>
                <w:szCs w:val="20"/>
              </w:rPr>
            </w:pPr>
            <w:r w:rsidRPr="00674E1C">
              <w:rPr>
                <w:rFonts w:cs="Arial"/>
                <w:b/>
                <w:sz w:val="20"/>
                <w:szCs w:val="20"/>
              </w:rPr>
              <w:t>Fully Loaded Hourly Rate</w:t>
            </w:r>
          </w:p>
        </w:tc>
        <w:tc>
          <w:tcPr>
            <w:tcW w:w="2520" w:type="dxa"/>
            <w:shd w:val="clear" w:color="auto" w:fill="B8CCE4" w:themeFill="accent1" w:themeFillTint="66"/>
            <w:noWrap/>
            <w:vAlign w:val="center"/>
            <w:hideMark/>
          </w:tcPr>
          <w:p w:rsidR="00912A3A" w:rsidRPr="00674E1C" w:rsidRDefault="00912A3A" w:rsidP="008310C3">
            <w:pPr>
              <w:spacing w:after="0"/>
              <w:jc w:val="center"/>
              <w:rPr>
                <w:rFonts w:cs="Arial"/>
                <w:b/>
                <w:sz w:val="20"/>
                <w:szCs w:val="20"/>
              </w:rPr>
            </w:pPr>
            <w:r w:rsidRPr="00674E1C">
              <w:rPr>
                <w:rFonts w:cs="Arial"/>
                <w:b/>
                <w:sz w:val="20"/>
                <w:szCs w:val="20"/>
              </w:rPr>
              <w:t>LHR + OPH</w:t>
            </w:r>
          </w:p>
        </w:tc>
        <w:tc>
          <w:tcPr>
            <w:tcW w:w="1418" w:type="dxa"/>
            <w:shd w:val="clear" w:color="auto" w:fill="B8CCE4" w:themeFill="accent1" w:themeFillTint="66"/>
            <w:noWrap/>
            <w:vAlign w:val="center"/>
            <w:hideMark/>
          </w:tcPr>
          <w:p w:rsidR="00912A3A" w:rsidRPr="00674E1C" w:rsidRDefault="00912A3A" w:rsidP="008310C3">
            <w:pPr>
              <w:tabs>
                <w:tab w:val="decimal" w:pos="695"/>
              </w:tabs>
              <w:spacing w:after="0"/>
              <w:rPr>
                <w:rFonts w:cs="Arial"/>
                <w:b/>
                <w:bCs/>
                <w:sz w:val="20"/>
                <w:szCs w:val="20"/>
              </w:rPr>
            </w:pPr>
            <w:r w:rsidRPr="00674E1C">
              <w:rPr>
                <w:rFonts w:cs="Arial"/>
                <w:b/>
                <w:bCs/>
                <w:sz w:val="20"/>
                <w:szCs w:val="20"/>
              </w:rPr>
              <w:t>$122.34</w:t>
            </w:r>
          </w:p>
        </w:tc>
        <w:tc>
          <w:tcPr>
            <w:tcW w:w="1418" w:type="dxa"/>
            <w:shd w:val="clear" w:color="auto" w:fill="B8CCE4" w:themeFill="accent1" w:themeFillTint="66"/>
            <w:noWrap/>
            <w:vAlign w:val="center"/>
            <w:hideMark/>
          </w:tcPr>
          <w:p w:rsidR="00912A3A" w:rsidRPr="00674E1C" w:rsidRDefault="00912A3A" w:rsidP="008310C3">
            <w:pPr>
              <w:tabs>
                <w:tab w:val="decimal" w:pos="627"/>
              </w:tabs>
              <w:spacing w:after="0"/>
              <w:rPr>
                <w:rFonts w:cs="Arial"/>
                <w:b/>
                <w:bCs/>
                <w:sz w:val="20"/>
                <w:szCs w:val="20"/>
              </w:rPr>
            </w:pPr>
            <w:r w:rsidRPr="00674E1C">
              <w:rPr>
                <w:rFonts w:cs="Arial"/>
                <w:b/>
                <w:bCs/>
                <w:sz w:val="20"/>
                <w:szCs w:val="20"/>
              </w:rPr>
              <w:t>$60.35</w:t>
            </w:r>
          </w:p>
        </w:tc>
        <w:tc>
          <w:tcPr>
            <w:tcW w:w="1419" w:type="dxa"/>
            <w:shd w:val="clear" w:color="auto" w:fill="B8CCE4" w:themeFill="accent1" w:themeFillTint="66"/>
            <w:noWrap/>
            <w:vAlign w:val="center"/>
            <w:hideMark/>
          </w:tcPr>
          <w:p w:rsidR="00912A3A" w:rsidRPr="00674E1C" w:rsidRDefault="00912A3A" w:rsidP="008310C3">
            <w:pPr>
              <w:tabs>
                <w:tab w:val="decimal" w:pos="649"/>
              </w:tabs>
              <w:spacing w:after="0"/>
              <w:rPr>
                <w:rFonts w:cs="Arial"/>
                <w:b/>
                <w:bCs/>
                <w:sz w:val="20"/>
                <w:szCs w:val="20"/>
              </w:rPr>
            </w:pPr>
            <w:r w:rsidRPr="00674E1C">
              <w:rPr>
                <w:rFonts w:cs="Arial"/>
                <w:b/>
                <w:bCs/>
                <w:sz w:val="20"/>
                <w:szCs w:val="20"/>
              </w:rPr>
              <w:t>$36.27</w:t>
            </w:r>
          </w:p>
        </w:tc>
      </w:tr>
      <w:tr w:rsidR="00123223" w:rsidRPr="00991ACB" w:rsidTr="00E85ED5">
        <w:trPr>
          <w:cantSplit/>
        </w:trPr>
        <w:tc>
          <w:tcPr>
            <w:tcW w:w="1640" w:type="dxa"/>
            <w:tcBorders>
              <w:bottom w:val="nil"/>
              <w:right w:val="nil"/>
            </w:tcBorders>
            <w:shd w:val="clear" w:color="auto" w:fill="auto"/>
            <w:noWrap/>
            <w:vAlign w:val="center"/>
            <w:hideMark/>
          </w:tcPr>
          <w:p w:rsidR="00123223" w:rsidRPr="00991ACB" w:rsidRDefault="00123223" w:rsidP="002074F6">
            <w:pPr>
              <w:spacing w:after="0"/>
              <w:ind w:left="270" w:hanging="270"/>
              <w:rPr>
                <w:rFonts w:cs="Arial"/>
                <w:sz w:val="18"/>
                <w:szCs w:val="18"/>
              </w:rPr>
            </w:pPr>
            <w:r w:rsidRPr="00991ACB">
              <w:rPr>
                <w:rFonts w:cs="Arial"/>
                <w:sz w:val="18"/>
                <w:szCs w:val="18"/>
              </w:rPr>
              <w:t>1.</w:t>
            </w:r>
            <w:r w:rsidR="002074F6">
              <w:tab/>
            </w:r>
            <w:r w:rsidRPr="00991ACB">
              <w:rPr>
                <w:rFonts w:cs="Arial"/>
                <w:sz w:val="18"/>
                <w:szCs w:val="18"/>
              </w:rPr>
              <w:t>Data Source</w:t>
            </w:r>
            <w:r w:rsidR="000C6CB0">
              <w:rPr>
                <w:rFonts w:cs="Arial"/>
                <w:sz w:val="18"/>
                <w:szCs w:val="18"/>
              </w:rPr>
              <w:t xml:space="preserve">:  </w:t>
            </w:r>
          </w:p>
        </w:tc>
        <w:tc>
          <w:tcPr>
            <w:tcW w:w="8670" w:type="dxa"/>
            <w:gridSpan w:val="5"/>
            <w:tcBorders>
              <w:left w:val="nil"/>
              <w:bottom w:val="nil"/>
            </w:tcBorders>
            <w:shd w:val="clear" w:color="auto" w:fill="auto"/>
            <w:noWrap/>
            <w:vAlign w:val="center"/>
            <w:hideMark/>
          </w:tcPr>
          <w:p w:rsidR="00123223" w:rsidRPr="00991ACB" w:rsidRDefault="000A0E96" w:rsidP="002074F6">
            <w:pPr>
              <w:spacing w:after="0"/>
              <w:rPr>
                <w:rFonts w:cs="Arial"/>
                <w:sz w:val="18"/>
                <w:szCs w:val="18"/>
              </w:rPr>
            </w:pPr>
            <w:hyperlink r:id="rId23" w:history="1">
              <w:r w:rsidR="00991ACB" w:rsidRPr="00BA5628">
                <w:rPr>
                  <w:rStyle w:val="Hyperlink"/>
                  <w:rFonts w:cs="Arial"/>
                  <w:sz w:val="18"/>
                  <w:szCs w:val="18"/>
                </w:rPr>
                <w:t>http://www.bls.gov/oes/current/naics4_325300.htm</w:t>
              </w:r>
            </w:hyperlink>
          </w:p>
        </w:tc>
      </w:tr>
      <w:tr w:rsidR="00123223" w:rsidRPr="00991ACB" w:rsidTr="00E85ED5">
        <w:trPr>
          <w:cantSplit/>
        </w:trPr>
        <w:tc>
          <w:tcPr>
            <w:tcW w:w="10310" w:type="dxa"/>
            <w:gridSpan w:val="6"/>
            <w:tcBorders>
              <w:top w:val="nil"/>
              <w:bottom w:val="nil"/>
            </w:tcBorders>
            <w:shd w:val="clear" w:color="auto" w:fill="auto"/>
            <w:noWrap/>
            <w:vAlign w:val="center"/>
            <w:hideMark/>
          </w:tcPr>
          <w:p w:rsidR="00123223" w:rsidRPr="00991ACB" w:rsidRDefault="00123223" w:rsidP="00E85ED5">
            <w:pPr>
              <w:spacing w:after="0"/>
              <w:ind w:left="270" w:hanging="270"/>
              <w:rPr>
                <w:rFonts w:cs="Arial"/>
                <w:sz w:val="18"/>
                <w:szCs w:val="18"/>
              </w:rPr>
            </w:pPr>
            <w:r w:rsidRPr="00991ACB">
              <w:rPr>
                <w:rFonts w:cs="Arial"/>
                <w:sz w:val="18"/>
                <w:szCs w:val="18"/>
              </w:rPr>
              <w:t>2.</w:t>
            </w:r>
            <w:r w:rsidR="002074F6">
              <w:tab/>
            </w:r>
            <w:r w:rsidRPr="00991ACB">
              <w:rPr>
                <w:rFonts w:cs="Arial"/>
                <w:sz w:val="18"/>
                <w:szCs w:val="18"/>
              </w:rPr>
              <w:t>Fringe benefits/wage per hour.</w:t>
            </w:r>
          </w:p>
        </w:tc>
      </w:tr>
      <w:tr w:rsidR="00123223" w:rsidRPr="00991ACB" w:rsidTr="00E85ED5">
        <w:trPr>
          <w:cantSplit/>
        </w:trPr>
        <w:tc>
          <w:tcPr>
            <w:tcW w:w="10310" w:type="dxa"/>
            <w:gridSpan w:val="6"/>
            <w:tcBorders>
              <w:top w:val="nil"/>
            </w:tcBorders>
            <w:shd w:val="clear" w:color="auto" w:fill="auto"/>
            <w:vAlign w:val="center"/>
            <w:hideMark/>
          </w:tcPr>
          <w:p w:rsidR="00123223" w:rsidRPr="00991ACB" w:rsidRDefault="00123223" w:rsidP="00DB16F5">
            <w:pPr>
              <w:spacing w:after="0"/>
              <w:ind w:left="270" w:hanging="270"/>
              <w:rPr>
                <w:rFonts w:cs="Arial"/>
                <w:sz w:val="18"/>
                <w:szCs w:val="18"/>
              </w:rPr>
            </w:pPr>
            <w:r w:rsidRPr="00991ACB">
              <w:rPr>
                <w:rFonts w:cs="Arial"/>
                <w:sz w:val="18"/>
                <w:szCs w:val="18"/>
              </w:rPr>
              <w:t>3.</w:t>
            </w:r>
            <w:r w:rsidR="002074F6">
              <w:tab/>
            </w:r>
            <w:r w:rsidRPr="00991ACB">
              <w:rPr>
                <w:rFonts w:cs="Arial"/>
                <w:sz w:val="18"/>
                <w:szCs w:val="18"/>
              </w:rPr>
              <w:t xml:space="preserve">U.S. </w:t>
            </w:r>
            <w:r w:rsidR="002074F6">
              <w:rPr>
                <w:rFonts w:cs="Arial"/>
                <w:sz w:val="18"/>
                <w:szCs w:val="18"/>
              </w:rPr>
              <w:t>EPA</w:t>
            </w:r>
            <w:r w:rsidRPr="00991ACB">
              <w:rPr>
                <w:rFonts w:cs="Arial"/>
                <w:sz w:val="18"/>
                <w:szCs w:val="18"/>
              </w:rPr>
              <w:t xml:space="preserve">, </w:t>
            </w:r>
            <w:r w:rsidRPr="00991ACB">
              <w:rPr>
                <w:rFonts w:cs="Arial"/>
                <w:i/>
                <w:iCs/>
                <w:sz w:val="18"/>
                <w:szCs w:val="18"/>
              </w:rPr>
              <w:t>EPA Air Pollution Control Cost Manual, Sixth Edition</w:t>
            </w:r>
            <w:r w:rsidRPr="00991ACB">
              <w:rPr>
                <w:rFonts w:cs="Arial"/>
                <w:sz w:val="18"/>
                <w:szCs w:val="18"/>
              </w:rPr>
              <w:t>, EPA-452-02-001, January 2002, p</w:t>
            </w:r>
            <w:r w:rsidR="00DB16F5">
              <w:rPr>
                <w:rFonts w:cs="Arial"/>
                <w:sz w:val="18"/>
                <w:szCs w:val="18"/>
              </w:rPr>
              <w:t>p</w:t>
            </w:r>
            <w:r w:rsidRPr="00991ACB">
              <w:rPr>
                <w:rFonts w:cs="Arial"/>
                <w:sz w:val="18"/>
                <w:szCs w:val="18"/>
              </w:rPr>
              <w:t>. 2-34.</w:t>
            </w:r>
            <w:r w:rsidR="000C6CB0">
              <w:rPr>
                <w:rFonts w:cs="Arial"/>
                <w:sz w:val="18"/>
                <w:szCs w:val="18"/>
              </w:rPr>
              <w:t xml:space="preserve"> </w:t>
            </w:r>
            <w:r w:rsidR="00927717">
              <w:rPr>
                <w:rFonts w:cs="Arial"/>
                <w:sz w:val="18"/>
                <w:szCs w:val="18"/>
              </w:rPr>
              <w:br/>
            </w:r>
            <w:r w:rsidRPr="00991ACB">
              <w:rPr>
                <w:rFonts w:cs="Arial"/>
                <w:sz w:val="18"/>
                <w:szCs w:val="18"/>
              </w:rPr>
              <w:t>The loading for indirect costs used in this ICR (</w:t>
            </w:r>
            <w:r w:rsidRPr="00991ACB">
              <w:rPr>
                <w:rFonts w:cs="Arial"/>
                <w:i/>
                <w:sz w:val="18"/>
                <w:szCs w:val="18"/>
              </w:rPr>
              <w:t>i.e.</w:t>
            </w:r>
            <w:r w:rsidRPr="00991ACB">
              <w:rPr>
                <w:rFonts w:cs="Arial"/>
                <w:sz w:val="18"/>
                <w:szCs w:val="18"/>
              </w:rPr>
              <w:t>, 50%) is within the range of 20-70% of the load labor rate (wage + benefits) suggested in this EPA guidance.</w:t>
            </w:r>
          </w:p>
        </w:tc>
      </w:tr>
    </w:tbl>
    <w:p w:rsidR="000F0DF3" w:rsidRDefault="001F435B" w:rsidP="002F2414">
      <w:pPr>
        <w:spacing w:before="240"/>
      </w:pPr>
      <w:r>
        <w:lastRenderedPageBreak/>
        <w:t xml:space="preserve">For this ICR, the </w:t>
      </w:r>
      <w:r w:rsidR="00CF1D4B">
        <w:t>agency</w:t>
      </w:r>
      <w:r>
        <w:t xml:space="preserve"> therefore uses the following labor rates for the respondents</w:t>
      </w:r>
      <w:r w:rsidR="000C6CB0">
        <w:t xml:space="preserve">:  </w:t>
      </w:r>
      <w:r w:rsidR="00D21E08">
        <w:br/>
      </w:r>
      <w:r>
        <w:t>Managerial = $</w:t>
      </w:r>
      <w:r w:rsidR="00854E88">
        <w:t>122.34</w:t>
      </w:r>
      <w:r>
        <w:t>, Technical = $</w:t>
      </w:r>
      <w:r w:rsidR="00854E88">
        <w:t>60.35</w:t>
      </w:r>
      <w:r>
        <w:t>; and Clerical = $</w:t>
      </w:r>
      <w:r w:rsidR="00854E88">
        <w:t>36.27</w:t>
      </w:r>
      <w:r>
        <w:t>.</w:t>
      </w:r>
    </w:p>
    <w:p w:rsidR="000F0DF3" w:rsidRDefault="001F435B" w:rsidP="002F2414">
      <w:pPr>
        <w:pStyle w:val="Heading3"/>
      </w:pPr>
      <w:r>
        <w:t>6(a</w:t>
      </w:r>
      <w:proofErr w:type="gramStart"/>
      <w:r>
        <w:t>)(</w:t>
      </w:r>
      <w:proofErr w:type="gramEnd"/>
      <w:r>
        <w:t>ii)</w:t>
      </w:r>
      <w:r w:rsidR="006D2911">
        <w:tab/>
      </w:r>
      <w:r>
        <w:t>Method Used to Calculate the Burden and Costs</w:t>
      </w:r>
    </w:p>
    <w:p w:rsidR="00733994" w:rsidRDefault="001F435B" w:rsidP="00F16932">
      <w:r>
        <w:t>The specific activities used for estimating the potential burden and costs are identified in section 4(b) of this ICR.</w:t>
      </w:r>
      <w:r w:rsidR="000C6CB0">
        <w:t xml:space="preserve"> </w:t>
      </w:r>
      <w:r>
        <w:t>Paperwork burden hours and costs are subdivided into the managerial, technical, and clerical duty labor categories, which are also described in more detail in section 4(b) of this ICR.</w:t>
      </w:r>
    </w:p>
    <w:p w:rsidR="00733994" w:rsidRDefault="001F435B" w:rsidP="00F16932">
      <w:r>
        <w:t xml:space="preserve">The </w:t>
      </w:r>
      <w:r w:rsidR="00CF1D4B">
        <w:t>agency</w:t>
      </w:r>
      <w:r>
        <w:t xml:space="preserve"> then used two basic approaches to calculate the potential burden and costs for this ICR</w:t>
      </w:r>
      <w:r w:rsidR="000C6CB0">
        <w:t xml:space="preserve">:  </w:t>
      </w:r>
      <w:r>
        <w:t>1)</w:t>
      </w:r>
      <w:r w:rsidR="00CF1D4B">
        <w:t> </w:t>
      </w:r>
      <w:r>
        <w:t xml:space="preserve">For the data generation activities, </w:t>
      </w:r>
      <w:r w:rsidR="00C270A7">
        <w:t>the EPA</w:t>
      </w:r>
      <w:r>
        <w:t xml:space="preserve"> calculated the paperwork burden as a percentage of the testing costs; and 2)</w:t>
      </w:r>
      <w:r w:rsidR="00CF1D4B">
        <w:t> </w:t>
      </w:r>
      <w:r>
        <w:t xml:space="preserve">For the rest of the paperwork activities, </w:t>
      </w:r>
      <w:r w:rsidR="00C270A7">
        <w:t>the EPA</w:t>
      </w:r>
      <w:r>
        <w:t xml:space="preserve"> estimated the average amount of time required to complete the specific activity, considering estimates provided in other approved ICRs involving the same activity, feedback from stakeholders, and </w:t>
      </w:r>
      <w:r w:rsidR="00C270A7">
        <w:t>the EPA</w:t>
      </w:r>
      <w:r w:rsidR="00CF1D4B">
        <w:t>'</w:t>
      </w:r>
      <w:r>
        <w:t>s overall experience with such activities.</w:t>
      </w:r>
    </w:p>
    <w:p w:rsidR="000F0DF3" w:rsidRDefault="001F435B" w:rsidP="00552B46">
      <w:pPr>
        <w:pStyle w:val="ListParagraph"/>
        <w:numPr>
          <w:ilvl w:val="0"/>
          <w:numId w:val="22"/>
        </w:numPr>
        <w:ind w:left="360"/>
      </w:pPr>
      <w:r w:rsidRPr="00854E88">
        <w:rPr>
          <w:i/>
        </w:rPr>
        <w:t>Method Used to Calculate the Burden and Costs for Data Generation</w:t>
      </w:r>
      <w:r>
        <w:t>.</w:t>
      </w:r>
      <w:r w:rsidR="000C6CB0">
        <w:t xml:space="preserve"> </w:t>
      </w:r>
      <w:r w:rsidR="00C270A7">
        <w:t>The EPA</w:t>
      </w:r>
      <w:r>
        <w:t xml:space="preserve"> calculated the paperwork burden for the data generation activities as a percentage of the testing costs.</w:t>
      </w:r>
      <w:r w:rsidR="000C6CB0">
        <w:t xml:space="preserve"> </w:t>
      </w:r>
      <w:r>
        <w:t>This percent-based estimate of paperwork associated with conducting a test was initially established in consultation with OMB in the 1980</w:t>
      </w:r>
      <w:r w:rsidR="00CF1D4B">
        <w:t>'</w:t>
      </w:r>
      <w:r>
        <w:t>s in an effort to provide a reasonable estimate of the burden associated with the paperwork component of data generation, which may vary based on the complexity of the test performed.</w:t>
      </w:r>
      <w:r w:rsidR="000C6CB0">
        <w:t xml:space="preserve"> </w:t>
      </w:r>
      <w:r>
        <w:t>This appears to be a reasonable and fair alternative to simply setting a single estimate for data generation burden or perhaps using some set criteria like high, medium or low burden, neither of which may fairly reflect potential differences in burden.</w:t>
      </w:r>
      <w:r w:rsidR="000C6CB0">
        <w:t xml:space="preserve"> </w:t>
      </w:r>
      <w:r>
        <w:t xml:space="preserve">For purposes of this ICR, the </w:t>
      </w:r>
      <w:r w:rsidR="00CF1D4B">
        <w:t>agency</w:t>
      </w:r>
      <w:r>
        <w:t xml:space="preserve"> has adopted this established methodology for estimating the paperwork burden for data generation, which is explained further in this section of the ICR.</w:t>
      </w:r>
    </w:p>
    <w:p w:rsidR="00E21C22" w:rsidRDefault="001F435B" w:rsidP="00854E88">
      <w:pPr>
        <w:ind w:left="360"/>
      </w:pPr>
      <w:r>
        <w:t xml:space="preserve">To calculate the burden associated with the paperwork activities involved in conducting the tests, the </w:t>
      </w:r>
      <w:r w:rsidR="00CF1D4B">
        <w:t>agency</w:t>
      </w:r>
      <w:r>
        <w:t xml:space="preserve"> starts with the cost of the test, typically the market price for the test as identified by laboratories that offer testing services.</w:t>
      </w:r>
      <w:r w:rsidR="000C6CB0">
        <w:t xml:space="preserve"> </w:t>
      </w:r>
      <w:r>
        <w:t xml:space="preserve">The </w:t>
      </w:r>
      <w:r w:rsidR="00CF1D4B">
        <w:t>agency</w:t>
      </w:r>
      <w:r>
        <w:t xml:space="preserve"> used estimated costs for 2 assays that were based on estimates provided by the EPA scientist overseeing the validation effort for those 2 assays.</w:t>
      </w:r>
      <w:r w:rsidR="000C6CB0">
        <w:t xml:space="preserve"> </w:t>
      </w:r>
      <w:r>
        <w:t xml:space="preserve">Since </w:t>
      </w:r>
      <w:r w:rsidR="002F2414">
        <w:t>the EPA</w:t>
      </w:r>
      <w:r>
        <w:t xml:space="preserve"> is funding the assay validation effort, we believe that these estimates are reasonable surrogates for actual market prices at this time and for the purposes of this ICR.</w:t>
      </w:r>
      <w:r w:rsidR="000C6CB0">
        <w:t xml:space="preserve"> </w:t>
      </w:r>
      <w:r>
        <w:t xml:space="preserve">For the other assays, the </w:t>
      </w:r>
      <w:r w:rsidR="00CF1D4B">
        <w:t>agency</w:t>
      </w:r>
      <w:r>
        <w:t xml:space="preserve"> used the Cost Estimate Survey of commercial laboratories and other information provided by industry representatives (Ref</w:t>
      </w:r>
      <w:r w:rsidR="000F7ABE">
        <w:t>erences</w:t>
      </w:r>
      <w:r>
        <w:t xml:space="preserve"> </w:t>
      </w:r>
      <w:r w:rsidR="00AC2756">
        <w:t>8</w:t>
      </w:r>
      <w:r w:rsidR="00674E1C">
        <w:t xml:space="preserve"> and </w:t>
      </w:r>
      <w:r w:rsidR="00AC2756">
        <w:t>9</w:t>
      </w:r>
      <w:r>
        <w:t>).</w:t>
      </w:r>
      <w:r w:rsidR="000C6CB0">
        <w:t xml:space="preserve"> </w:t>
      </w:r>
      <w:r w:rsidR="002F2414">
        <w:t>The EPA</w:t>
      </w:r>
      <w:r w:rsidR="00E21C22">
        <w:t xml:space="preserve"> believes that these estimates are still valid as adjusted for inflation. Our basis for being comfortable with these cost estimates is a </w:t>
      </w:r>
      <w:r w:rsidR="002F2414">
        <w:t>peer-reviewed</w:t>
      </w:r>
      <w:r w:rsidR="00E21C22">
        <w:t xml:space="preserve"> article that appeared in </w:t>
      </w:r>
      <w:r w:rsidR="00E21C22" w:rsidRPr="002F2414">
        <w:rPr>
          <w:i/>
        </w:rPr>
        <w:t>Toxicological Sciences</w:t>
      </w:r>
      <w:r w:rsidR="00E21C22">
        <w:t xml:space="preserve"> entitled</w:t>
      </w:r>
      <w:r w:rsidR="002F2414">
        <w:t>,</w:t>
      </w:r>
      <w:r w:rsidR="00E21C22">
        <w:t xml:space="preserve"> </w:t>
      </w:r>
      <w:r w:rsidR="00CF1D4B">
        <w:t>"</w:t>
      </w:r>
      <w:r w:rsidR="00E21C22">
        <w:t xml:space="preserve">Application of an </w:t>
      </w:r>
      <w:r w:rsidR="009639CD">
        <w:t>Integrated Testing Strategy to the U.S. EPA Endocrine Disruptor Screening,</w:t>
      </w:r>
      <w:r w:rsidR="00CF1D4B">
        <w:t>"</w:t>
      </w:r>
      <w:r w:rsidR="009639CD">
        <w:t xml:space="preserve"> which estimated the costs for the </w:t>
      </w:r>
      <w:r w:rsidR="00873A4A">
        <w:t xml:space="preserve">eleven </w:t>
      </w:r>
      <w:r w:rsidR="009639CD">
        <w:t>assays to be $</w:t>
      </w:r>
      <w:r w:rsidR="00346812" w:rsidRPr="00346812">
        <w:t>572,913</w:t>
      </w:r>
      <w:r w:rsidR="009639CD">
        <w:t>.</w:t>
      </w:r>
      <w:r w:rsidR="00346812">
        <w:rPr>
          <w:rStyle w:val="FootnoteReference"/>
        </w:rPr>
        <w:footnoteReference w:id="14"/>
      </w:r>
      <w:r w:rsidR="000C6CB0">
        <w:t xml:space="preserve"> </w:t>
      </w:r>
      <w:r w:rsidR="00346812">
        <w:t xml:space="preserve">As indicated in Attachment F, the estimate provided by </w:t>
      </w:r>
      <w:r w:rsidR="002F2414">
        <w:t>the EPA</w:t>
      </w:r>
      <w:r w:rsidR="00346812">
        <w:t xml:space="preserve"> is slightly higher at $637,184.</w:t>
      </w:r>
    </w:p>
    <w:p w:rsidR="000F0DF3" w:rsidRDefault="001F435B" w:rsidP="00854E88">
      <w:pPr>
        <w:ind w:left="360"/>
      </w:pPr>
      <w:r>
        <w:t xml:space="preserve">Based on the existing methodologies, </w:t>
      </w:r>
      <w:r w:rsidR="002F2414">
        <w:t>the EPA</w:t>
      </w:r>
      <w:r>
        <w:t xml:space="preserve"> used 35% of the estimated total test cost to calculate the total potential cost for the paperwork activities related to data generation.</w:t>
      </w:r>
      <w:r w:rsidR="000C6CB0">
        <w:t xml:space="preserve"> </w:t>
      </w:r>
      <w:r>
        <w:t xml:space="preserve">The 35% of test cost is disaggregated by labor category, and then burden hours are extrapolated by using the loaded labor </w:t>
      </w:r>
      <w:r>
        <w:lastRenderedPageBreak/>
        <w:t>rates.</w:t>
      </w:r>
      <w:r w:rsidR="000C6CB0">
        <w:t xml:space="preserve"> </w:t>
      </w:r>
      <w:r>
        <w:t xml:space="preserve">To disaggregate by labor category, the </w:t>
      </w:r>
      <w:r w:rsidR="00CF1D4B">
        <w:t>agency</w:t>
      </w:r>
      <w:r>
        <w:t xml:space="preserve"> considered the estimated distribution of paperwork activity across the labor category represented and the existing methodology assumption that paperwork activities for data generation mostly involve the technical staff to perform the tests, with a few activities related to management and clerical.</w:t>
      </w:r>
    </w:p>
    <w:p w:rsidR="000F0DF3" w:rsidRDefault="001F435B" w:rsidP="00854E88">
      <w:pPr>
        <w:ind w:left="360"/>
      </w:pPr>
      <w:r>
        <w:t xml:space="preserve">See Figure 1 for an illustrated outline of the </w:t>
      </w:r>
      <w:r w:rsidR="00CF1D4B">
        <w:t>agency</w:t>
      </w:r>
      <w:r>
        <w:t xml:space="preserve"> burden calculation process for data generation.</w:t>
      </w:r>
      <w:r w:rsidR="000C6CB0">
        <w:t xml:space="preserve"> </w:t>
      </w:r>
      <w:r>
        <w:t>The results from using this method are presented in section 6(b) of this ICR.</w:t>
      </w:r>
    </w:p>
    <w:p w:rsidR="001F435B" w:rsidRDefault="001F435B" w:rsidP="002F2414">
      <w:pPr>
        <w:pStyle w:val="TableCaption"/>
      </w:pPr>
      <w:r>
        <w:t>Figure 1</w:t>
      </w:r>
      <w:r w:rsidR="0076212E">
        <w:t xml:space="preserve"> – </w:t>
      </w:r>
      <w:r>
        <w:t>Method for Calculating Paperwork Burden from Test Costs</w:t>
      </w:r>
    </w:p>
    <w:p w:rsidR="00F16932" w:rsidRDefault="000A0E96" w:rsidP="00F16932">
      <w:r>
        <w:pict>
          <v:group id="_x0000_s1026" editas="canvas" style="width:498pt;height:79.15pt;mso-position-horizontal-relative:char;mso-position-vertical-relative:line" coordorigin="2829,5427" coordsize="7662,12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29;top:5427;width:7662;height:1238" o:preferrelative="f">
              <v:fill o:detectmouseclick="t"/>
              <v:path o:extrusionok="t" o:connecttype="none"/>
              <o:lock v:ext="edit" text="t"/>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8" type="#_x0000_t78" style="position:absolute;left:3106;top:5708;width:1477;height:752">
              <v:textbox style="mso-next-textbox:#_x0000_s1028">
                <w:txbxContent>
                  <w:p w:rsidR="00420038" w:rsidRPr="00F938E1" w:rsidRDefault="00420038" w:rsidP="00F16932">
                    <w:pPr>
                      <w:spacing w:after="0"/>
                      <w:jc w:val="center"/>
                      <w:rPr>
                        <w:sz w:val="20"/>
                        <w:szCs w:val="20"/>
                      </w:rPr>
                    </w:pPr>
                    <w:r>
                      <w:rPr>
                        <w:sz w:val="20"/>
                        <w:szCs w:val="20"/>
                      </w:rPr>
                      <w:t xml:space="preserve">Identify </w:t>
                    </w:r>
                    <w:r w:rsidRPr="00F938E1">
                      <w:rPr>
                        <w:sz w:val="20"/>
                        <w:szCs w:val="20"/>
                      </w:rPr>
                      <w:t>35%</w:t>
                    </w:r>
                    <w:r>
                      <w:rPr>
                        <w:sz w:val="20"/>
                        <w:szCs w:val="20"/>
                      </w:rPr>
                      <w:t xml:space="preserve"> o</w:t>
                    </w:r>
                    <w:r w:rsidRPr="00F938E1">
                      <w:rPr>
                        <w:sz w:val="20"/>
                        <w:szCs w:val="20"/>
                      </w:rPr>
                      <w:t>f</w:t>
                    </w:r>
                    <w:r>
                      <w:rPr>
                        <w:sz w:val="20"/>
                        <w:szCs w:val="20"/>
                      </w:rPr>
                      <w:t xml:space="preserve"> the </w:t>
                    </w:r>
                    <w:r w:rsidRPr="00F938E1">
                      <w:rPr>
                        <w:sz w:val="20"/>
                        <w:szCs w:val="20"/>
                      </w:rPr>
                      <w:t>Test Cost</w:t>
                    </w:r>
                  </w:p>
                </w:txbxContent>
              </v:textbox>
            </v:shape>
            <v:shape id="_x0000_s1029" type="#_x0000_t78" style="position:absolute;left:4675;top:5614;width:2492;height:941">
              <v:textbox style="mso-next-textbox:#_x0000_s1029">
                <w:txbxContent>
                  <w:p w:rsidR="00420038" w:rsidRPr="00F938E1" w:rsidRDefault="00420038" w:rsidP="00F16932">
                    <w:pPr>
                      <w:spacing w:after="0"/>
                      <w:rPr>
                        <w:sz w:val="20"/>
                        <w:szCs w:val="20"/>
                      </w:rPr>
                    </w:pPr>
                    <w:r w:rsidRPr="00F938E1">
                      <w:rPr>
                        <w:sz w:val="20"/>
                        <w:szCs w:val="20"/>
                      </w:rPr>
                      <w:t xml:space="preserve">Divide 35% </w:t>
                    </w:r>
                    <w:r>
                      <w:rPr>
                        <w:sz w:val="20"/>
                        <w:szCs w:val="20"/>
                      </w:rPr>
                      <w:t xml:space="preserve">cost </w:t>
                    </w:r>
                    <w:r w:rsidRPr="00F938E1">
                      <w:rPr>
                        <w:sz w:val="20"/>
                        <w:szCs w:val="20"/>
                      </w:rPr>
                      <w:t>into</w:t>
                    </w:r>
                    <w:proofErr w:type="gramStart"/>
                    <w:r w:rsidRPr="00F938E1">
                      <w:rPr>
                        <w:sz w:val="20"/>
                        <w:szCs w:val="20"/>
                      </w:rPr>
                      <w:t>:</w:t>
                    </w:r>
                    <w:proofErr w:type="gramEnd"/>
                    <w:r>
                      <w:rPr>
                        <w:sz w:val="20"/>
                        <w:szCs w:val="20"/>
                      </w:rPr>
                      <w:br/>
                    </w:r>
                    <w:r w:rsidRPr="00F938E1">
                      <w:rPr>
                        <w:sz w:val="20"/>
                        <w:szCs w:val="20"/>
                      </w:rPr>
                      <w:t>20%</w:t>
                    </w:r>
                    <w:r>
                      <w:rPr>
                        <w:sz w:val="20"/>
                        <w:szCs w:val="20"/>
                      </w:rPr>
                      <w:t xml:space="preserve"> for Managerial </w:t>
                    </w:r>
                    <w:r>
                      <w:rPr>
                        <w:sz w:val="20"/>
                        <w:szCs w:val="20"/>
                      </w:rPr>
                      <w:br/>
                      <w:t>65% for Technical</w:t>
                    </w:r>
                    <w:r>
                      <w:rPr>
                        <w:sz w:val="20"/>
                        <w:szCs w:val="20"/>
                      </w:rPr>
                      <w:br/>
                      <w:t>15% for Clerical</w:t>
                    </w:r>
                  </w:p>
                </w:txbxContent>
              </v:textbox>
            </v:shape>
            <v:shape id="_x0000_s1030" type="#_x0000_t78" style="position:absolute;left:7260;top:5662;width:1754;height:846">
              <v:textbox style="mso-next-textbox:#_x0000_s1030">
                <w:txbxContent>
                  <w:p w:rsidR="00420038" w:rsidRPr="00944FFF" w:rsidRDefault="00420038" w:rsidP="00F16932">
                    <w:pPr>
                      <w:spacing w:after="0"/>
                      <w:rPr>
                        <w:sz w:val="20"/>
                        <w:szCs w:val="20"/>
                      </w:rPr>
                    </w:pPr>
                    <w:r w:rsidRPr="00944FFF">
                      <w:rPr>
                        <w:sz w:val="20"/>
                        <w:szCs w:val="20"/>
                      </w:rPr>
                      <w:t xml:space="preserve">Divide </w:t>
                    </w:r>
                    <w:r>
                      <w:rPr>
                        <w:sz w:val="20"/>
                        <w:szCs w:val="20"/>
                      </w:rPr>
                      <w:t>each by Loaded Labor rate for that Category</w:t>
                    </w:r>
                  </w:p>
                </w:txbxContent>
              </v:textbox>
            </v:shape>
            <v:shapetype id="_x0000_t202" coordsize="21600,21600" o:spt="202" path="m,l,21600r21600,l21600,xe">
              <v:stroke joinstyle="miter"/>
              <v:path gradientshapeok="t" o:connecttype="rect"/>
            </v:shapetype>
            <v:shape id="_x0000_s1031" type="#_x0000_t202" style="position:absolute;left:9199;top:5756;width:922;height:657">
              <v:textbox style="mso-next-textbox:#_x0000_s1031">
                <w:txbxContent>
                  <w:p w:rsidR="00420038" w:rsidRPr="00944FFF" w:rsidRDefault="00420038" w:rsidP="00F16932">
                    <w:pPr>
                      <w:spacing w:after="0"/>
                      <w:rPr>
                        <w:sz w:val="20"/>
                        <w:szCs w:val="20"/>
                      </w:rPr>
                    </w:pPr>
                    <w:r w:rsidRPr="00944FFF">
                      <w:rPr>
                        <w:sz w:val="20"/>
                        <w:szCs w:val="20"/>
                      </w:rPr>
                      <w:t>B</w:t>
                    </w:r>
                    <w:r>
                      <w:rPr>
                        <w:sz w:val="20"/>
                        <w:szCs w:val="20"/>
                      </w:rPr>
                      <w:t>urden Hours by Category</w:t>
                    </w:r>
                  </w:p>
                </w:txbxContent>
              </v:textbox>
            </v:shape>
            <w10:wrap type="none"/>
            <w10:anchorlock/>
          </v:group>
        </w:pict>
      </w:r>
    </w:p>
    <w:p w:rsidR="00733994" w:rsidRDefault="001F435B" w:rsidP="00674E1C">
      <w:pPr>
        <w:spacing w:after="0"/>
        <w:ind w:left="360"/>
      </w:pPr>
      <w:r>
        <w:t>This approach assumes and incorporates the following:</w:t>
      </w:r>
    </w:p>
    <w:p w:rsidR="001F435B" w:rsidRDefault="00924FAB" w:rsidP="00924FAB">
      <w:pPr>
        <w:ind w:left="1267" w:hanging="547"/>
        <w:contextualSpacing/>
      </w:pPr>
      <w:r>
        <w:t>(</w:t>
      </w:r>
      <w:r w:rsidR="001F435B">
        <w:t>1)</w:t>
      </w:r>
      <w:r w:rsidR="001F435B">
        <w:tab/>
        <w:t xml:space="preserve">Recipients generate all of the data as specified in the Tier 1 </w:t>
      </w:r>
      <w:r w:rsidR="00D70092">
        <w:t>order</w:t>
      </w:r>
      <w:r w:rsidR="001F435B">
        <w:t>.</w:t>
      </w:r>
    </w:p>
    <w:p w:rsidR="00733994" w:rsidRDefault="00924FAB" w:rsidP="00924FAB">
      <w:pPr>
        <w:ind w:left="1267" w:hanging="547"/>
        <w:contextualSpacing/>
      </w:pPr>
      <w:r>
        <w:t>(</w:t>
      </w:r>
      <w:r w:rsidR="001F435B">
        <w:t>2)</w:t>
      </w:r>
      <w:r w:rsidR="001F435B">
        <w:tab/>
        <w:t>All data generation is performed by an independent laboratory.</w:t>
      </w:r>
    </w:p>
    <w:p w:rsidR="001F435B" w:rsidRDefault="00924FAB" w:rsidP="00924FAB">
      <w:pPr>
        <w:ind w:left="1267" w:hanging="547"/>
        <w:contextualSpacing/>
      </w:pPr>
      <w:r>
        <w:t>(</w:t>
      </w:r>
      <w:r w:rsidR="001F435B">
        <w:t>3)</w:t>
      </w:r>
      <w:r w:rsidR="001F435B">
        <w:tab/>
        <w:t>Paperwork burden is disaggregated by labor category as follows:</w:t>
      </w:r>
    </w:p>
    <w:p w:rsidR="001F435B" w:rsidRDefault="001F435B" w:rsidP="00924FAB">
      <w:pPr>
        <w:ind w:left="1814" w:hanging="547"/>
        <w:contextualSpacing/>
      </w:pPr>
      <w:r>
        <w:t>a.</w:t>
      </w:r>
      <w:r>
        <w:tab/>
        <w:t>Managerial (20%)</w:t>
      </w:r>
    </w:p>
    <w:p w:rsidR="001F435B" w:rsidRDefault="001F435B" w:rsidP="00924FAB">
      <w:pPr>
        <w:ind w:left="1814" w:hanging="547"/>
        <w:contextualSpacing/>
      </w:pPr>
      <w:r>
        <w:t>b.</w:t>
      </w:r>
      <w:r>
        <w:tab/>
        <w:t>Technical (65%)</w:t>
      </w:r>
    </w:p>
    <w:p w:rsidR="00733994" w:rsidRDefault="001F435B" w:rsidP="00924FAB">
      <w:pPr>
        <w:ind w:left="1814" w:hanging="547"/>
        <w:contextualSpacing/>
      </w:pPr>
      <w:r>
        <w:t>c.</w:t>
      </w:r>
      <w:r>
        <w:tab/>
        <w:t>Clerical (15%)</w:t>
      </w:r>
    </w:p>
    <w:p w:rsidR="000F0DF3" w:rsidRDefault="001F435B" w:rsidP="00924FAB">
      <w:pPr>
        <w:ind w:left="1267" w:hanging="547"/>
      </w:pPr>
      <w:r>
        <w:t>4)</w:t>
      </w:r>
      <w:r>
        <w:tab/>
        <w:t>Labor rates are fully loaded, meaning that they include the estimated costs of wages, overhead, and benefits paid to an employee.</w:t>
      </w:r>
      <w:r w:rsidR="000C6CB0">
        <w:t xml:space="preserve"> </w:t>
      </w:r>
      <w:r>
        <w:t>See section 6(a</w:t>
      </w:r>
      <w:proofErr w:type="gramStart"/>
      <w:r>
        <w:t>)(</w:t>
      </w:r>
      <w:proofErr w:type="spellStart"/>
      <w:proofErr w:type="gramEnd"/>
      <w:r>
        <w:t>i</w:t>
      </w:r>
      <w:proofErr w:type="spellEnd"/>
      <w:r>
        <w:t>) of this ICR.</w:t>
      </w:r>
    </w:p>
    <w:p w:rsidR="000F0DF3" w:rsidRDefault="001F435B" w:rsidP="00552B46">
      <w:pPr>
        <w:pStyle w:val="ListParagraph"/>
        <w:numPr>
          <w:ilvl w:val="0"/>
          <w:numId w:val="22"/>
        </w:numPr>
        <w:ind w:left="360"/>
      </w:pPr>
      <w:r w:rsidRPr="00924FAB">
        <w:rPr>
          <w:i/>
        </w:rPr>
        <w:t>Method Used to Calculate the Burden and Costs for Other Activities</w:t>
      </w:r>
      <w:r>
        <w:t>.</w:t>
      </w:r>
      <w:r w:rsidR="000C6CB0">
        <w:t xml:space="preserve"> </w:t>
      </w:r>
      <w:r>
        <w:t xml:space="preserve">For the other activities, </w:t>
      </w:r>
      <w:r w:rsidR="002F2414">
        <w:t>the EPA</w:t>
      </w:r>
      <w:r>
        <w:t xml:space="preserve"> estimated the burden hours by considering the activities themselves and the expected amount of time that the activity involves on average.</w:t>
      </w:r>
      <w:r w:rsidR="000C6CB0">
        <w:t xml:space="preserve"> </w:t>
      </w:r>
      <w:r>
        <w:t xml:space="preserve">These estimates consider the </w:t>
      </w:r>
      <w:r w:rsidR="00CF1D4B">
        <w:t>agency'</w:t>
      </w:r>
      <w:r>
        <w:t>s experience with similar data collection activities and direct experience in conducting the assays for validation.</w:t>
      </w:r>
      <w:r w:rsidR="000C6CB0">
        <w:t xml:space="preserve"> </w:t>
      </w:r>
      <w:r>
        <w:t>The costs are calculated using the loaded labor rates for the labor categories that are identified in section 6(a</w:t>
      </w:r>
      <w:proofErr w:type="gramStart"/>
      <w:r>
        <w:t>)(</w:t>
      </w:r>
      <w:proofErr w:type="spellStart"/>
      <w:proofErr w:type="gramEnd"/>
      <w:r>
        <w:t>i</w:t>
      </w:r>
      <w:proofErr w:type="spellEnd"/>
      <w:r>
        <w:t>) of this ICR.</w:t>
      </w:r>
    </w:p>
    <w:p w:rsidR="000F0DF3" w:rsidRDefault="001F435B" w:rsidP="00854E88">
      <w:pPr>
        <w:ind w:left="360"/>
      </w:pPr>
      <w:r>
        <w:t xml:space="preserve">As indicated previously, almost all of the response options provided to recipients of Tier 1 </w:t>
      </w:r>
      <w:r w:rsidR="001E640A">
        <w:t>orders</w:t>
      </w:r>
      <w:r>
        <w:t xml:space="preserve"> are the same as those afforded to pesticide registrants in response to DCIs.</w:t>
      </w:r>
      <w:r w:rsidR="000C6CB0">
        <w:t xml:space="preserve"> </w:t>
      </w:r>
      <w:r>
        <w:t xml:space="preserve">Although other ICRs already address the paperwork burden associated with the activities involved in those options, the </w:t>
      </w:r>
      <w:r w:rsidR="00CF1D4B">
        <w:t>agency</w:t>
      </w:r>
      <w:r>
        <w:t xml:space="preserve"> has provided a general estimate for the burden associated with providing the supporting materials related to the various options based on its general experience with the pesticide program.</w:t>
      </w:r>
      <w:r w:rsidR="000C6CB0">
        <w:t xml:space="preserve"> </w:t>
      </w:r>
      <w:r>
        <w:t>At this time, it is not possible to estimate how many respondents may choose which option.</w:t>
      </w:r>
    </w:p>
    <w:p w:rsidR="000F0DF3" w:rsidRDefault="001F435B" w:rsidP="00854E88">
      <w:pPr>
        <w:ind w:left="360"/>
      </w:pPr>
      <w:r>
        <w:t xml:space="preserve">Regardless of the response option that recipients of Tier 1 </w:t>
      </w:r>
      <w:r w:rsidR="001E640A">
        <w:t>orders</w:t>
      </w:r>
      <w:r>
        <w:t xml:space="preserve"> choose, the </w:t>
      </w:r>
      <w:r w:rsidR="00CF1D4B">
        <w:t>agency</w:t>
      </w:r>
      <w:r>
        <w:t xml:space="preserve"> has assumed that the data will be generated for each chemical with all manufacturers participating in a consortium or task force, and with only one </w:t>
      </w:r>
      <w:r w:rsidR="00D70092">
        <w:t>order</w:t>
      </w:r>
      <w:r>
        <w:t xml:space="preserve"> recipient engaged in actually generating and submitting the data.</w:t>
      </w:r>
      <w:r w:rsidR="000C6CB0">
        <w:t xml:space="preserve"> </w:t>
      </w:r>
      <w:r>
        <w:t xml:space="preserve">This means that all of the potential recipients of </w:t>
      </w:r>
      <w:r w:rsidR="001E640A">
        <w:t>orders</w:t>
      </w:r>
      <w:r>
        <w:t xml:space="preserve"> will experience a base set of burden associated with the initial receipt, response activities and subsequent burden related to consortium participation, and that one recipient for each of the chemicals will experience the burden associated </w:t>
      </w:r>
      <w:r>
        <w:lastRenderedPageBreak/>
        <w:t>with generating the data, submitting a one-time progress report and eventually submitting the data.</w:t>
      </w:r>
      <w:r w:rsidR="000C6CB0">
        <w:t xml:space="preserve"> </w:t>
      </w:r>
      <w:r>
        <w:t>The results of this method are presented in section 6(b) of this ICR.</w:t>
      </w:r>
    </w:p>
    <w:p w:rsidR="00733994" w:rsidRDefault="001F435B" w:rsidP="002F2414">
      <w:pPr>
        <w:pStyle w:val="Heading2"/>
      </w:pPr>
      <w:r>
        <w:t>6(b)</w:t>
      </w:r>
      <w:r w:rsidR="006D2911">
        <w:tab/>
      </w:r>
      <w:r>
        <w:t>Estimating Respondent Burden and Cost</w:t>
      </w:r>
    </w:p>
    <w:p w:rsidR="000F0DF3" w:rsidRDefault="001F435B" w:rsidP="00F16932">
      <w:r>
        <w:t xml:space="preserve">This section explains how the </w:t>
      </w:r>
      <w:r w:rsidR="00CF1D4B">
        <w:t>agency</w:t>
      </w:r>
      <w:r>
        <w:t xml:space="preserve"> calculated the estimated respondent burden and costs for this ICR.</w:t>
      </w:r>
    </w:p>
    <w:p w:rsidR="000F0DF3" w:rsidRDefault="001F435B" w:rsidP="002F2414">
      <w:pPr>
        <w:pStyle w:val="Heading3"/>
      </w:pPr>
      <w:r>
        <w:t>6(b</w:t>
      </w:r>
      <w:proofErr w:type="gramStart"/>
      <w:r>
        <w:t>)(</w:t>
      </w:r>
      <w:proofErr w:type="spellStart"/>
      <w:proofErr w:type="gramEnd"/>
      <w:r>
        <w:t>i</w:t>
      </w:r>
      <w:proofErr w:type="spellEnd"/>
      <w:r>
        <w:t>)</w:t>
      </w:r>
      <w:r w:rsidR="006D2911">
        <w:tab/>
      </w:r>
      <w:r>
        <w:t>Estimated Burden and Costs</w:t>
      </w:r>
    </w:p>
    <w:p w:rsidR="000F0DF3" w:rsidRDefault="001F435B" w:rsidP="00F16932">
      <w:r>
        <w:t xml:space="preserve">The estimated </w:t>
      </w:r>
      <w:r w:rsidRPr="0013716F">
        <w:rPr>
          <w:b/>
        </w:rPr>
        <w:t>per chemical burden</w:t>
      </w:r>
      <w:r>
        <w:t xml:space="preserve"> for each of the paperwork activities described in section 4(b) of this ICR, disaggregated by the labor category listed in Table 4, are presented in Table 6.</w:t>
      </w:r>
    </w:p>
    <w:p w:rsidR="00733994" w:rsidRDefault="001F435B" w:rsidP="002F2414">
      <w:pPr>
        <w:pStyle w:val="TableCaption"/>
      </w:pPr>
      <w:r>
        <w:t xml:space="preserve">Table 6 – Estimated </w:t>
      </w:r>
      <w:r w:rsidRPr="0013716F">
        <w:rPr>
          <w:color w:val="0000FF"/>
        </w:rPr>
        <w:t>Per Chemical</w:t>
      </w:r>
      <w:r>
        <w:t xml:space="preserve"> Burden Hours for the Activities</w:t>
      </w:r>
    </w:p>
    <w:tbl>
      <w:tblPr>
        <w:tblW w:w="5000" w:type="pct"/>
        <w:tblLayout w:type="fixed"/>
        <w:tblLook w:val="04A0"/>
      </w:tblPr>
      <w:tblGrid>
        <w:gridCol w:w="5058"/>
        <w:gridCol w:w="1309"/>
        <w:gridCol w:w="1310"/>
        <w:gridCol w:w="1309"/>
        <w:gridCol w:w="1310"/>
      </w:tblGrid>
      <w:tr w:rsidR="0013716F" w:rsidRPr="00991ACB" w:rsidTr="005826AF">
        <w:trPr>
          <w:cantSplit/>
          <w:tblHeader/>
        </w:trPr>
        <w:tc>
          <w:tcPr>
            <w:tcW w:w="5058" w:type="dxa"/>
            <w:tcBorders>
              <w:top w:val="single" w:sz="4" w:space="0" w:color="auto"/>
              <w:left w:val="single" w:sz="4" w:space="0" w:color="auto"/>
              <w:bottom w:val="single" w:sz="4" w:space="0" w:color="auto"/>
              <w:right w:val="single" w:sz="4" w:space="0" w:color="auto"/>
            </w:tcBorders>
            <w:shd w:val="clear" w:color="000000" w:fill="B8CCE4"/>
            <w:noWrap/>
            <w:hideMark/>
          </w:tcPr>
          <w:p w:rsidR="0013716F" w:rsidRPr="0013716F" w:rsidRDefault="0013716F" w:rsidP="00EB15D8">
            <w:pPr>
              <w:spacing w:after="0"/>
              <w:rPr>
                <w:rFonts w:cs="Arial"/>
                <w:b/>
                <w:bCs/>
                <w:sz w:val="20"/>
                <w:szCs w:val="20"/>
              </w:rPr>
            </w:pPr>
            <w:r w:rsidRPr="0013716F">
              <w:rPr>
                <w:rFonts w:cs="Arial"/>
                <w:b/>
                <w:bCs/>
                <w:sz w:val="20"/>
                <w:szCs w:val="20"/>
              </w:rPr>
              <w:t>Activity</w:t>
            </w:r>
            <w:r w:rsidRPr="0013716F">
              <w:rPr>
                <w:rFonts w:cs="Arial"/>
                <w:b/>
                <w:bCs/>
                <w:sz w:val="20"/>
                <w:szCs w:val="20"/>
                <w:vertAlign w:val="superscript"/>
              </w:rPr>
              <w:t>(a)</w:t>
            </w:r>
          </w:p>
        </w:tc>
        <w:tc>
          <w:tcPr>
            <w:tcW w:w="1309" w:type="dxa"/>
            <w:tcBorders>
              <w:top w:val="single" w:sz="4" w:space="0" w:color="auto"/>
              <w:left w:val="nil"/>
              <w:bottom w:val="single" w:sz="4" w:space="0" w:color="auto"/>
              <w:right w:val="single" w:sz="4" w:space="0" w:color="auto"/>
            </w:tcBorders>
            <w:shd w:val="clear" w:color="000000" w:fill="B8CCE4"/>
            <w:noWrap/>
            <w:hideMark/>
          </w:tcPr>
          <w:p w:rsidR="0013716F" w:rsidRPr="0013716F" w:rsidRDefault="0013716F" w:rsidP="00EB15D8">
            <w:pPr>
              <w:spacing w:after="0"/>
              <w:jc w:val="center"/>
              <w:rPr>
                <w:rFonts w:cs="Arial"/>
                <w:b/>
                <w:bCs/>
                <w:sz w:val="20"/>
                <w:szCs w:val="20"/>
              </w:rPr>
            </w:pPr>
            <w:r w:rsidRPr="0013716F">
              <w:rPr>
                <w:rFonts w:cs="Arial"/>
                <w:b/>
                <w:bCs/>
                <w:sz w:val="20"/>
                <w:szCs w:val="20"/>
              </w:rPr>
              <w:t>Managerial</w:t>
            </w:r>
          </w:p>
        </w:tc>
        <w:tc>
          <w:tcPr>
            <w:tcW w:w="1310" w:type="dxa"/>
            <w:tcBorders>
              <w:top w:val="single" w:sz="4" w:space="0" w:color="auto"/>
              <w:left w:val="nil"/>
              <w:bottom w:val="single" w:sz="4" w:space="0" w:color="auto"/>
              <w:right w:val="single" w:sz="4" w:space="0" w:color="auto"/>
            </w:tcBorders>
            <w:shd w:val="clear" w:color="000000" w:fill="B8CCE4"/>
            <w:noWrap/>
            <w:hideMark/>
          </w:tcPr>
          <w:p w:rsidR="0013716F" w:rsidRPr="0013716F" w:rsidRDefault="0013716F" w:rsidP="00EB15D8">
            <w:pPr>
              <w:spacing w:after="0"/>
              <w:jc w:val="center"/>
              <w:rPr>
                <w:rFonts w:cs="Arial"/>
                <w:b/>
                <w:bCs/>
                <w:sz w:val="20"/>
                <w:szCs w:val="20"/>
              </w:rPr>
            </w:pPr>
            <w:r w:rsidRPr="0013716F">
              <w:rPr>
                <w:rFonts w:cs="Arial"/>
                <w:b/>
                <w:bCs/>
                <w:sz w:val="20"/>
                <w:szCs w:val="20"/>
              </w:rPr>
              <w:t>Technical</w:t>
            </w:r>
          </w:p>
        </w:tc>
        <w:tc>
          <w:tcPr>
            <w:tcW w:w="1309" w:type="dxa"/>
            <w:tcBorders>
              <w:top w:val="single" w:sz="4" w:space="0" w:color="auto"/>
              <w:left w:val="nil"/>
              <w:bottom w:val="single" w:sz="4" w:space="0" w:color="auto"/>
              <w:right w:val="single" w:sz="4" w:space="0" w:color="auto"/>
            </w:tcBorders>
            <w:shd w:val="clear" w:color="000000" w:fill="B8CCE4"/>
            <w:noWrap/>
            <w:hideMark/>
          </w:tcPr>
          <w:p w:rsidR="0013716F" w:rsidRPr="0013716F" w:rsidRDefault="0013716F" w:rsidP="00EB15D8">
            <w:pPr>
              <w:spacing w:after="0"/>
              <w:jc w:val="center"/>
              <w:rPr>
                <w:rFonts w:cs="Arial"/>
                <w:b/>
                <w:bCs/>
                <w:sz w:val="20"/>
                <w:szCs w:val="20"/>
              </w:rPr>
            </w:pPr>
            <w:r w:rsidRPr="0013716F">
              <w:rPr>
                <w:rFonts w:cs="Arial"/>
                <w:b/>
                <w:bCs/>
                <w:sz w:val="20"/>
                <w:szCs w:val="20"/>
              </w:rPr>
              <w:t>Clerical</w:t>
            </w:r>
          </w:p>
        </w:tc>
        <w:tc>
          <w:tcPr>
            <w:tcW w:w="1310" w:type="dxa"/>
            <w:tcBorders>
              <w:top w:val="single" w:sz="4" w:space="0" w:color="auto"/>
              <w:left w:val="nil"/>
              <w:bottom w:val="single" w:sz="4" w:space="0" w:color="auto"/>
              <w:right w:val="single" w:sz="4" w:space="0" w:color="auto"/>
            </w:tcBorders>
            <w:shd w:val="clear" w:color="000000" w:fill="B8CCE4"/>
            <w:noWrap/>
            <w:hideMark/>
          </w:tcPr>
          <w:p w:rsidR="0013716F" w:rsidRPr="0013716F" w:rsidRDefault="0013716F" w:rsidP="00EB15D8">
            <w:pPr>
              <w:spacing w:after="0"/>
              <w:jc w:val="center"/>
              <w:rPr>
                <w:rFonts w:cs="Arial"/>
                <w:b/>
                <w:bCs/>
                <w:sz w:val="20"/>
                <w:szCs w:val="20"/>
              </w:rPr>
            </w:pPr>
            <w:r w:rsidRPr="0013716F">
              <w:rPr>
                <w:rFonts w:cs="Arial"/>
                <w:b/>
                <w:bCs/>
                <w:sz w:val="20"/>
                <w:szCs w:val="20"/>
              </w:rPr>
              <w:t>Total</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Read instructions</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12</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12</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9639CD" w:rsidP="00537AEB">
            <w:pPr>
              <w:spacing w:after="0"/>
              <w:ind w:right="342"/>
              <w:jc w:val="right"/>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24</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Plan activities</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48</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42</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9639CD" w:rsidP="00537AEB">
            <w:pPr>
              <w:spacing w:after="0"/>
              <w:ind w:right="342"/>
              <w:jc w:val="right"/>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90</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 xml:space="preserve">Submit an initial response to </w:t>
            </w:r>
            <w:r w:rsidR="002F2414">
              <w:rPr>
                <w:rFonts w:cs="Arial"/>
                <w:sz w:val="20"/>
                <w:szCs w:val="20"/>
              </w:rPr>
              <w:t>the EPA</w:t>
            </w:r>
            <w:r w:rsidRPr="00991ACB">
              <w:rPr>
                <w:rFonts w:cs="Arial"/>
                <w:sz w:val="20"/>
                <w:szCs w:val="20"/>
                <w:vertAlign w:val="superscript"/>
              </w:rPr>
              <w:t>(b)</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24</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21</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47</w:t>
            </w:r>
          </w:p>
        </w:tc>
      </w:tr>
      <w:tr w:rsidR="00A91659"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A91659" w:rsidRPr="00991ACB" w:rsidRDefault="00A91659" w:rsidP="00552B46">
            <w:pPr>
              <w:pStyle w:val="ListParagraph"/>
              <w:numPr>
                <w:ilvl w:val="0"/>
                <w:numId w:val="8"/>
              </w:numPr>
              <w:spacing w:after="0"/>
              <w:rPr>
                <w:rFonts w:cs="Arial"/>
                <w:sz w:val="20"/>
                <w:szCs w:val="20"/>
              </w:rPr>
            </w:pPr>
            <w:r w:rsidRPr="00991ACB">
              <w:rPr>
                <w:rFonts w:cs="Arial"/>
                <w:sz w:val="20"/>
                <w:szCs w:val="20"/>
              </w:rPr>
              <w:t>Read and discuss the protocol</w:t>
            </w:r>
          </w:p>
        </w:tc>
        <w:tc>
          <w:tcPr>
            <w:tcW w:w="1309" w:type="dxa"/>
            <w:tcBorders>
              <w:top w:val="nil"/>
              <w:left w:val="nil"/>
              <w:bottom w:val="single" w:sz="4" w:space="0" w:color="auto"/>
              <w:right w:val="single" w:sz="4" w:space="0" w:color="auto"/>
            </w:tcBorders>
            <w:shd w:val="clear" w:color="000000" w:fill="B8CCE4"/>
            <w:hideMark/>
          </w:tcPr>
          <w:p w:rsidR="00A91659" w:rsidRPr="00CF41E3" w:rsidRDefault="00A91659" w:rsidP="00A91659">
            <w:pPr>
              <w:spacing w:after="0"/>
              <w:ind w:right="342"/>
              <w:jc w:val="right"/>
              <w:rPr>
                <w:rFonts w:cs="Arial"/>
                <w:sz w:val="20"/>
                <w:szCs w:val="20"/>
              </w:rPr>
            </w:pPr>
            <w:r w:rsidRPr="00CF41E3">
              <w:rPr>
                <w:rFonts w:cs="Arial"/>
                <w:sz w:val="20"/>
                <w:szCs w:val="20"/>
              </w:rPr>
              <w:t>36</w:t>
            </w:r>
          </w:p>
        </w:tc>
        <w:tc>
          <w:tcPr>
            <w:tcW w:w="1310" w:type="dxa"/>
            <w:tcBorders>
              <w:top w:val="nil"/>
              <w:left w:val="nil"/>
              <w:bottom w:val="single" w:sz="4" w:space="0" w:color="auto"/>
              <w:right w:val="single" w:sz="4" w:space="0" w:color="auto"/>
            </w:tcBorders>
            <w:shd w:val="clear" w:color="000000" w:fill="B8CCE4"/>
            <w:hideMark/>
          </w:tcPr>
          <w:p w:rsidR="00A91659" w:rsidRPr="00CF41E3" w:rsidRDefault="00A91659" w:rsidP="00A91659">
            <w:pPr>
              <w:spacing w:after="0"/>
              <w:ind w:right="342"/>
              <w:jc w:val="right"/>
              <w:rPr>
                <w:rFonts w:cs="Arial"/>
                <w:sz w:val="20"/>
                <w:szCs w:val="20"/>
              </w:rPr>
            </w:pPr>
            <w:r w:rsidRPr="00CF41E3">
              <w:rPr>
                <w:rFonts w:cs="Arial"/>
                <w:sz w:val="20"/>
                <w:szCs w:val="20"/>
              </w:rPr>
              <w:t>145</w:t>
            </w:r>
          </w:p>
        </w:tc>
        <w:tc>
          <w:tcPr>
            <w:tcW w:w="1309" w:type="dxa"/>
            <w:tcBorders>
              <w:top w:val="nil"/>
              <w:left w:val="nil"/>
              <w:bottom w:val="single" w:sz="4" w:space="0" w:color="auto"/>
              <w:right w:val="single" w:sz="4" w:space="0" w:color="auto"/>
            </w:tcBorders>
            <w:shd w:val="clear" w:color="000000" w:fill="B8CCE4"/>
            <w:hideMark/>
          </w:tcPr>
          <w:p w:rsidR="00A91659" w:rsidRPr="00F62DD4" w:rsidRDefault="00A91659" w:rsidP="00537AEB">
            <w:pPr>
              <w:spacing w:after="0"/>
              <w:ind w:right="342"/>
              <w:jc w:val="right"/>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A91659" w:rsidRPr="00F62DD4" w:rsidRDefault="00A91659" w:rsidP="00537AEB">
            <w:pPr>
              <w:spacing w:after="0"/>
              <w:ind w:right="342"/>
              <w:jc w:val="right"/>
              <w:rPr>
                <w:rFonts w:cs="Arial"/>
                <w:b/>
                <w:bCs/>
                <w:sz w:val="20"/>
                <w:szCs w:val="20"/>
              </w:rPr>
            </w:pPr>
            <w:r w:rsidRPr="00F62DD4">
              <w:rPr>
                <w:rFonts w:cs="Arial"/>
                <w:b/>
                <w:bCs/>
                <w:sz w:val="20"/>
                <w:szCs w:val="20"/>
              </w:rPr>
              <w:t>181</w:t>
            </w:r>
          </w:p>
        </w:tc>
      </w:tr>
      <w:tr w:rsidR="008B42BA"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hideMark/>
          </w:tcPr>
          <w:p w:rsidR="008B42BA" w:rsidRPr="00CF41E3" w:rsidRDefault="008B42BA" w:rsidP="00273B98">
            <w:pPr>
              <w:spacing w:after="0"/>
              <w:rPr>
                <w:rFonts w:cs="Arial"/>
                <w:sz w:val="20"/>
                <w:szCs w:val="20"/>
              </w:rPr>
            </w:pPr>
            <w:r w:rsidRPr="00CF41E3">
              <w:rPr>
                <w:rFonts w:cs="Arial"/>
                <w:sz w:val="20"/>
                <w:szCs w:val="20"/>
              </w:rPr>
              <w:t>---&gt; Activities related to the submission of OSRI</w:t>
            </w:r>
            <w:r w:rsidRPr="00CF41E3">
              <w:rPr>
                <w:rFonts w:cs="Arial"/>
                <w:sz w:val="20"/>
                <w:szCs w:val="20"/>
                <w:vertAlign w:val="superscript"/>
              </w:rPr>
              <w:t>(c)</w:t>
            </w:r>
          </w:p>
        </w:tc>
        <w:tc>
          <w:tcPr>
            <w:tcW w:w="1309" w:type="dxa"/>
            <w:tcBorders>
              <w:top w:val="nil"/>
              <w:left w:val="nil"/>
              <w:bottom w:val="single" w:sz="4" w:space="0" w:color="auto"/>
              <w:right w:val="single" w:sz="4" w:space="0" w:color="auto"/>
            </w:tcBorders>
            <w:shd w:val="clear" w:color="000000" w:fill="B8CCE4"/>
            <w:hideMark/>
          </w:tcPr>
          <w:p w:rsidR="008B42BA" w:rsidRPr="008B42BA" w:rsidRDefault="00F62DD4" w:rsidP="004F0782">
            <w:pPr>
              <w:spacing w:after="0"/>
              <w:ind w:right="342"/>
              <w:jc w:val="right"/>
              <w:rPr>
                <w:rFonts w:cs="Arial"/>
                <w:sz w:val="20"/>
                <w:szCs w:val="20"/>
              </w:rPr>
            </w:pPr>
            <w:r w:rsidRPr="00F62DD4">
              <w:rPr>
                <w:rFonts w:cs="Arial"/>
                <w:sz w:val="20"/>
                <w:szCs w:val="20"/>
              </w:rPr>
              <w:t>40</w:t>
            </w:r>
          </w:p>
        </w:tc>
        <w:tc>
          <w:tcPr>
            <w:tcW w:w="1310" w:type="dxa"/>
            <w:tcBorders>
              <w:top w:val="nil"/>
              <w:left w:val="nil"/>
              <w:bottom w:val="single" w:sz="4" w:space="0" w:color="auto"/>
              <w:right w:val="single" w:sz="4" w:space="0" w:color="auto"/>
            </w:tcBorders>
            <w:shd w:val="clear" w:color="000000" w:fill="B8CCE4"/>
            <w:hideMark/>
          </w:tcPr>
          <w:p w:rsidR="008B42BA" w:rsidRPr="008B42BA" w:rsidRDefault="00F62DD4" w:rsidP="004F0782">
            <w:pPr>
              <w:spacing w:after="0"/>
              <w:ind w:right="342"/>
              <w:jc w:val="right"/>
              <w:rPr>
                <w:rFonts w:cs="Arial"/>
                <w:sz w:val="20"/>
                <w:szCs w:val="20"/>
              </w:rPr>
            </w:pPr>
            <w:r w:rsidRPr="00F62DD4">
              <w:rPr>
                <w:rFonts w:cs="Arial"/>
                <w:sz w:val="20"/>
                <w:szCs w:val="20"/>
              </w:rPr>
              <w:t>201</w:t>
            </w:r>
          </w:p>
        </w:tc>
        <w:tc>
          <w:tcPr>
            <w:tcW w:w="1309" w:type="dxa"/>
            <w:tcBorders>
              <w:top w:val="nil"/>
              <w:left w:val="nil"/>
              <w:bottom w:val="single" w:sz="4" w:space="0" w:color="auto"/>
              <w:right w:val="single" w:sz="4" w:space="0" w:color="auto"/>
            </w:tcBorders>
            <w:shd w:val="clear" w:color="000000" w:fill="B8CCE4"/>
            <w:hideMark/>
          </w:tcPr>
          <w:p w:rsidR="008B42BA" w:rsidRPr="008B42BA" w:rsidRDefault="00F62DD4" w:rsidP="004F0782">
            <w:pPr>
              <w:spacing w:after="0"/>
              <w:ind w:right="342"/>
              <w:jc w:val="right"/>
              <w:rPr>
                <w:rFonts w:cs="Arial"/>
                <w:sz w:val="20"/>
                <w:szCs w:val="20"/>
              </w:rPr>
            </w:pPr>
            <w:r w:rsidRPr="00F62DD4">
              <w:rPr>
                <w:rFonts w:cs="Arial"/>
                <w:sz w:val="20"/>
                <w:szCs w:val="20"/>
              </w:rPr>
              <w:t>37</w:t>
            </w:r>
          </w:p>
        </w:tc>
        <w:tc>
          <w:tcPr>
            <w:tcW w:w="1310" w:type="dxa"/>
            <w:tcBorders>
              <w:top w:val="nil"/>
              <w:left w:val="nil"/>
              <w:bottom w:val="single" w:sz="4" w:space="0" w:color="auto"/>
              <w:right w:val="single" w:sz="4" w:space="0" w:color="auto"/>
            </w:tcBorders>
            <w:shd w:val="clear" w:color="000000" w:fill="B8CCE4"/>
            <w:hideMark/>
          </w:tcPr>
          <w:p w:rsidR="008B42BA" w:rsidRPr="008B42BA" w:rsidRDefault="00F62DD4" w:rsidP="004F0782">
            <w:pPr>
              <w:spacing w:after="0"/>
              <w:ind w:right="342"/>
              <w:jc w:val="right"/>
              <w:rPr>
                <w:rFonts w:cs="Arial"/>
                <w:b/>
                <w:sz w:val="20"/>
                <w:szCs w:val="20"/>
              </w:rPr>
            </w:pPr>
            <w:r w:rsidRPr="00F62DD4">
              <w:rPr>
                <w:rFonts w:cs="Arial"/>
                <w:b/>
                <w:bCs/>
                <w:sz w:val="20"/>
                <w:szCs w:val="20"/>
              </w:rPr>
              <w:t>278</w:t>
            </w:r>
          </w:p>
        </w:tc>
      </w:tr>
      <w:tr w:rsidR="00F62DD4" w:rsidRPr="00F62DD4" w:rsidTr="005826AF">
        <w:trPr>
          <w:cantSplit/>
        </w:trPr>
        <w:tc>
          <w:tcPr>
            <w:tcW w:w="5058" w:type="dxa"/>
            <w:tcBorders>
              <w:top w:val="nil"/>
              <w:left w:val="single" w:sz="4" w:space="0" w:color="auto"/>
              <w:bottom w:val="nil"/>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Participate in Consortium</w:t>
            </w:r>
          </w:p>
        </w:tc>
        <w:tc>
          <w:tcPr>
            <w:tcW w:w="1309" w:type="dxa"/>
            <w:tcBorders>
              <w:top w:val="nil"/>
              <w:left w:val="nil"/>
              <w:bottom w:val="single" w:sz="4" w:space="0" w:color="auto"/>
              <w:right w:val="single" w:sz="4" w:space="0" w:color="auto"/>
            </w:tcBorders>
            <w:shd w:val="clear" w:color="000000" w:fill="B8CCE4"/>
            <w:noWrap/>
            <w:hideMark/>
          </w:tcPr>
          <w:p w:rsidR="00F62DD4" w:rsidRPr="00F62DD4" w:rsidRDefault="00F62DD4" w:rsidP="00537AEB">
            <w:pPr>
              <w:spacing w:after="0"/>
              <w:ind w:right="342"/>
              <w:jc w:val="right"/>
              <w:rPr>
                <w:rFonts w:cs="Arial"/>
                <w:sz w:val="20"/>
                <w:szCs w:val="20"/>
              </w:rPr>
            </w:pPr>
            <w:r w:rsidRPr="00F62DD4">
              <w:rPr>
                <w:rFonts w:cs="Arial"/>
                <w:sz w:val="20"/>
                <w:szCs w:val="20"/>
              </w:rPr>
              <w:t>24</w:t>
            </w:r>
          </w:p>
        </w:tc>
        <w:tc>
          <w:tcPr>
            <w:tcW w:w="1310" w:type="dxa"/>
            <w:tcBorders>
              <w:top w:val="nil"/>
              <w:left w:val="nil"/>
              <w:bottom w:val="single" w:sz="4" w:space="0" w:color="auto"/>
              <w:right w:val="single" w:sz="4" w:space="0" w:color="auto"/>
            </w:tcBorders>
            <w:shd w:val="clear" w:color="000000" w:fill="B8CCE4"/>
            <w:noWrap/>
            <w:hideMark/>
          </w:tcPr>
          <w:p w:rsidR="00F62DD4" w:rsidRPr="00F62DD4" w:rsidRDefault="00F62DD4" w:rsidP="00537AEB">
            <w:pPr>
              <w:spacing w:after="0"/>
              <w:ind w:right="342"/>
              <w:jc w:val="right"/>
              <w:rPr>
                <w:rFonts w:cs="Arial"/>
                <w:sz w:val="20"/>
                <w:szCs w:val="20"/>
              </w:rPr>
            </w:pPr>
            <w:r w:rsidRPr="00F62DD4">
              <w:rPr>
                <w:rFonts w:cs="Arial"/>
                <w:sz w:val="20"/>
                <w:szCs w:val="20"/>
              </w:rPr>
              <w:t>145</w:t>
            </w:r>
          </w:p>
        </w:tc>
        <w:tc>
          <w:tcPr>
            <w:tcW w:w="1309" w:type="dxa"/>
            <w:tcBorders>
              <w:top w:val="nil"/>
              <w:left w:val="nil"/>
              <w:bottom w:val="single" w:sz="4" w:space="0" w:color="auto"/>
              <w:right w:val="single" w:sz="4" w:space="0" w:color="auto"/>
            </w:tcBorders>
            <w:shd w:val="clear" w:color="000000" w:fill="B8CCE4"/>
            <w:noWrap/>
            <w:hideMark/>
          </w:tcPr>
          <w:p w:rsidR="00F62DD4" w:rsidRPr="00F62DD4" w:rsidRDefault="00F62DD4" w:rsidP="00537AEB">
            <w:pPr>
              <w:spacing w:after="0"/>
              <w:ind w:right="342"/>
              <w:jc w:val="right"/>
              <w:rPr>
                <w:rFonts w:cs="Arial"/>
                <w:sz w:val="20"/>
                <w:szCs w:val="20"/>
              </w:rPr>
            </w:pPr>
            <w:r w:rsidRPr="00F62DD4">
              <w:rPr>
                <w:rFonts w:cs="Arial"/>
                <w:sz w:val="20"/>
                <w:szCs w:val="20"/>
              </w:rPr>
              <w:t>2</w:t>
            </w:r>
          </w:p>
        </w:tc>
        <w:tc>
          <w:tcPr>
            <w:tcW w:w="1310" w:type="dxa"/>
            <w:tcBorders>
              <w:top w:val="nil"/>
              <w:left w:val="nil"/>
              <w:bottom w:val="single" w:sz="4" w:space="0" w:color="auto"/>
              <w:right w:val="single" w:sz="4" w:space="0" w:color="auto"/>
            </w:tcBorders>
            <w:shd w:val="clear" w:color="000000" w:fill="B8CCE4"/>
            <w:noWrap/>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171</w:t>
            </w:r>
          </w:p>
        </w:tc>
      </w:tr>
      <w:tr w:rsidR="00F62DD4" w:rsidRPr="00F62DD4" w:rsidTr="005826AF">
        <w:trPr>
          <w:cantSplit/>
        </w:trPr>
        <w:tc>
          <w:tcPr>
            <w:tcW w:w="5058" w:type="dxa"/>
            <w:tcBorders>
              <w:top w:val="single" w:sz="4" w:space="0" w:color="auto"/>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Generate the data</w:t>
            </w:r>
            <w:r w:rsidRPr="00991ACB">
              <w:rPr>
                <w:rFonts w:cs="Arial"/>
                <w:sz w:val="20"/>
                <w:szCs w:val="20"/>
                <w:vertAlign w:val="superscript"/>
              </w:rPr>
              <w:t>(d)</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346812" w:rsidP="00537AEB">
            <w:pPr>
              <w:spacing w:after="0"/>
              <w:ind w:right="342"/>
              <w:jc w:val="right"/>
              <w:rPr>
                <w:rFonts w:cs="Arial"/>
                <w:sz w:val="20"/>
                <w:szCs w:val="20"/>
              </w:rPr>
            </w:pPr>
            <w:r>
              <w:rPr>
                <w:rFonts w:cs="Arial"/>
                <w:sz w:val="20"/>
                <w:szCs w:val="20"/>
              </w:rPr>
              <w:t>397</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346812" w:rsidP="00537AEB">
            <w:pPr>
              <w:spacing w:after="0"/>
              <w:ind w:right="342"/>
              <w:jc w:val="right"/>
              <w:rPr>
                <w:rFonts w:cs="Arial"/>
                <w:sz w:val="20"/>
                <w:szCs w:val="20"/>
              </w:rPr>
            </w:pPr>
            <w:r>
              <w:rPr>
                <w:rFonts w:cs="Arial"/>
                <w:sz w:val="20"/>
                <w:szCs w:val="20"/>
              </w:rPr>
              <w:t>2,612</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346812" w:rsidP="00537AEB">
            <w:pPr>
              <w:spacing w:after="0"/>
              <w:ind w:right="342"/>
              <w:jc w:val="right"/>
              <w:rPr>
                <w:rFonts w:cs="Arial"/>
                <w:sz w:val="20"/>
                <w:szCs w:val="20"/>
              </w:rPr>
            </w:pPr>
            <w:r>
              <w:rPr>
                <w:rFonts w:cs="Arial"/>
                <w:sz w:val="20"/>
                <w:szCs w:val="20"/>
              </w:rPr>
              <w:t>1,003</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346812" w:rsidP="00537AEB">
            <w:pPr>
              <w:spacing w:after="0"/>
              <w:ind w:right="342"/>
              <w:jc w:val="right"/>
              <w:rPr>
                <w:rFonts w:cs="Arial"/>
                <w:b/>
                <w:bCs/>
                <w:sz w:val="20"/>
                <w:szCs w:val="20"/>
              </w:rPr>
            </w:pPr>
            <w:r>
              <w:rPr>
                <w:rFonts w:cs="Arial"/>
                <w:b/>
                <w:bCs/>
                <w:sz w:val="20"/>
                <w:szCs w:val="20"/>
              </w:rPr>
              <w:t>4,012</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Submit Progress Report</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5</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20</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7</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32</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Compile and review the final data for submission</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36</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4F0782">
            <w:pPr>
              <w:spacing w:after="0"/>
              <w:ind w:right="342"/>
              <w:jc w:val="right"/>
              <w:rPr>
                <w:rFonts w:cs="Arial"/>
                <w:sz w:val="20"/>
                <w:szCs w:val="20"/>
              </w:rPr>
            </w:pPr>
            <w:r w:rsidRPr="00F62DD4">
              <w:rPr>
                <w:rFonts w:cs="Arial"/>
                <w:sz w:val="20"/>
                <w:szCs w:val="20"/>
              </w:rPr>
              <w:t>191</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12</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4F0782">
            <w:pPr>
              <w:spacing w:after="0"/>
              <w:ind w:right="342"/>
              <w:jc w:val="right"/>
              <w:rPr>
                <w:rFonts w:cs="Arial"/>
                <w:b/>
                <w:bCs/>
                <w:sz w:val="20"/>
                <w:szCs w:val="20"/>
              </w:rPr>
            </w:pPr>
            <w:r w:rsidRPr="00F62DD4">
              <w:rPr>
                <w:rFonts w:cs="Arial"/>
                <w:b/>
                <w:bCs/>
                <w:sz w:val="20"/>
                <w:szCs w:val="20"/>
              </w:rPr>
              <w:t>239</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Complete paperwork to assemble submission package</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5</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20</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7</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32</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 xml:space="preserve">Submit final data to </w:t>
            </w:r>
            <w:r w:rsidR="002F2414">
              <w:rPr>
                <w:rFonts w:cs="Arial"/>
                <w:sz w:val="20"/>
                <w:szCs w:val="20"/>
              </w:rPr>
              <w:t>the EPA</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3</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9639CD" w:rsidP="00537AEB">
            <w:pPr>
              <w:spacing w:after="0"/>
              <w:ind w:right="342"/>
              <w:jc w:val="right"/>
              <w:rPr>
                <w:rFonts w:cs="Arial"/>
                <w:sz w:val="20"/>
                <w:szCs w:val="20"/>
              </w:rPr>
            </w:pPr>
            <w:r>
              <w:rPr>
                <w:rFonts w:cs="Arial"/>
                <w:sz w:val="20"/>
                <w:szCs w:val="20"/>
              </w:rPr>
              <w:t>0</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5</w:t>
            </w:r>
          </w:p>
        </w:tc>
      </w:tr>
      <w:tr w:rsidR="00F62DD4" w:rsidRPr="00F62DD4" w:rsidTr="005826AF">
        <w:trPr>
          <w:cantSplit/>
        </w:trPr>
        <w:tc>
          <w:tcPr>
            <w:tcW w:w="5058" w:type="dxa"/>
            <w:tcBorders>
              <w:top w:val="nil"/>
              <w:left w:val="single" w:sz="4" w:space="0" w:color="auto"/>
              <w:bottom w:val="single" w:sz="4" w:space="0" w:color="auto"/>
              <w:right w:val="single" w:sz="4" w:space="0" w:color="auto"/>
            </w:tcBorders>
            <w:shd w:val="clear" w:color="auto" w:fill="auto"/>
            <w:noWrap/>
            <w:hideMark/>
          </w:tcPr>
          <w:p w:rsidR="00F62DD4" w:rsidRPr="00991ACB" w:rsidRDefault="00F62DD4" w:rsidP="00552B46">
            <w:pPr>
              <w:pStyle w:val="ListParagraph"/>
              <w:numPr>
                <w:ilvl w:val="0"/>
                <w:numId w:val="8"/>
              </w:numPr>
              <w:spacing w:after="0"/>
              <w:rPr>
                <w:rFonts w:cs="Arial"/>
                <w:sz w:val="20"/>
                <w:szCs w:val="20"/>
              </w:rPr>
            </w:pPr>
            <w:r w:rsidRPr="00991ACB">
              <w:rPr>
                <w:rFonts w:cs="Arial"/>
                <w:sz w:val="20"/>
                <w:szCs w:val="20"/>
              </w:rPr>
              <w:t>Maintain records</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9639CD" w:rsidP="00537AEB">
            <w:pPr>
              <w:spacing w:after="0"/>
              <w:ind w:right="342"/>
              <w:jc w:val="right"/>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24</w:t>
            </w:r>
          </w:p>
        </w:tc>
        <w:tc>
          <w:tcPr>
            <w:tcW w:w="1309"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sz w:val="20"/>
                <w:szCs w:val="20"/>
              </w:rPr>
            </w:pPr>
            <w:r w:rsidRPr="00F62DD4">
              <w:rPr>
                <w:rFonts w:cs="Arial"/>
                <w:sz w:val="20"/>
                <w:szCs w:val="20"/>
              </w:rPr>
              <w:t>62</w:t>
            </w:r>
          </w:p>
        </w:tc>
        <w:tc>
          <w:tcPr>
            <w:tcW w:w="1310" w:type="dxa"/>
            <w:tcBorders>
              <w:top w:val="nil"/>
              <w:left w:val="nil"/>
              <w:bottom w:val="single" w:sz="4" w:space="0" w:color="auto"/>
              <w:right w:val="single" w:sz="4" w:space="0" w:color="auto"/>
            </w:tcBorders>
            <w:shd w:val="clear" w:color="000000" w:fill="B8CCE4"/>
            <w:hideMark/>
          </w:tcPr>
          <w:p w:rsidR="00F62DD4" w:rsidRPr="00F62DD4" w:rsidRDefault="00F62DD4" w:rsidP="00537AEB">
            <w:pPr>
              <w:spacing w:after="0"/>
              <w:ind w:right="342"/>
              <w:jc w:val="right"/>
              <w:rPr>
                <w:rFonts w:cs="Arial"/>
                <w:b/>
                <w:bCs/>
                <w:sz w:val="20"/>
                <w:szCs w:val="20"/>
              </w:rPr>
            </w:pPr>
            <w:r w:rsidRPr="00F62DD4">
              <w:rPr>
                <w:rFonts w:cs="Arial"/>
                <w:b/>
                <w:bCs/>
                <w:sz w:val="20"/>
                <w:szCs w:val="20"/>
              </w:rPr>
              <w:t>86</w:t>
            </w:r>
          </w:p>
        </w:tc>
      </w:tr>
      <w:tr w:rsidR="008B42BA" w:rsidRPr="00F62DD4" w:rsidTr="005826AF">
        <w:trPr>
          <w:cantSplit/>
        </w:trPr>
        <w:tc>
          <w:tcPr>
            <w:tcW w:w="5058" w:type="dxa"/>
            <w:tcBorders>
              <w:top w:val="nil"/>
              <w:left w:val="single" w:sz="4" w:space="0" w:color="auto"/>
              <w:bottom w:val="single" w:sz="4" w:space="0" w:color="auto"/>
              <w:right w:val="single" w:sz="4" w:space="0" w:color="auto"/>
            </w:tcBorders>
            <w:shd w:val="clear" w:color="000000" w:fill="B8CCE4"/>
            <w:noWrap/>
            <w:hideMark/>
          </w:tcPr>
          <w:p w:rsidR="008B42BA" w:rsidRPr="00CF1D4B" w:rsidRDefault="008B42BA" w:rsidP="00854E88">
            <w:pPr>
              <w:spacing w:after="0"/>
              <w:jc w:val="right"/>
              <w:rPr>
                <w:rFonts w:cs="Arial"/>
                <w:b/>
                <w:bCs/>
                <w:sz w:val="20"/>
                <w:szCs w:val="20"/>
              </w:rPr>
            </w:pPr>
            <w:r w:rsidRPr="00CF1D4B">
              <w:rPr>
                <w:rFonts w:cs="Arial"/>
                <w:b/>
                <w:bCs/>
                <w:sz w:val="20"/>
                <w:szCs w:val="20"/>
              </w:rPr>
              <w:t xml:space="preserve">Total </w:t>
            </w:r>
            <w:r>
              <w:rPr>
                <w:rFonts w:cs="Arial"/>
                <w:b/>
                <w:bCs/>
                <w:sz w:val="20"/>
                <w:szCs w:val="20"/>
              </w:rPr>
              <w:t>B</w:t>
            </w:r>
            <w:r w:rsidRPr="00CF1D4B">
              <w:rPr>
                <w:rFonts w:cs="Arial"/>
                <w:b/>
                <w:bCs/>
                <w:sz w:val="20"/>
                <w:szCs w:val="20"/>
              </w:rPr>
              <w:t>urden:</w:t>
            </w:r>
          </w:p>
        </w:tc>
        <w:tc>
          <w:tcPr>
            <w:tcW w:w="1309" w:type="dxa"/>
            <w:tcBorders>
              <w:top w:val="nil"/>
              <w:left w:val="nil"/>
              <w:bottom w:val="single" w:sz="4" w:space="0" w:color="auto"/>
              <w:right w:val="single" w:sz="4" w:space="0" w:color="auto"/>
            </w:tcBorders>
            <w:shd w:val="clear" w:color="000000" w:fill="B8CCE4"/>
            <w:hideMark/>
          </w:tcPr>
          <w:p w:rsidR="008B42BA" w:rsidRPr="008B42BA" w:rsidRDefault="00346812" w:rsidP="004F0782">
            <w:pPr>
              <w:spacing w:after="0"/>
              <w:ind w:right="342"/>
              <w:jc w:val="right"/>
              <w:rPr>
                <w:rFonts w:cs="Arial"/>
                <w:b/>
                <w:sz w:val="20"/>
                <w:szCs w:val="20"/>
              </w:rPr>
            </w:pPr>
            <w:r>
              <w:rPr>
                <w:rFonts w:cs="Arial"/>
                <w:b/>
                <w:bCs/>
                <w:sz w:val="20"/>
                <w:szCs w:val="20"/>
              </w:rPr>
              <w:t>630</w:t>
            </w:r>
          </w:p>
        </w:tc>
        <w:tc>
          <w:tcPr>
            <w:tcW w:w="1310" w:type="dxa"/>
            <w:tcBorders>
              <w:top w:val="nil"/>
              <w:left w:val="nil"/>
              <w:bottom w:val="single" w:sz="4" w:space="0" w:color="auto"/>
              <w:right w:val="single" w:sz="4" w:space="0" w:color="auto"/>
            </w:tcBorders>
            <w:shd w:val="clear" w:color="000000" w:fill="B8CCE4"/>
            <w:hideMark/>
          </w:tcPr>
          <w:p w:rsidR="008B42BA" w:rsidRPr="008B42BA" w:rsidRDefault="00346812" w:rsidP="004F0782">
            <w:pPr>
              <w:spacing w:after="0"/>
              <w:ind w:right="342"/>
              <w:jc w:val="right"/>
              <w:rPr>
                <w:rFonts w:cs="Arial"/>
                <w:b/>
                <w:sz w:val="20"/>
                <w:szCs w:val="20"/>
              </w:rPr>
            </w:pPr>
            <w:r>
              <w:rPr>
                <w:rFonts w:cs="Arial"/>
                <w:b/>
                <w:bCs/>
                <w:sz w:val="20"/>
                <w:szCs w:val="20"/>
              </w:rPr>
              <w:t>3,433</w:t>
            </w:r>
          </w:p>
        </w:tc>
        <w:tc>
          <w:tcPr>
            <w:tcW w:w="1309" w:type="dxa"/>
            <w:tcBorders>
              <w:top w:val="nil"/>
              <w:left w:val="nil"/>
              <w:bottom w:val="single" w:sz="4" w:space="0" w:color="auto"/>
              <w:right w:val="single" w:sz="4" w:space="0" w:color="auto"/>
            </w:tcBorders>
            <w:shd w:val="clear" w:color="000000" w:fill="B8CCE4"/>
            <w:hideMark/>
          </w:tcPr>
          <w:p w:rsidR="008B42BA" w:rsidRPr="008B42BA" w:rsidRDefault="008B42BA" w:rsidP="004F0782">
            <w:pPr>
              <w:spacing w:after="0"/>
              <w:ind w:right="342"/>
              <w:jc w:val="right"/>
              <w:rPr>
                <w:rFonts w:cs="Arial"/>
                <w:b/>
                <w:sz w:val="20"/>
                <w:szCs w:val="20"/>
              </w:rPr>
            </w:pPr>
            <w:r w:rsidRPr="008B42BA">
              <w:rPr>
                <w:rFonts w:cs="Arial"/>
                <w:b/>
                <w:sz w:val="20"/>
                <w:szCs w:val="20"/>
              </w:rPr>
              <w:t>1,</w:t>
            </w:r>
            <w:r w:rsidR="00346812">
              <w:rPr>
                <w:rFonts w:cs="Arial"/>
                <w:b/>
                <w:bCs/>
                <w:sz w:val="20"/>
                <w:szCs w:val="20"/>
              </w:rPr>
              <w:t>134</w:t>
            </w:r>
          </w:p>
        </w:tc>
        <w:tc>
          <w:tcPr>
            <w:tcW w:w="1310" w:type="dxa"/>
            <w:tcBorders>
              <w:top w:val="nil"/>
              <w:left w:val="nil"/>
              <w:bottom w:val="single" w:sz="4" w:space="0" w:color="auto"/>
              <w:right w:val="single" w:sz="4" w:space="0" w:color="auto"/>
            </w:tcBorders>
            <w:shd w:val="clear" w:color="000000" w:fill="B8CCE4"/>
            <w:hideMark/>
          </w:tcPr>
          <w:p w:rsidR="008B42BA" w:rsidRPr="008B42BA" w:rsidRDefault="00346812" w:rsidP="004F0782">
            <w:pPr>
              <w:spacing w:after="0"/>
              <w:ind w:right="342"/>
              <w:jc w:val="right"/>
              <w:rPr>
                <w:rFonts w:cs="Arial"/>
                <w:b/>
                <w:sz w:val="20"/>
                <w:szCs w:val="20"/>
              </w:rPr>
            </w:pPr>
            <w:r>
              <w:rPr>
                <w:rFonts w:cs="Arial"/>
                <w:b/>
                <w:bCs/>
                <w:sz w:val="20"/>
                <w:szCs w:val="20"/>
              </w:rPr>
              <w:t>5,197</w:t>
            </w:r>
          </w:p>
        </w:tc>
      </w:tr>
      <w:tr w:rsidR="0013716F" w:rsidRPr="0013716F" w:rsidTr="005826AF">
        <w:trPr>
          <w:cantSplit/>
        </w:trPr>
        <w:tc>
          <w:tcPr>
            <w:tcW w:w="10296" w:type="dxa"/>
            <w:gridSpan w:val="5"/>
            <w:tcBorders>
              <w:top w:val="single" w:sz="4" w:space="0" w:color="auto"/>
              <w:bottom w:val="nil"/>
            </w:tcBorders>
            <w:shd w:val="clear" w:color="auto" w:fill="auto"/>
            <w:hideMark/>
          </w:tcPr>
          <w:p w:rsidR="0013716F" w:rsidRPr="0013716F" w:rsidRDefault="0013716F" w:rsidP="00EB15D8">
            <w:pPr>
              <w:spacing w:after="0"/>
              <w:rPr>
                <w:rFonts w:cs="Arial"/>
                <w:sz w:val="18"/>
                <w:szCs w:val="18"/>
              </w:rPr>
            </w:pPr>
            <w:r w:rsidRPr="0013716F">
              <w:rPr>
                <w:rFonts w:cs="Arial"/>
                <w:sz w:val="18"/>
                <w:szCs w:val="18"/>
              </w:rPr>
              <w:t>(a) Activities described in more detail in section 4(b) of this ICR, which are disaggregated based on labor category.</w:t>
            </w:r>
          </w:p>
        </w:tc>
      </w:tr>
      <w:tr w:rsidR="0013716F" w:rsidRPr="0013716F" w:rsidTr="005826AF">
        <w:trPr>
          <w:cantSplit/>
        </w:trPr>
        <w:tc>
          <w:tcPr>
            <w:tcW w:w="10296" w:type="dxa"/>
            <w:gridSpan w:val="5"/>
            <w:tcBorders>
              <w:top w:val="nil"/>
              <w:bottom w:val="nil"/>
            </w:tcBorders>
            <w:shd w:val="clear" w:color="auto" w:fill="auto"/>
            <w:noWrap/>
            <w:hideMark/>
          </w:tcPr>
          <w:p w:rsidR="0013716F" w:rsidRPr="0013716F" w:rsidRDefault="0013716F" w:rsidP="00EB15D8">
            <w:pPr>
              <w:spacing w:after="0"/>
              <w:rPr>
                <w:rFonts w:cs="Arial"/>
                <w:sz w:val="18"/>
                <w:szCs w:val="18"/>
              </w:rPr>
            </w:pPr>
            <w:r w:rsidRPr="0013716F">
              <w:rPr>
                <w:rFonts w:cs="Arial"/>
                <w:sz w:val="18"/>
                <w:szCs w:val="18"/>
              </w:rPr>
              <w:t xml:space="preserve">(b) This estimate includes an estimated burden to provide additional material with the response. </w:t>
            </w:r>
          </w:p>
        </w:tc>
      </w:tr>
      <w:tr w:rsidR="0013716F" w:rsidRPr="0013716F" w:rsidTr="005826AF">
        <w:trPr>
          <w:cantSplit/>
        </w:trPr>
        <w:tc>
          <w:tcPr>
            <w:tcW w:w="10296" w:type="dxa"/>
            <w:gridSpan w:val="5"/>
            <w:tcBorders>
              <w:top w:val="nil"/>
              <w:bottom w:val="nil"/>
            </w:tcBorders>
            <w:shd w:val="clear" w:color="auto" w:fill="auto"/>
            <w:hideMark/>
          </w:tcPr>
          <w:p w:rsidR="0013716F" w:rsidRPr="0013716F" w:rsidRDefault="0013716F" w:rsidP="000F7ABE">
            <w:pPr>
              <w:spacing w:after="0"/>
              <w:rPr>
                <w:rFonts w:cs="Arial"/>
                <w:sz w:val="18"/>
                <w:szCs w:val="18"/>
              </w:rPr>
            </w:pPr>
            <w:r w:rsidRPr="0013716F">
              <w:rPr>
                <w:rFonts w:cs="Arial"/>
                <w:sz w:val="18"/>
                <w:szCs w:val="18"/>
              </w:rPr>
              <w:t>(c) Hours required for OSRI Submission from CLA/EPF Report</w:t>
            </w:r>
            <w:r w:rsidR="00F62DD4">
              <w:rPr>
                <w:rFonts w:cs="Arial"/>
                <w:sz w:val="18"/>
                <w:szCs w:val="18"/>
              </w:rPr>
              <w:t xml:space="preserve"> (</w:t>
            </w:r>
            <w:r w:rsidR="00346812">
              <w:rPr>
                <w:rFonts w:cs="Arial"/>
                <w:sz w:val="18"/>
                <w:szCs w:val="18"/>
              </w:rPr>
              <w:t>Ref</w:t>
            </w:r>
            <w:r w:rsidR="000F7ABE" w:rsidRPr="000F7ABE">
              <w:rPr>
                <w:rFonts w:cs="Arial"/>
                <w:sz w:val="18"/>
                <w:szCs w:val="18"/>
              </w:rPr>
              <w:t>erence</w:t>
            </w:r>
            <w:r w:rsidR="00346812">
              <w:rPr>
                <w:rFonts w:cs="Arial"/>
                <w:sz w:val="18"/>
                <w:szCs w:val="18"/>
              </w:rPr>
              <w:t xml:space="preserve"> 9</w:t>
            </w:r>
            <w:r w:rsidR="00F62DD4">
              <w:rPr>
                <w:rFonts w:cs="Arial"/>
                <w:sz w:val="18"/>
                <w:szCs w:val="18"/>
              </w:rPr>
              <w:t>)</w:t>
            </w:r>
            <w:r w:rsidR="00346812">
              <w:rPr>
                <w:rFonts w:cs="Arial"/>
                <w:sz w:val="18"/>
                <w:szCs w:val="18"/>
              </w:rPr>
              <w:t>.</w:t>
            </w:r>
          </w:p>
        </w:tc>
      </w:tr>
      <w:tr w:rsidR="00114DC4" w:rsidRPr="0013716F" w:rsidTr="005826AF">
        <w:trPr>
          <w:cantSplit/>
        </w:trPr>
        <w:tc>
          <w:tcPr>
            <w:tcW w:w="10296" w:type="dxa"/>
            <w:gridSpan w:val="5"/>
            <w:tcBorders>
              <w:top w:val="nil"/>
            </w:tcBorders>
            <w:shd w:val="clear" w:color="auto" w:fill="auto"/>
            <w:hideMark/>
          </w:tcPr>
          <w:p w:rsidR="00114DC4" w:rsidRPr="0013716F" w:rsidRDefault="00114DC4" w:rsidP="00AE35F7">
            <w:pPr>
              <w:spacing w:after="0"/>
              <w:rPr>
                <w:rFonts w:cs="Arial"/>
                <w:sz w:val="18"/>
                <w:szCs w:val="18"/>
              </w:rPr>
            </w:pPr>
            <w:r w:rsidRPr="0013716F">
              <w:rPr>
                <w:rFonts w:cs="Arial"/>
                <w:sz w:val="18"/>
                <w:szCs w:val="18"/>
              </w:rPr>
              <w:t xml:space="preserve">(d) Burden estimate is a percentage of the total test cost, which is calculated in Attachment </w:t>
            </w:r>
            <w:r>
              <w:rPr>
                <w:rFonts w:cs="Arial"/>
                <w:sz w:val="18"/>
                <w:szCs w:val="18"/>
              </w:rPr>
              <w:t>F</w:t>
            </w:r>
            <w:r w:rsidRPr="0013716F">
              <w:rPr>
                <w:rFonts w:cs="Arial"/>
                <w:sz w:val="18"/>
                <w:szCs w:val="18"/>
              </w:rPr>
              <w:t>.</w:t>
            </w:r>
          </w:p>
        </w:tc>
      </w:tr>
    </w:tbl>
    <w:p w:rsidR="000F0DF3" w:rsidRDefault="001F435B" w:rsidP="002F2414">
      <w:pPr>
        <w:spacing w:before="240"/>
      </w:pPr>
      <w:r w:rsidRPr="00AE35F7">
        <w:t>The estimated per chemical cost for each of the paperwork activities is presented in Table 7.</w:t>
      </w:r>
      <w:r w:rsidR="000C6CB0" w:rsidRPr="00AE35F7">
        <w:t xml:space="preserve"> </w:t>
      </w:r>
      <w:r w:rsidRPr="00AE35F7">
        <w:t>The</w:t>
      </w:r>
      <w:r>
        <w:t xml:space="preserve"> burden costs are calculated by multiplying the burden hours in Table 6 by the loaded labor rate for the different labor categories, with the costs for generating the data coming from Attachment F to the existing ICR.</w:t>
      </w:r>
      <w:r w:rsidR="000C6CB0">
        <w:t xml:space="preserve"> </w:t>
      </w:r>
      <w:r>
        <w:t>The following loaded labor rates were used to calculate these costs</w:t>
      </w:r>
      <w:proofErr w:type="gramStart"/>
      <w:r w:rsidR="000C6CB0">
        <w:t>:</w:t>
      </w:r>
      <w:proofErr w:type="gramEnd"/>
      <w:r w:rsidR="00AE35F7">
        <w:br/>
      </w:r>
      <w:r>
        <w:t>Managerial = $</w:t>
      </w:r>
      <w:r w:rsidR="00293AA5">
        <w:t>122.34</w:t>
      </w:r>
      <w:r>
        <w:t>; Technical = $</w:t>
      </w:r>
      <w:r w:rsidR="00293AA5">
        <w:t>60.35</w:t>
      </w:r>
      <w:r>
        <w:t>; and Clerical = $</w:t>
      </w:r>
      <w:r w:rsidR="00293AA5">
        <w:t>36.27</w:t>
      </w:r>
      <w:r>
        <w:t>.</w:t>
      </w:r>
    </w:p>
    <w:p w:rsidR="00733994" w:rsidRDefault="001F435B" w:rsidP="002F2414">
      <w:pPr>
        <w:pStyle w:val="TableCaption"/>
      </w:pPr>
      <w:r>
        <w:lastRenderedPageBreak/>
        <w:t xml:space="preserve">Table 7 – Estimated </w:t>
      </w:r>
      <w:r w:rsidRPr="0013716F">
        <w:rPr>
          <w:color w:val="0000FF"/>
        </w:rPr>
        <w:t>Per Chemical</w:t>
      </w:r>
      <w:r>
        <w:t xml:space="preserve"> Costs by Activity</w:t>
      </w:r>
    </w:p>
    <w:tbl>
      <w:tblPr>
        <w:tblW w:w="5000" w:type="pct"/>
        <w:tblLayout w:type="fixed"/>
        <w:tblLook w:val="04A0"/>
      </w:tblPr>
      <w:tblGrid>
        <w:gridCol w:w="5058"/>
        <w:gridCol w:w="1309"/>
        <w:gridCol w:w="1310"/>
        <w:gridCol w:w="1309"/>
        <w:gridCol w:w="1310"/>
      </w:tblGrid>
      <w:tr w:rsidR="00293AA5" w:rsidRPr="00293AA5" w:rsidTr="009630B6">
        <w:trPr>
          <w:cantSplit/>
        </w:trPr>
        <w:tc>
          <w:tcPr>
            <w:tcW w:w="505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293AA5" w:rsidRPr="00293AA5" w:rsidRDefault="00293AA5" w:rsidP="00DD59EF">
            <w:pPr>
              <w:keepNext/>
              <w:spacing w:after="0"/>
              <w:rPr>
                <w:rFonts w:cs="Arial"/>
                <w:b/>
                <w:bCs/>
                <w:sz w:val="20"/>
                <w:szCs w:val="20"/>
              </w:rPr>
            </w:pPr>
            <w:r w:rsidRPr="00293AA5">
              <w:rPr>
                <w:rFonts w:cs="Arial"/>
                <w:b/>
                <w:bCs/>
                <w:sz w:val="20"/>
                <w:szCs w:val="20"/>
              </w:rPr>
              <w:t xml:space="preserve">Activity </w:t>
            </w:r>
            <w:r w:rsidRPr="00293AA5">
              <w:rPr>
                <w:rFonts w:cs="Arial"/>
                <w:b/>
                <w:bCs/>
                <w:sz w:val="20"/>
                <w:szCs w:val="20"/>
                <w:vertAlign w:val="superscript"/>
              </w:rPr>
              <w:t>(a)</w:t>
            </w:r>
          </w:p>
        </w:tc>
        <w:tc>
          <w:tcPr>
            <w:tcW w:w="1309" w:type="dxa"/>
            <w:tcBorders>
              <w:top w:val="single" w:sz="4" w:space="0" w:color="auto"/>
              <w:left w:val="nil"/>
              <w:bottom w:val="single" w:sz="4" w:space="0" w:color="auto"/>
              <w:right w:val="single" w:sz="4" w:space="0" w:color="auto"/>
            </w:tcBorders>
            <w:shd w:val="clear" w:color="000000" w:fill="B8CCE4"/>
            <w:vAlign w:val="bottom"/>
            <w:hideMark/>
          </w:tcPr>
          <w:p w:rsidR="00293AA5" w:rsidRPr="00293AA5" w:rsidRDefault="00293AA5" w:rsidP="00DD59EF">
            <w:pPr>
              <w:keepNext/>
              <w:spacing w:after="0"/>
              <w:jc w:val="center"/>
              <w:rPr>
                <w:rFonts w:cs="Arial"/>
                <w:b/>
                <w:sz w:val="20"/>
                <w:szCs w:val="20"/>
              </w:rPr>
            </w:pPr>
            <w:r w:rsidRPr="00293AA5">
              <w:rPr>
                <w:rFonts w:cs="Arial"/>
                <w:b/>
                <w:sz w:val="20"/>
                <w:szCs w:val="20"/>
              </w:rPr>
              <w:t>Managerial</w:t>
            </w:r>
          </w:p>
        </w:tc>
        <w:tc>
          <w:tcPr>
            <w:tcW w:w="1310" w:type="dxa"/>
            <w:tcBorders>
              <w:top w:val="single" w:sz="4" w:space="0" w:color="auto"/>
              <w:left w:val="nil"/>
              <w:bottom w:val="single" w:sz="4" w:space="0" w:color="auto"/>
              <w:right w:val="single" w:sz="4" w:space="0" w:color="auto"/>
            </w:tcBorders>
            <w:shd w:val="clear" w:color="000000" w:fill="B8CCE4"/>
            <w:vAlign w:val="bottom"/>
            <w:hideMark/>
          </w:tcPr>
          <w:p w:rsidR="00293AA5" w:rsidRPr="00293AA5" w:rsidRDefault="00293AA5" w:rsidP="00DD59EF">
            <w:pPr>
              <w:keepNext/>
              <w:spacing w:after="0"/>
              <w:jc w:val="center"/>
              <w:rPr>
                <w:rFonts w:cs="Arial"/>
                <w:b/>
                <w:sz w:val="20"/>
                <w:szCs w:val="20"/>
              </w:rPr>
            </w:pPr>
            <w:r w:rsidRPr="00293AA5">
              <w:rPr>
                <w:rFonts w:cs="Arial"/>
                <w:b/>
                <w:sz w:val="20"/>
                <w:szCs w:val="20"/>
              </w:rPr>
              <w:t>Technical</w:t>
            </w:r>
          </w:p>
        </w:tc>
        <w:tc>
          <w:tcPr>
            <w:tcW w:w="1309" w:type="dxa"/>
            <w:tcBorders>
              <w:top w:val="single" w:sz="4" w:space="0" w:color="auto"/>
              <w:left w:val="nil"/>
              <w:bottom w:val="single" w:sz="4" w:space="0" w:color="auto"/>
              <w:right w:val="single" w:sz="4" w:space="0" w:color="auto"/>
            </w:tcBorders>
            <w:shd w:val="clear" w:color="000000" w:fill="B8CCE4"/>
            <w:vAlign w:val="bottom"/>
            <w:hideMark/>
          </w:tcPr>
          <w:p w:rsidR="00293AA5" w:rsidRPr="00293AA5" w:rsidRDefault="00293AA5" w:rsidP="00DD59EF">
            <w:pPr>
              <w:keepNext/>
              <w:spacing w:after="0"/>
              <w:jc w:val="center"/>
              <w:rPr>
                <w:rFonts w:cs="Arial"/>
                <w:b/>
                <w:sz w:val="20"/>
                <w:szCs w:val="20"/>
              </w:rPr>
            </w:pPr>
            <w:r w:rsidRPr="00293AA5">
              <w:rPr>
                <w:rFonts w:cs="Arial"/>
                <w:b/>
                <w:sz w:val="20"/>
                <w:szCs w:val="20"/>
              </w:rPr>
              <w:t>Clerical</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293AA5" w:rsidRPr="005826AF" w:rsidRDefault="00293AA5" w:rsidP="00DD59EF">
            <w:pPr>
              <w:keepNext/>
              <w:spacing w:after="0"/>
              <w:jc w:val="center"/>
              <w:rPr>
                <w:rFonts w:cs="Arial"/>
                <w:b/>
                <w:sz w:val="20"/>
                <w:szCs w:val="20"/>
              </w:rPr>
            </w:pPr>
            <w:r w:rsidRPr="005826AF">
              <w:rPr>
                <w:rFonts w:cs="Arial"/>
                <w:b/>
                <w:sz w:val="20"/>
                <w:szCs w:val="20"/>
              </w:rPr>
              <w:t>Total</w:t>
            </w:r>
          </w:p>
        </w:tc>
      </w:tr>
      <w:tr w:rsidR="00293AA5" w:rsidRPr="00293AA5" w:rsidTr="009630B6">
        <w:trPr>
          <w:cantSplit/>
        </w:trPr>
        <w:tc>
          <w:tcPr>
            <w:tcW w:w="5058" w:type="dxa"/>
            <w:vMerge/>
            <w:tcBorders>
              <w:top w:val="single" w:sz="4" w:space="0" w:color="auto"/>
              <w:left w:val="single" w:sz="4" w:space="0" w:color="auto"/>
              <w:bottom w:val="single" w:sz="4" w:space="0" w:color="auto"/>
              <w:right w:val="single" w:sz="4" w:space="0" w:color="auto"/>
            </w:tcBorders>
            <w:vAlign w:val="center"/>
            <w:hideMark/>
          </w:tcPr>
          <w:p w:rsidR="00293AA5" w:rsidRPr="00293AA5" w:rsidRDefault="00293AA5" w:rsidP="00DD59EF">
            <w:pPr>
              <w:keepNext/>
              <w:spacing w:after="0"/>
              <w:rPr>
                <w:rFonts w:cs="Arial"/>
                <w:b/>
                <w:bCs/>
                <w:sz w:val="20"/>
                <w:szCs w:val="20"/>
              </w:rPr>
            </w:pPr>
          </w:p>
        </w:tc>
        <w:tc>
          <w:tcPr>
            <w:tcW w:w="1309" w:type="dxa"/>
            <w:tcBorders>
              <w:top w:val="nil"/>
              <w:left w:val="nil"/>
              <w:bottom w:val="single" w:sz="4" w:space="0" w:color="auto"/>
              <w:right w:val="single" w:sz="4" w:space="0" w:color="auto"/>
            </w:tcBorders>
            <w:shd w:val="clear" w:color="000000" w:fill="B8CCE4"/>
            <w:hideMark/>
          </w:tcPr>
          <w:p w:rsidR="00293AA5" w:rsidRPr="00293AA5" w:rsidRDefault="00293AA5" w:rsidP="00DD59EF">
            <w:pPr>
              <w:keepNext/>
              <w:spacing w:after="0"/>
              <w:jc w:val="center"/>
              <w:rPr>
                <w:rFonts w:cs="Arial"/>
                <w:b/>
                <w:sz w:val="20"/>
                <w:szCs w:val="20"/>
              </w:rPr>
            </w:pPr>
            <w:r w:rsidRPr="00293AA5">
              <w:rPr>
                <w:rFonts w:cs="Arial"/>
                <w:b/>
                <w:sz w:val="20"/>
                <w:szCs w:val="20"/>
              </w:rPr>
              <w:t>$122.34</w:t>
            </w:r>
          </w:p>
        </w:tc>
        <w:tc>
          <w:tcPr>
            <w:tcW w:w="1310" w:type="dxa"/>
            <w:tcBorders>
              <w:top w:val="nil"/>
              <w:left w:val="nil"/>
              <w:bottom w:val="single" w:sz="4" w:space="0" w:color="auto"/>
              <w:right w:val="single" w:sz="4" w:space="0" w:color="auto"/>
            </w:tcBorders>
            <w:shd w:val="clear" w:color="000000" w:fill="B8CCE4"/>
            <w:hideMark/>
          </w:tcPr>
          <w:p w:rsidR="00293AA5" w:rsidRPr="00293AA5" w:rsidRDefault="00293AA5" w:rsidP="00DD59EF">
            <w:pPr>
              <w:keepNext/>
              <w:spacing w:after="0"/>
              <w:jc w:val="center"/>
              <w:rPr>
                <w:rFonts w:cs="Arial"/>
                <w:b/>
                <w:sz w:val="20"/>
                <w:szCs w:val="20"/>
              </w:rPr>
            </w:pPr>
            <w:r w:rsidRPr="00293AA5">
              <w:rPr>
                <w:rFonts w:cs="Arial"/>
                <w:b/>
                <w:sz w:val="20"/>
                <w:szCs w:val="20"/>
              </w:rPr>
              <w:t>$60.35</w:t>
            </w:r>
          </w:p>
        </w:tc>
        <w:tc>
          <w:tcPr>
            <w:tcW w:w="1309" w:type="dxa"/>
            <w:tcBorders>
              <w:top w:val="nil"/>
              <w:left w:val="nil"/>
              <w:bottom w:val="single" w:sz="4" w:space="0" w:color="auto"/>
              <w:right w:val="single" w:sz="4" w:space="0" w:color="auto"/>
            </w:tcBorders>
            <w:shd w:val="clear" w:color="000000" w:fill="B8CCE4"/>
            <w:hideMark/>
          </w:tcPr>
          <w:p w:rsidR="00293AA5" w:rsidRPr="00293AA5" w:rsidRDefault="00293AA5" w:rsidP="00DD59EF">
            <w:pPr>
              <w:keepNext/>
              <w:spacing w:after="0"/>
              <w:jc w:val="center"/>
              <w:rPr>
                <w:rFonts w:cs="Arial"/>
                <w:b/>
                <w:sz w:val="20"/>
                <w:szCs w:val="20"/>
              </w:rPr>
            </w:pPr>
            <w:r w:rsidRPr="00293AA5">
              <w:rPr>
                <w:rFonts w:cs="Arial"/>
                <w:b/>
                <w:sz w:val="20"/>
                <w:szCs w:val="20"/>
              </w:rPr>
              <w:t>$36.27</w:t>
            </w: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293AA5" w:rsidRPr="005826AF" w:rsidRDefault="00293AA5" w:rsidP="00DD59EF">
            <w:pPr>
              <w:keepNext/>
              <w:spacing w:after="0"/>
              <w:rPr>
                <w:rFonts w:cs="Arial"/>
                <w:b/>
                <w:sz w:val="20"/>
                <w:szCs w:val="20"/>
              </w:rPr>
            </w:pP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Read instructions</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82"/>
              </w:tabs>
              <w:spacing w:after="0"/>
              <w:rPr>
                <w:rFonts w:cs="Arial"/>
                <w:sz w:val="20"/>
                <w:szCs w:val="20"/>
              </w:rPr>
            </w:pPr>
            <w:r w:rsidRPr="00293AA5">
              <w:rPr>
                <w:rFonts w:cs="Arial"/>
                <w:sz w:val="20"/>
                <w:szCs w:val="20"/>
              </w:rPr>
              <w:t>$</w:t>
            </w:r>
            <w:r w:rsidR="005826AF">
              <w:rPr>
                <w:rFonts w:cs="Arial"/>
                <w:sz w:val="20"/>
                <w:szCs w:val="20"/>
              </w:rPr>
              <w:t>1,</w:t>
            </w:r>
            <w:r w:rsidRPr="00293AA5">
              <w:rPr>
                <w:rFonts w:cs="Arial"/>
                <w:sz w:val="20"/>
                <w:szCs w:val="20"/>
              </w:rPr>
              <w:t>468</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33"/>
              </w:tabs>
              <w:spacing w:after="0"/>
              <w:rPr>
                <w:rFonts w:cs="Arial"/>
                <w:sz w:val="20"/>
                <w:szCs w:val="20"/>
              </w:rPr>
            </w:pPr>
            <w:r w:rsidRPr="00293AA5">
              <w:rPr>
                <w:rFonts w:cs="Arial"/>
                <w:sz w:val="20"/>
                <w:szCs w:val="20"/>
              </w:rPr>
              <w:t>$724</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w:t>
            </w:r>
            <w:r w:rsidR="00F54B9F">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w:t>
            </w:r>
            <w:r w:rsidR="005826AF">
              <w:rPr>
                <w:rFonts w:cs="Arial"/>
                <w:b/>
                <w:sz w:val="20"/>
                <w:szCs w:val="20"/>
              </w:rPr>
              <w:t>2,</w:t>
            </w:r>
            <w:r w:rsidRPr="005826AF">
              <w:rPr>
                <w:rFonts w:cs="Arial"/>
                <w:b/>
                <w:sz w:val="20"/>
                <w:szCs w:val="20"/>
              </w:rPr>
              <w:t>192</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Plan activities</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82"/>
              </w:tabs>
              <w:spacing w:after="0"/>
              <w:rPr>
                <w:rFonts w:cs="Arial"/>
                <w:sz w:val="20"/>
                <w:szCs w:val="20"/>
              </w:rPr>
            </w:pPr>
            <w:r>
              <w:rPr>
                <w:rFonts w:cs="Arial"/>
                <w:sz w:val="20"/>
                <w:szCs w:val="20"/>
              </w:rPr>
              <w:t>5,</w:t>
            </w:r>
            <w:r w:rsidR="00293AA5" w:rsidRPr="00293AA5">
              <w:rPr>
                <w:rFonts w:cs="Arial"/>
                <w:sz w:val="20"/>
                <w:szCs w:val="20"/>
              </w:rPr>
              <w:t>872</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2,</w:t>
            </w:r>
            <w:r w:rsidR="00293AA5" w:rsidRPr="00293AA5">
              <w:rPr>
                <w:rFonts w:cs="Arial"/>
                <w:sz w:val="20"/>
                <w:szCs w:val="20"/>
              </w:rPr>
              <w:t>535</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F54B9F" w:rsidP="00DD59EF">
            <w:pPr>
              <w:keepNext/>
              <w:tabs>
                <w:tab w:val="decimal" w:pos="783"/>
              </w:tabs>
              <w:spacing w:after="0"/>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8,407</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 xml:space="preserve">Submit an initial response to </w:t>
            </w:r>
            <w:r w:rsidR="002F2414">
              <w:rPr>
                <w:rFonts w:cs="Arial"/>
                <w:sz w:val="20"/>
                <w:szCs w:val="20"/>
              </w:rPr>
              <w:t>the EPA</w:t>
            </w:r>
            <w:r w:rsidRPr="00991ACB">
              <w:rPr>
                <w:rFonts w:cs="Arial"/>
                <w:sz w:val="20"/>
                <w:szCs w:val="20"/>
                <w:vertAlign w:val="superscript"/>
              </w:rPr>
              <w:t>(b)</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82"/>
              </w:tabs>
              <w:spacing w:after="0"/>
              <w:rPr>
                <w:rFonts w:cs="Arial"/>
                <w:sz w:val="20"/>
                <w:szCs w:val="20"/>
              </w:rPr>
            </w:pPr>
            <w:r>
              <w:rPr>
                <w:rFonts w:cs="Arial"/>
                <w:sz w:val="20"/>
                <w:szCs w:val="20"/>
              </w:rPr>
              <w:t>2,</w:t>
            </w:r>
            <w:r w:rsidR="00293AA5" w:rsidRPr="00293AA5">
              <w:rPr>
                <w:rFonts w:cs="Arial"/>
                <w:sz w:val="20"/>
                <w:szCs w:val="20"/>
              </w:rPr>
              <w:t>936</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1,</w:t>
            </w:r>
            <w:r w:rsidR="00293AA5" w:rsidRPr="00293AA5">
              <w:rPr>
                <w:rFonts w:cs="Arial"/>
                <w:sz w:val="20"/>
                <w:szCs w:val="20"/>
              </w:rPr>
              <w:t>267</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73</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4,276</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Read and discuss the protocol</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82"/>
              </w:tabs>
              <w:spacing w:after="0"/>
              <w:rPr>
                <w:rFonts w:cs="Arial"/>
                <w:sz w:val="20"/>
                <w:szCs w:val="20"/>
              </w:rPr>
            </w:pPr>
            <w:r>
              <w:rPr>
                <w:rFonts w:cs="Arial"/>
                <w:sz w:val="20"/>
                <w:szCs w:val="20"/>
              </w:rPr>
              <w:t>4,</w:t>
            </w:r>
            <w:r w:rsidR="00293AA5" w:rsidRPr="00293AA5">
              <w:rPr>
                <w:rFonts w:cs="Arial"/>
                <w:sz w:val="20"/>
                <w:szCs w:val="20"/>
              </w:rPr>
              <w:t>404</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8,</w:t>
            </w:r>
            <w:r w:rsidR="00293AA5" w:rsidRPr="00293AA5">
              <w:rPr>
                <w:rFonts w:cs="Arial"/>
                <w:sz w:val="20"/>
                <w:szCs w:val="20"/>
              </w:rPr>
              <w:t>751</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F54B9F" w:rsidP="00DD59EF">
            <w:pPr>
              <w:keepNext/>
              <w:tabs>
                <w:tab w:val="decimal" w:pos="783"/>
              </w:tabs>
              <w:spacing w:after="0"/>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13,155</w:t>
            </w:r>
          </w:p>
        </w:tc>
      </w:tr>
      <w:tr w:rsidR="00674E1C"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vAlign w:val="center"/>
            <w:hideMark/>
          </w:tcPr>
          <w:p w:rsidR="00674E1C" w:rsidRPr="00991ACB" w:rsidRDefault="00674E1C" w:rsidP="00DD59EF">
            <w:pPr>
              <w:keepNext/>
              <w:spacing w:after="0"/>
              <w:rPr>
                <w:rFonts w:cs="Arial"/>
                <w:sz w:val="20"/>
                <w:szCs w:val="20"/>
              </w:rPr>
            </w:pPr>
            <w:r w:rsidRPr="00991ACB">
              <w:rPr>
                <w:rFonts w:cs="Arial"/>
                <w:sz w:val="20"/>
                <w:szCs w:val="20"/>
              </w:rPr>
              <w:t>---&gt; Activities related to the submission of OSRI</w:t>
            </w:r>
            <w:r w:rsidRPr="00991ACB">
              <w:rPr>
                <w:rFonts w:cs="Arial"/>
                <w:sz w:val="20"/>
                <w:szCs w:val="20"/>
                <w:vertAlign w:val="superscript"/>
              </w:rPr>
              <w:t>(c)</w:t>
            </w:r>
          </w:p>
        </w:tc>
        <w:tc>
          <w:tcPr>
            <w:tcW w:w="1309" w:type="dxa"/>
            <w:tcBorders>
              <w:top w:val="nil"/>
              <w:left w:val="nil"/>
              <w:bottom w:val="single" w:sz="4" w:space="0" w:color="auto"/>
              <w:right w:val="single" w:sz="4" w:space="0" w:color="auto"/>
            </w:tcBorders>
            <w:shd w:val="clear" w:color="auto" w:fill="auto"/>
            <w:hideMark/>
          </w:tcPr>
          <w:p w:rsidR="00674E1C" w:rsidRPr="00674E1C" w:rsidRDefault="004F0782" w:rsidP="00DD59EF">
            <w:pPr>
              <w:keepNext/>
              <w:tabs>
                <w:tab w:val="decimal" w:pos="882"/>
              </w:tabs>
              <w:spacing w:after="0"/>
              <w:rPr>
                <w:rFonts w:cs="Arial"/>
                <w:sz w:val="20"/>
                <w:szCs w:val="20"/>
              </w:rPr>
            </w:pPr>
            <w:r w:rsidRPr="004F0782">
              <w:rPr>
                <w:rFonts w:cs="Arial"/>
                <w:sz w:val="20"/>
                <w:szCs w:val="20"/>
              </w:rPr>
              <w:t>4,894</w:t>
            </w:r>
          </w:p>
        </w:tc>
        <w:tc>
          <w:tcPr>
            <w:tcW w:w="1310" w:type="dxa"/>
            <w:tcBorders>
              <w:top w:val="nil"/>
              <w:left w:val="nil"/>
              <w:bottom w:val="single" w:sz="4" w:space="0" w:color="auto"/>
              <w:right w:val="single" w:sz="4" w:space="0" w:color="auto"/>
            </w:tcBorders>
            <w:shd w:val="clear" w:color="auto" w:fill="auto"/>
            <w:hideMark/>
          </w:tcPr>
          <w:p w:rsidR="00674E1C" w:rsidRPr="00674E1C" w:rsidRDefault="004F0782" w:rsidP="00DD59EF">
            <w:pPr>
              <w:keepNext/>
              <w:tabs>
                <w:tab w:val="decimal" w:pos="833"/>
              </w:tabs>
              <w:spacing w:after="0"/>
              <w:rPr>
                <w:rFonts w:cs="Arial"/>
                <w:sz w:val="20"/>
                <w:szCs w:val="20"/>
              </w:rPr>
            </w:pPr>
            <w:r w:rsidRPr="004F0782">
              <w:rPr>
                <w:rFonts w:cs="Arial"/>
                <w:sz w:val="20"/>
                <w:szCs w:val="20"/>
              </w:rPr>
              <w:t>12,130</w:t>
            </w:r>
          </w:p>
        </w:tc>
        <w:tc>
          <w:tcPr>
            <w:tcW w:w="1309" w:type="dxa"/>
            <w:tcBorders>
              <w:top w:val="nil"/>
              <w:left w:val="nil"/>
              <w:bottom w:val="single" w:sz="4" w:space="0" w:color="auto"/>
              <w:right w:val="single" w:sz="4" w:space="0" w:color="auto"/>
            </w:tcBorders>
            <w:shd w:val="clear" w:color="auto" w:fill="auto"/>
            <w:hideMark/>
          </w:tcPr>
          <w:p w:rsidR="00674E1C" w:rsidRPr="00674E1C" w:rsidRDefault="004F0782" w:rsidP="00DD59EF">
            <w:pPr>
              <w:keepNext/>
              <w:tabs>
                <w:tab w:val="decimal" w:pos="783"/>
              </w:tabs>
              <w:spacing w:after="0"/>
              <w:rPr>
                <w:rFonts w:cs="Arial"/>
                <w:sz w:val="20"/>
                <w:szCs w:val="20"/>
              </w:rPr>
            </w:pPr>
            <w:r w:rsidRPr="004F0782">
              <w:rPr>
                <w:rFonts w:cs="Arial"/>
                <w:sz w:val="20"/>
                <w:szCs w:val="20"/>
              </w:rPr>
              <w:t>1,342</w:t>
            </w:r>
          </w:p>
        </w:tc>
        <w:tc>
          <w:tcPr>
            <w:tcW w:w="1310" w:type="dxa"/>
            <w:tcBorders>
              <w:top w:val="nil"/>
              <w:left w:val="nil"/>
              <w:bottom w:val="single" w:sz="4" w:space="0" w:color="auto"/>
              <w:right w:val="single" w:sz="4" w:space="0" w:color="auto"/>
            </w:tcBorders>
            <w:shd w:val="clear" w:color="000000" w:fill="B8CCE4"/>
            <w:hideMark/>
          </w:tcPr>
          <w:p w:rsidR="00674E1C" w:rsidRPr="005826AF" w:rsidRDefault="004F0782" w:rsidP="00DD59EF">
            <w:pPr>
              <w:keepNext/>
              <w:tabs>
                <w:tab w:val="decimal" w:pos="824"/>
              </w:tabs>
              <w:spacing w:after="0"/>
              <w:rPr>
                <w:rFonts w:cs="Arial"/>
                <w:b/>
                <w:sz w:val="20"/>
                <w:szCs w:val="20"/>
              </w:rPr>
            </w:pPr>
            <w:r w:rsidRPr="004F0782">
              <w:rPr>
                <w:rFonts w:cs="Arial"/>
                <w:b/>
                <w:sz w:val="20"/>
                <w:szCs w:val="20"/>
              </w:rPr>
              <w:t>18,366</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Participate in Consortium</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82"/>
              </w:tabs>
              <w:spacing w:after="0"/>
              <w:rPr>
                <w:rFonts w:cs="Arial"/>
                <w:sz w:val="20"/>
                <w:szCs w:val="20"/>
              </w:rPr>
            </w:pPr>
            <w:r>
              <w:rPr>
                <w:rFonts w:cs="Arial"/>
                <w:sz w:val="20"/>
                <w:szCs w:val="20"/>
              </w:rPr>
              <w:t>2,</w:t>
            </w:r>
            <w:r w:rsidR="00293AA5" w:rsidRPr="00293AA5">
              <w:rPr>
                <w:rFonts w:cs="Arial"/>
                <w:sz w:val="20"/>
                <w:szCs w:val="20"/>
              </w:rPr>
              <w:t>936</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8,</w:t>
            </w:r>
            <w:r w:rsidR="00293AA5" w:rsidRPr="00293AA5">
              <w:rPr>
                <w:rFonts w:cs="Arial"/>
                <w:sz w:val="20"/>
                <w:szCs w:val="20"/>
              </w:rPr>
              <w:t>751</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73</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11,760</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Generate the data</w:t>
            </w:r>
            <w:r w:rsidRPr="00991ACB">
              <w:rPr>
                <w:rFonts w:cs="Arial"/>
                <w:sz w:val="20"/>
                <w:szCs w:val="20"/>
                <w:vertAlign w:val="superscript"/>
              </w:rPr>
              <w:t>(d)</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82"/>
              </w:tabs>
              <w:spacing w:after="0"/>
              <w:rPr>
                <w:rFonts w:cs="Arial"/>
                <w:sz w:val="20"/>
                <w:szCs w:val="20"/>
              </w:rPr>
            </w:pPr>
            <w:r w:rsidRPr="00293AA5">
              <w:rPr>
                <w:rFonts w:cs="Arial"/>
                <w:sz w:val="20"/>
                <w:szCs w:val="20"/>
              </w:rPr>
              <w:t>48,569</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33"/>
              </w:tabs>
              <w:spacing w:after="0"/>
              <w:rPr>
                <w:rFonts w:cs="Arial"/>
                <w:sz w:val="20"/>
                <w:szCs w:val="20"/>
              </w:rPr>
            </w:pPr>
            <w:r w:rsidRPr="00293AA5">
              <w:rPr>
                <w:rFonts w:cs="Arial"/>
                <w:sz w:val="20"/>
                <w:szCs w:val="20"/>
              </w:rPr>
              <w:t>157,634</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36,379</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242,582</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Submit Progress Report</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82"/>
              </w:tabs>
              <w:spacing w:after="0"/>
              <w:rPr>
                <w:rFonts w:cs="Arial"/>
                <w:sz w:val="20"/>
                <w:szCs w:val="20"/>
              </w:rPr>
            </w:pPr>
            <w:r w:rsidRPr="00293AA5">
              <w:rPr>
                <w:rFonts w:cs="Arial"/>
                <w:sz w:val="20"/>
                <w:szCs w:val="20"/>
              </w:rPr>
              <w:t>612</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1,</w:t>
            </w:r>
            <w:r w:rsidR="00293AA5" w:rsidRPr="00293AA5">
              <w:rPr>
                <w:rFonts w:cs="Arial"/>
                <w:sz w:val="20"/>
                <w:szCs w:val="20"/>
              </w:rPr>
              <w:t>207</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254</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2,073</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Compile and review the final data for submission</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82"/>
              </w:tabs>
              <w:spacing w:after="0"/>
              <w:rPr>
                <w:rFonts w:cs="Arial"/>
                <w:sz w:val="20"/>
                <w:szCs w:val="20"/>
              </w:rPr>
            </w:pPr>
            <w:r>
              <w:rPr>
                <w:rFonts w:cs="Arial"/>
                <w:sz w:val="20"/>
                <w:szCs w:val="20"/>
              </w:rPr>
              <w:t>4,</w:t>
            </w:r>
            <w:r w:rsidR="00293AA5" w:rsidRPr="00293AA5">
              <w:rPr>
                <w:rFonts w:cs="Arial"/>
                <w:sz w:val="20"/>
                <w:szCs w:val="20"/>
              </w:rPr>
              <w:t>404</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4F0782" w:rsidP="00DD59EF">
            <w:pPr>
              <w:keepNext/>
              <w:tabs>
                <w:tab w:val="decimal" w:pos="833"/>
              </w:tabs>
              <w:spacing w:after="0"/>
              <w:rPr>
                <w:rFonts w:cs="Arial"/>
                <w:sz w:val="20"/>
                <w:szCs w:val="20"/>
              </w:rPr>
            </w:pPr>
            <w:r w:rsidRPr="004F0782">
              <w:rPr>
                <w:rFonts w:cs="Arial"/>
                <w:sz w:val="20"/>
                <w:szCs w:val="20"/>
              </w:rPr>
              <w:t>11,527</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435</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4F0782" w:rsidP="00DD59EF">
            <w:pPr>
              <w:keepNext/>
              <w:tabs>
                <w:tab w:val="decimal" w:pos="824"/>
              </w:tabs>
              <w:spacing w:after="0"/>
              <w:rPr>
                <w:rFonts w:cs="Arial"/>
                <w:b/>
                <w:sz w:val="20"/>
                <w:szCs w:val="20"/>
              </w:rPr>
            </w:pPr>
            <w:r w:rsidRPr="004F0782">
              <w:rPr>
                <w:rFonts w:cs="Arial"/>
                <w:b/>
                <w:sz w:val="20"/>
                <w:szCs w:val="20"/>
              </w:rPr>
              <w:t>16,366</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Complete paperwork to assemble submission package</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82"/>
              </w:tabs>
              <w:spacing w:after="0"/>
              <w:rPr>
                <w:rFonts w:cs="Arial"/>
                <w:sz w:val="20"/>
                <w:szCs w:val="20"/>
              </w:rPr>
            </w:pPr>
            <w:r w:rsidRPr="00293AA5">
              <w:rPr>
                <w:rFonts w:cs="Arial"/>
                <w:sz w:val="20"/>
                <w:szCs w:val="20"/>
              </w:rPr>
              <w:t>612</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1,</w:t>
            </w:r>
            <w:r w:rsidR="00293AA5" w:rsidRPr="00293AA5">
              <w:rPr>
                <w:rFonts w:cs="Arial"/>
                <w:sz w:val="20"/>
                <w:szCs w:val="20"/>
              </w:rPr>
              <w:t>207</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254</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2,073</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 xml:space="preserve">Submit final data to </w:t>
            </w:r>
            <w:r w:rsidR="002F2414">
              <w:rPr>
                <w:rFonts w:cs="Arial"/>
                <w:sz w:val="20"/>
                <w:szCs w:val="20"/>
              </w:rPr>
              <w:t>the EPA</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882"/>
              </w:tabs>
              <w:spacing w:after="0"/>
              <w:rPr>
                <w:rFonts w:cs="Arial"/>
                <w:sz w:val="20"/>
                <w:szCs w:val="20"/>
              </w:rPr>
            </w:pPr>
            <w:r w:rsidRPr="00293AA5">
              <w:rPr>
                <w:rFonts w:cs="Arial"/>
                <w:sz w:val="20"/>
                <w:szCs w:val="20"/>
              </w:rPr>
              <w:t>367</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F54B9F" w:rsidP="00DD59EF">
            <w:pPr>
              <w:keepNext/>
              <w:tabs>
                <w:tab w:val="decimal" w:pos="833"/>
              </w:tabs>
              <w:spacing w:after="0"/>
              <w:rPr>
                <w:rFonts w:cs="Arial"/>
                <w:sz w:val="20"/>
                <w:szCs w:val="20"/>
              </w:rPr>
            </w:pPr>
            <w:r>
              <w:rPr>
                <w:rFonts w:cs="Arial"/>
                <w:sz w:val="20"/>
                <w:szCs w:val="20"/>
              </w:rPr>
              <w:t>0</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DD59EF">
            <w:pPr>
              <w:keepNext/>
              <w:tabs>
                <w:tab w:val="decimal" w:pos="783"/>
              </w:tabs>
              <w:spacing w:after="0"/>
              <w:rPr>
                <w:rFonts w:cs="Arial"/>
                <w:sz w:val="20"/>
                <w:szCs w:val="20"/>
              </w:rPr>
            </w:pPr>
            <w:r w:rsidRPr="00293AA5">
              <w:rPr>
                <w:rFonts w:cs="Arial"/>
                <w:sz w:val="20"/>
                <w:szCs w:val="20"/>
              </w:rPr>
              <w:t>73</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DD59EF">
            <w:pPr>
              <w:keepNext/>
              <w:tabs>
                <w:tab w:val="decimal" w:pos="824"/>
              </w:tabs>
              <w:spacing w:after="0"/>
              <w:rPr>
                <w:rFonts w:cs="Arial"/>
                <w:b/>
                <w:sz w:val="20"/>
                <w:szCs w:val="20"/>
              </w:rPr>
            </w:pPr>
            <w:r w:rsidRPr="005826AF">
              <w:rPr>
                <w:rFonts w:cs="Arial"/>
                <w:b/>
                <w:sz w:val="20"/>
                <w:szCs w:val="20"/>
              </w:rPr>
              <w:t>440</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DD59EF">
            <w:pPr>
              <w:pStyle w:val="ListParagraph"/>
              <w:keepNext/>
              <w:numPr>
                <w:ilvl w:val="0"/>
                <w:numId w:val="9"/>
              </w:numPr>
              <w:spacing w:after="0"/>
              <w:rPr>
                <w:rFonts w:cs="Arial"/>
                <w:sz w:val="20"/>
                <w:szCs w:val="20"/>
              </w:rPr>
            </w:pPr>
            <w:r w:rsidRPr="00991ACB">
              <w:rPr>
                <w:rFonts w:cs="Arial"/>
                <w:sz w:val="20"/>
                <w:szCs w:val="20"/>
              </w:rPr>
              <w:t>Maintain records</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F54B9F" w:rsidP="00DD59EF">
            <w:pPr>
              <w:keepNext/>
              <w:tabs>
                <w:tab w:val="decimal" w:pos="882"/>
              </w:tabs>
              <w:spacing w:after="0"/>
              <w:rPr>
                <w:rFonts w:cs="Arial"/>
                <w:sz w:val="20"/>
                <w:szCs w:val="20"/>
              </w:rPr>
            </w:pPr>
            <w:r>
              <w:rPr>
                <w:rFonts w:cs="Arial"/>
                <w:sz w:val="20"/>
                <w:szCs w:val="20"/>
              </w:rPr>
              <w:t>0</w:t>
            </w:r>
          </w:p>
        </w:tc>
        <w:tc>
          <w:tcPr>
            <w:tcW w:w="1310"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833"/>
              </w:tabs>
              <w:spacing w:after="0"/>
              <w:rPr>
                <w:rFonts w:cs="Arial"/>
                <w:sz w:val="20"/>
                <w:szCs w:val="20"/>
              </w:rPr>
            </w:pPr>
            <w:r>
              <w:rPr>
                <w:rFonts w:cs="Arial"/>
                <w:sz w:val="20"/>
                <w:szCs w:val="20"/>
              </w:rPr>
              <w:t>1,</w:t>
            </w:r>
            <w:r w:rsidR="00293AA5" w:rsidRPr="00293AA5">
              <w:rPr>
                <w:rFonts w:cs="Arial"/>
                <w:sz w:val="20"/>
                <w:szCs w:val="20"/>
              </w:rPr>
              <w:t>448</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5826AF" w:rsidP="00DD59EF">
            <w:pPr>
              <w:keepNext/>
              <w:tabs>
                <w:tab w:val="decimal" w:pos="783"/>
              </w:tabs>
              <w:spacing w:after="0"/>
              <w:rPr>
                <w:rFonts w:cs="Arial"/>
                <w:sz w:val="20"/>
                <w:szCs w:val="20"/>
              </w:rPr>
            </w:pPr>
            <w:r>
              <w:rPr>
                <w:rFonts w:cs="Arial"/>
                <w:sz w:val="20"/>
                <w:szCs w:val="20"/>
              </w:rPr>
              <w:t>2,</w:t>
            </w:r>
            <w:r w:rsidR="00293AA5" w:rsidRPr="00293AA5">
              <w:rPr>
                <w:rFonts w:cs="Arial"/>
                <w:sz w:val="20"/>
                <w:szCs w:val="20"/>
              </w:rPr>
              <w:t>249</w:t>
            </w: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5826AF" w:rsidP="00DD59EF">
            <w:pPr>
              <w:keepNext/>
              <w:tabs>
                <w:tab w:val="decimal" w:pos="824"/>
              </w:tabs>
              <w:spacing w:after="0"/>
              <w:rPr>
                <w:rFonts w:cs="Arial"/>
                <w:b/>
                <w:sz w:val="20"/>
                <w:szCs w:val="20"/>
              </w:rPr>
            </w:pPr>
            <w:r>
              <w:rPr>
                <w:rFonts w:cs="Arial"/>
                <w:b/>
                <w:sz w:val="20"/>
                <w:szCs w:val="20"/>
              </w:rPr>
              <w:t>3,</w:t>
            </w:r>
            <w:r w:rsidR="00293AA5" w:rsidRPr="005826AF">
              <w:rPr>
                <w:rFonts w:cs="Arial"/>
                <w:b/>
                <w:sz w:val="20"/>
                <w:szCs w:val="20"/>
              </w:rPr>
              <w:t>697</w:t>
            </w:r>
          </w:p>
        </w:tc>
      </w:tr>
      <w:tr w:rsidR="00293AA5" w:rsidRPr="00293AA5" w:rsidTr="009630B6">
        <w:trPr>
          <w:cantSplit/>
        </w:trPr>
        <w:tc>
          <w:tcPr>
            <w:tcW w:w="5058" w:type="dxa"/>
            <w:tcBorders>
              <w:top w:val="nil"/>
              <w:left w:val="single" w:sz="4" w:space="0" w:color="auto"/>
              <w:bottom w:val="single" w:sz="4" w:space="0" w:color="auto"/>
              <w:right w:val="single" w:sz="4" w:space="0" w:color="auto"/>
            </w:tcBorders>
            <w:shd w:val="clear" w:color="auto" w:fill="auto"/>
            <w:noWrap/>
            <w:vAlign w:val="center"/>
            <w:hideMark/>
          </w:tcPr>
          <w:p w:rsidR="00293AA5" w:rsidRPr="00991ACB" w:rsidRDefault="00293AA5" w:rsidP="00AD2C69">
            <w:pPr>
              <w:pStyle w:val="ListParagraph"/>
              <w:keepNext/>
              <w:numPr>
                <w:ilvl w:val="0"/>
                <w:numId w:val="9"/>
              </w:numPr>
              <w:spacing w:after="0"/>
              <w:rPr>
                <w:rFonts w:cs="Arial"/>
                <w:sz w:val="20"/>
                <w:szCs w:val="20"/>
              </w:rPr>
            </w:pPr>
            <w:r w:rsidRPr="0013716F">
              <w:rPr>
                <w:rFonts w:cs="Arial"/>
                <w:sz w:val="20"/>
                <w:szCs w:val="20"/>
              </w:rPr>
              <w:t xml:space="preserve">Delivery </w:t>
            </w:r>
            <w:r w:rsidR="00453CDD" w:rsidRPr="0013716F">
              <w:rPr>
                <w:rFonts w:cs="Arial"/>
                <w:sz w:val="20"/>
                <w:szCs w:val="20"/>
              </w:rPr>
              <w:t>costs</w:t>
            </w: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AD2C69">
            <w:pPr>
              <w:keepNext/>
              <w:tabs>
                <w:tab w:val="decimal" w:pos="882"/>
              </w:tabs>
              <w:spacing w:after="0"/>
              <w:rPr>
                <w:rFonts w:cs="Arial"/>
                <w:sz w:val="20"/>
                <w:szCs w:val="20"/>
              </w:rPr>
            </w:pPr>
          </w:p>
        </w:tc>
        <w:tc>
          <w:tcPr>
            <w:tcW w:w="1310" w:type="dxa"/>
            <w:tcBorders>
              <w:top w:val="nil"/>
              <w:left w:val="nil"/>
              <w:bottom w:val="single" w:sz="4" w:space="0" w:color="auto"/>
              <w:right w:val="single" w:sz="4" w:space="0" w:color="auto"/>
            </w:tcBorders>
            <w:shd w:val="clear" w:color="auto" w:fill="auto"/>
            <w:hideMark/>
          </w:tcPr>
          <w:p w:rsidR="00293AA5" w:rsidRPr="00293AA5" w:rsidRDefault="00293AA5" w:rsidP="00AD2C69">
            <w:pPr>
              <w:keepNext/>
              <w:tabs>
                <w:tab w:val="decimal" w:pos="833"/>
              </w:tabs>
              <w:spacing w:after="0"/>
              <w:rPr>
                <w:rFonts w:cs="Arial"/>
                <w:sz w:val="20"/>
                <w:szCs w:val="20"/>
              </w:rPr>
            </w:pPr>
          </w:p>
        </w:tc>
        <w:tc>
          <w:tcPr>
            <w:tcW w:w="1309" w:type="dxa"/>
            <w:tcBorders>
              <w:top w:val="nil"/>
              <w:left w:val="nil"/>
              <w:bottom w:val="single" w:sz="4" w:space="0" w:color="auto"/>
              <w:right w:val="single" w:sz="4" w:space="0" w:color="auto"/>
            </w:tcBorders>
            <w:shd w:val="clear" w:color="auto" w:fill="auto"/>
            <w:hideMark/>
          </w:tcPr>
          <w:p w:rsidR="00293AA5" w:rsidRPr="00293AA5" w:rsidRDefault="00293AA5" w:rsidP="00AD2C69">
            <w:pPr>
              <w:keepNext/>
              <w:tabs>
                <w:tab w:val="decimal" w:pos="783"/>
              </w:tabs>
              <w:spacing w:after="0"/>
              <w:rPr>
                <w:rFonts w:cs="Arial"/>
                <w:sz w:val="20"/>
                <w:szCs w:val="20"/>
              </w:rPr>
            </w:pPr>
          </w:p>
        </w:tc>
        <w:tc>
          <w:tcPr>
            <w:tcW w:w="1310" w:type="dxa"/>
            <w:tcBorders>
              <w:top w:val="nil"/>
              <w:left w:val="nil"/>
              <w:bottom w:val="single" w:sz="4" w:space="0" w:color="auto"/>
              <w:right w:val="single" w:sz="4" w:space="0" w:color="auto"/>
            </w:tcBorders>
            <w:shd w:val="clear" w:color="000000" w:fill="B8CCE4"/>
            <w:hideMark/>
          </w:tcPr>
          <w:p w:rsidR="00293AA5" w:rsidRPr="005826AF" w:rsidRDefault="00293AA5" w:rsidP="00AD2C69">
            <w:pPr>
              <w:keepNext/>
              <w:tabs>
                <w:tab w:val="decimal" w:pos="824"/>
              </w:tabs>
              <w:spacing w:after="0"/>
              <w:rPr>
                <w:rFonts w:cs="Arial"/>
                <w:b/>
                <w:sz w:val="20"/>
                <w:szCs w:val="20"/>
              </w:rPr>
            </w:pPr>
            <w:r w:rsidRPr="005826AF">
              <w:rPr>
                <w:rFonts w:cs="Arial"/>
                <w:b/>
                <w:sz w:val="20"/>
                <w:szCs w:val="20"/>
              </w:rPr>
              <w:t>$10.55</w:t>
            </w:r>
          </w:p>
        </w:tc>
      </w:tr>
      <w:tr w:rsidR="00674E1C" w:rsidRPr="00293AA5" w:rsidTr="004864EF">
        <w:trPr>
          <w:cantSplit/>
        </w:trPr>
        <w:tc>
          <w:tcPr>
            <w:tcW w:w="5058" w:type="dxa"/>
            <w:tcBorders>
              <w:top w:val="nil"/>
              <w:left w:val="single" w:sz="4" w:space="0" w:color="auto"/>
              <w:bottom w:val="single" w:sz="4" w:space="0" w:color="auto"/>
              <w:right w:val="single" w:sz="4" w:space="0" w:color="auto"/>
            </w:tcBorders>
            <w:shd w:val="clear" w:color="000000" w:fill="B8CCE4"/>
            <w:vAlign w:val="center"/>
            <w:hideMark/>
          </w:tcPr>
          <w:p w:rsidR="00674E1C" w:rsidRPr="00293AA5" w:rsidRDefault="00674E1C" w:rsidP="00674E1C">
            <w:pPr>
              <w:spacing w:after="0"/>
              <w:jc w:val="right"/>
              <w:rPr>
                <w:rFonts w:cs="Arial"/>
                <w:b/>
                <w:bCs/>
                <w:sz w:val="20"/>
                <w:szCs w:val="20"/>
              </w:rPr>
            </w:pPr>
            <w:r w:rsidRPr="00293AA5">
              <w:rPr>
                <w:rFonts w:cs="Arial"/>
                <w:b/>
                <w:bCs/>
                <w:sz w:val="20"/>
                <w:szCs w:val="20"/>
              </w:rPr>
              <w:t>Total Cost:</w:t>
            </w:r>
          </w:p>
        </w:tc>
        <w:tc>
          <w:tcPr>
            <w:tcW w:w="1309" w:type="dxa"/>
            <w:tcBorders>
              <w:top w:val="nil"/>
              <w:left w:val="nil"/>
              <w:bottom w:val="single" w:sz="4" w:space="0" w:color="auto"/>
              <w:right w:val="single" w:sz="4" w:space="0" w:color="auto"/>
            </w:tcBorders>
            <w:shd w:val="clear" w:color="000000" w:fill="B8CCE4"/>
            <w:hideMark/>
          </w:tcPr>
          <w:p w:rsidR="00674E1C" w:rsidRPr="00674E1C" w:rsidRDefault="00386B78" w:rsidP="00386B78">
            <w:pPr>
              <w:tabs>
                <w:tab w:val="decimal" w:pos="882"/>
              </w:tabs>
              <w:spacing w:after="0"/>
              <w:rPr>
                <w:rFonts w:cs="Arial"/>
                <w:b/>
                <w:sz w:val="20"/>
                <w:szCs w:val="20"/>
              </w:rPr>
            </w:pPr>
            <w:r w:rsidRPr="00386B78">
              <w:rPr>
                <w:rFonts w:cs="Arial"/>
                <w:b/>
                <w:sz w:val="20"/>
                <w:szCs w:val="20"/>
              </w:rPr>
              <w:t>$77,074</w:t>
            </w:r>
          </w:p>
        </w:tc>
        <w:tc>
          <w:tcPr>
            <w:tcW w:w="1310" w:type="dxa"/>
            <w:tcBorders>
              <w:top w:val="nil"/>
              <w:left w:val="nil"/>
              <w:bottom w:val="single" w:sz="4" w:space="0" w:color="auto"/>
              <w:right w:val="single" w:sz="4" w:space="0" w:color="auto"/>
            </w:tcBorders>
            <w:shd w:val="clear" w:color="000000" w:fill="B8CCE4"/>
            <w:hideMark/>
          </w:tcPr>
          <w:p w:rsidR="00674E1C" w:rsidRPr="00674E1C" w:rsidRDefault="00386B78" w:rsidP="00D04B2A">
            <w:pPr>
              <w:tabs>
                <w:tab w:val="decimal" w:pos="833"/>
              </w:tabs>
              <w:spacing w:after="0"/>
              <w:rPr>
                <w:rFonts w:cs="Arial"/>
                <w:b/>
                <w:sz w:val="20"/>
                <w:szCs w:val="20"/>
              </w:rPr>
            </w:pPr>
            <w:r w:rsidRPr="00386B78">
              <w:rPr>
                <w:rFonts w:cs="Arial"/>
                <w:b/>
                <w:sz w:val="20"/>
                <w:szCs w:val="20"/>
              </w:rPr>
              <w:t>$207,181</w:t>
            </w:r>
          </w:p>
        </w:tc>
        <w:tc>
          <w:tcPr>
            <w:tcW w:w="1309" w:type="dxa"/>
            <w:tcBorders>
              <w:top w:val="nil"/>
              <w:left w:val="nil"/>
              <w:bottom w:val="single" w:sz="4" w:space="0" w:color="auto"/>
              <w:right w:val="single" w:sz="4" w:space="0" w:color="auto"/>
            </w:tcBorders>
            <w:shd w:val="clear" w:color="000000" w:fill="B8CCE4"/>
            <w:hideMark/>
          </w:tcPr>
          <w:p w:rsidR="00674E1C" w:rsidRPr="00674E1C" w:rsidRDefault="00386B78" w:rsidP="006857B9">
            <w:pPr>
              <w:tabs>
                <w:tab w:val="decimal" w:pos="783"/>
              </w:tabs>
              <w:spacing w:after="0"/>
              <w:rPr>
                <w:rFonts w:cs="Arial"/>
                <w:b/>
                <w:sz w:val="20"/>
                <w:szCs w:val="20"/>
              </w:rPr>
            </w:pPr>
            <w:r w:rsidRPr="00386B78">
              <w:rPr>
                <w:rFonts w:cs="Arial"/>
                <w:b/>
                <w:sz w:val="20"/>
                <w:szCs w:val="20"/>
              </w:rPr>
              <w:t>$41,132</w:t>
            </w:r>
          </w:p>
        </w:tc>
        <w:tc>
          <w:tcPr>
            <w:tcW w:w="1310" w:type="dxa"/>
            <w:tcBorders>
              <w:top w:val="nil"/>
              <w:left w:val="nil"/>
              <w:bottom w:val="single" w:sz="4" w:space="0" w:color="auto"/>
              <w:right w:val="single" w:sz="4" w:space="0" w:color="auto"/>
            </w:tcBorders>
            <w:shd w:val="clear" w:color="000000" w:fill="B8CCE4"/>
            <w:hideMark/>
          </w:tcPr>
          <w:p w:rsidR="00674E1C" w:rsidRPr="005826AF" w:rsidRDefault="00386B78" w:rsidP="006857B9">
            <w:pPr>
              <w:tabs>
                <w:tab w:val="decimal" w:pos="824"/>
              </w:tabs>
              <w:spacing w:after="0"/>
              <w:rPr>
                <w:rFonts w:cs="Arial"/>
                <w:b/>
                <w:sz w:val="20"/>
                <w:szCs w:val="20"/>
              </w:rPr>
            </w:pPr>
            <w:r w:rsidRPr="00386B78">
              <w:rPr>
                <w:rFonts w:cs="Arial"/>
                <w:b/>
                <w:sz w:val="20"/>
                <w:szCs w:val="20"/>
              </w:rPr>
              <w:t>$325,398</w:t>
            </w:r>
          </w:p>
        </w:tc>
      </w:tr>
      <w:tr w:rsidR="0013716F" w:rsidRPr="005826AF" w:rsidTr="004864EF">
        <w:trPr>
          <w:cantSplit/>
        </w:trPr>
        <w:tc>
          <w:tcPr>
            <w:tcW w:w="10296" w:type="dxa"/>
            <w:gridSpan w:val="5"/>
            <w:tcBorders>
              <w:top w:val="single" w:sz="4" w:space="0" w:color="auto"/>
              <w:bottom w:val="nil"/>
            </w:tcBorders>
            <w:shd w:val="clear" w:color="auto" w:fill="auto"/>
            <w:vAlign w:val="center"/>
            <w:hideMark/>
          </w:tcPr>
          <w:p w:rsidR="0013716F" w:rsidRPr="005826AF" w:rsidRDefault="0013716F" w:rsidP="00EB15D8">
            <w:pPr>
              <w:spacing w:after="0"/>
              <w:rPr>
                <w:rFonts w:cs="Arial"/>
                <w:sz w:val="18"/>
                <w:szCs w:val="20"/>
              </w:rPr>
            </w:pPr>
            <w:r w:rsidRPr="005826AF">
              <w:rPr>
                <w:rFonts w:cs="Arial"/>
                <w:sz w:val="18"/>
                <w:szCs w:val="20"/>
              </w:rPr>
              <w:t>(a) Activities described in more detail in section 4(b) of this ICR, which are disaggregated based on labor category.</w:t>
            </w:r>
          </w:p>
        </w:tc>
      </w:tr>
      <w:tr w:rsidR="0013716F" w:rsidRPr="005826AF" w:rsidTr="004864EF">
        <w:trPr>
          <w:cantSplit/>
        </w:trPr>
        <w:tc>
          <w:tcPr>
            <w:tcW w:w="10296" w:type="dxa"/>
            <w:gridSpan w:val="5"/>
            <w:tcBorders>
              <w:top w:val="nil"/>
              <w:bottom w:val="nil"/>
            </w:tcBorders>
            <w:shd w:val="clear" w:color="auto" w:fill="auto"/>
            <w:noWrap/>
            <w:vAlign w:val="center"/>
            <w:hideMark/>
          </w:tcPr>
          <w:p w:rsidR="0013716F" w:rsidRPr="005826AF" w:rsidRDefault="0013716F" w:rsidP="00EB15D8">
            <w:pPr>
              <w:spacing w:after="0"/>
              <w:rPr>
                <w:rFonts w:cs="Arial"/>
                <w:sz w:val="18"/>
                <w:szCs w:val="20"/>
              </w:rPr>
            </w:pPr>
            <w:r w:rsidRPr="005826AF">
              <w:rPr>
                <w:rFonts w:cs="Arial"/>
                <w:sz w:val="18"/>
                <w:szCs w:val="20"/>
              </w:rPr>
              <w:t>(b) This estimate includes an estimated burden to provide any additional burden requested for an option.</w:t>
            </w:r>
          </w:p>
        </w:tc>
      </w:tr>
      <w:tr w:rsidR="0013716F" w:rsidRPr="005826AF" w:rsidTr="004864EF">
        <w:trPr>
          <w:cantSplit/>
        </w:trPr>
        <w:tc>
          <w:tcPr>
            <w:tcW w:w="10296" w:type="dxa"/>
            <w:gridSpan w:val="5"/>
            <w:tcBorders>
              <w:top w:val="nil"/>
              <w:bottom w:val="nil"/>
            </w:tcBorders>
            <w:shd w:val="clear" w:color="auto" w:fill="auto"/>
            <w:noWrap/>
            <w:vAlign w:val="center"/>
            <w:hideMark/>
          </w:tcPr>
          <w:p w:rsidR="0013716F" w:rsidRPr="005826AF" w:rsidRDefault="0013716F" w:rsidP="00386B78">
            <w:pPr>
              <w:spacing w:after="0"/>
              <w:rPr>
                <w:rFonts w:cs="Arial"/>
                <w:sz w:val="18"/>
                <w:szCs w:val="20"/>
              </w:rPr>
            </w:pPr>
            <w:r w:rsidRPr="005826AF">
              <w:rPr>
                <w:rFonts w:cs="Arial"/>
                <w:sz w:val="18"/>
                <w:szCs w:val="20"/>
              </w:rPr>
              <w:t>(c) Hours required for OSRI Submission from CLA/EPF Report</w:t>
            </w:r>
            <w:r w:rsidR="00D94A90" w:rsidRPr="005826AF">
              <w:rPr>
                <w:rFonts w:cs="Arial"/>
                <w:sz w:val="18"/>
                <w:szCs w:val="20"/>
              </w:rPr>
              <w:t xml:space="preserve"> (Ref</w:t>
            </w:r>
            <w:r w:rsidR="00386B78" w:rsidRPr="005826AF">
              <w:rPr>
                <w:rFonts w:cs="Arial"/>
                <w:sz w:val="18"/>
                <w:szCs w:val="20"/>
              </w:rPr>
              <w:t>erence</w:t>
            </w:r>
            <w:r w:rsidR="00D94A90" w:rsidRPr="005826AF">
              <w:rPr>
                <w:rFonts w:cs="Arial"/>
                <w:sz w:val="18"/>
                <w:szCs w:val="20"/>
              </w:rPr>
              <w:t xml:space="preserve"> 9).</w:t>
            </w:r>
          </w:p>
        </w:tc>
      </w:tr>
      <w:tr w:rsidR="0013716F" w:rsidRPr="005826AF" w:rsidTr="004864EF">
        <w:trPr>
          <w:cantSplit/>
        </w:trPr>
        <w:tc>
          <w:tcPr>
            <w:tcW w:w="10296" w:type="dxa"/>
            <w:gridSpan w:val="5"/>
            <w:tcBorders>
              <w:top w:val="nil"/>
            </w:tcBorders>
            <w:shd w:val="clear" w:color="auto" w:fill="auto"/>
            <w:vAlign w:val="center"/>
            <w:hideMark/>
          </w:tcPr>
          <w:p w:rsidR="0013716F" w:rsidRPr="005826AF" w:rsidRDefault="0013716F" w:rsidP="009639CD">
            <w:pPr>
              <w:spacing w:after="0"/>
              <w:rPr>
                <w:rFonts w:cs="Arial"/>
                <w:sz w:val="18"/>
                <w:szCs w:val="20"/>
              </w:rPr>
            </w:pPr>
            <w:r w:rsidRPr="005826AF">
              <w:rPr>
                <w:rFonts w:cs="Arial"/>
                <w:sz w:val="18"/>
                <w:szCs w:val="20"/>
              </w:rPr>
              <w:t>(d) Burden cost estimate is a percentage of the total test cost, which is calculated in Attachment F.</w:t>
            </w:r>
          </w:p>
        </w:tc>
      </w:tr>
    </w:tbl>
    <w:p w:rsidR="000F0DF3" w:rsidRDefault="001F435B" w:rsidP="002F2414">
      <w:pPr>
        <w:spacing w:before="240"/>
      </w:pPr>
      <w:r>
        <w:t xml:space="preserve">In addition to the burden costs, the costs of delivering the data to the </w:t>
      </w:r>
      <w:r w:rsidR="00CF1D4B">
        <w:t>agency</w:t>
      </w:r>
      <w:r>
        <w:t xml:space="preserve"> are added to arrive at the total estimated per respondent cost.</w:t>
      </w:r>
      <w:r w:rsidR="000C6CB0">
        <w:t xml:space="preserve"> </w:t>
      </w:r>
      <w:r>
        <w:t xml:space="preserve">Delivery costs were calculated using the </w:t>
      </w:r>
      <w:r w:rsidR="00CF1D4B">
        <w:t>agency'</w:t>
      </w:r>
      <w:r>
        <w:t>s experience with data submissions for pesticide deliveries, which assumes the delivery of a paper copy and a CD-Rom using special delivery.</w:t>
      </w:r>
      <w:r w:rsidR="000C6CB0">
        <w:t xml:space="preserve"> </w:t>
      </w:r>
      <w:r>
        <w:t xml:space="preserve">Although not required, nor used by everyone, the </w:t>
      </w:r>
      <w:r w:rsidR="00CF1D4B">
        <w:t>agency</w:t>
      </w:r>
      <w:r>
        <w:t xml:space="preserve"> is using special delivery for the calculation to provide a conservative estimate that would account for expected variations in delivery costs.</w:t>
      </w:r>
      <w:r w:rsidR="000C6CB0">
        <w:t xml:space="preserve"> </w:t>
      </w:r>
      <w:r>
        <w:t>Based on the 2-day delivery rate for a large envelope up to 2 lbs. in weight, the U</w:t>
      </w:r>
      <w:r w:rsidR="00DB16F5">
        <w:t>.</w:t>
      </w:r>
      <w:r>
        <w:t>S</w:t>
      </w:r>
      <w:r w:rsidR="00DB16F5">
        <w:t>.</w:t>
      </w:r>
      <w:r>
        <w:t xml:space="preserve"> Postal Service rate is $10.55 from the west coast to the east coast (</w:t>
      </w:r>
      <w:r w:rsidRPr="009639CD">
        <w:t>Ref</w:t>
      </w:r>
      <w:r w:rsidR="00386B78" w:rsidRPr="00386B78">
        <w:t>erence</w:t>
      </w:r>
      <w:r w:rsidRPr="009639CD">
        <w:t xml:space="preserve"> </w:t>
      </w:r>
      <w:r w:rsidR="00AC2756">
        <w:t>7</w:t>
      </w:r>
      <w:r>
        <w:t>).</w:t>
      </w:r>
    </w:p>
    <w:p w:rsidR="000F0DF3" w:rsidRDefault="001F435B" w:rsidP="002F2414">
      <w:pPr>
        <w:pStyle w:val="Heading3"/>
      </w:pPr>
      <w:r>
        <w:t>6(b</w:t>
      </w:r>
      <w:proofErr w:type="gramStart"/>
      <w:r>
        <w:t>)(</w:t>
      </w:r>
      <w:proofErr w:type="gramEnd"/>
      <w:r>
        <w:t>ii)</w:t>
      </w:r>
      <w:r w:rsidR="00D53E0A">
        <w:tab/>
      </w:r>
      <w:r>
        <w:t>Estimating Burden and Costs by IC Category</w:t>
      </w:r>
    </w:p>
    <w:p w:rsidR="00733994" w:rsidRDefault="001F435B" w:rsidP="00F16932">
      <w:r>
        <w:t xml:space="preserve">As discussed earlier, all respondents are not expected to engage in the same basic activities, their activities will be based on their initial response to the </w:t>
      </w:r>
      <w:r w:rsidR="00D70092">
        <w:t>order</w:t>
      </w:r>
      <w:r>
        <w:t>.</w:t>
      </w:r>
      <w:r w:rsidR="000C6CB0">
        <w:t xml:space="preserve"> </w:t>
      </w:r>
      <w:r>
        <w:t xml:space="preserve">For the purposes of this ICR renewal, the estimated burden and costs for the two respondent groups are divided into distinct </w:t>
      </w:r>
      <w:r w:rsidR="00CF1D4B">
        <w:t>"</w:t>
      </w:r>
      <w:r>
        <w:t>IC</w:t>
      </w:r>
      <w:r w:rsidR="00CF1D4B">
        <w:t>"</w:t>
      </w:r>
      <w:r>
        <w:t xml:space="preserve"> categories as presented in Table 1.</w:t>
      </w:r>
      <w:r w:rsidR="000C6CB0">
        <w:t xml:space="preserve"> </w:t>
      </w:r>
      <w:r>
        <w:t>Using the estimated number of respondents in Table 1 and the estimated per chemical burden and costs from Tables 6 and 7 for the various activities, the estimated respondent burden and costs for the different IC categories is presented in the following tables.</w:t>
      </w:r>
    </w:p>
    <w:p w:rsidR="000F0DF3" w:rsidRDefault="001F435B" w:rsidP="00123223">
      <w:pPr>
        <w:pStyle w:val="Heading4"/>
      </w:pPr>
      <w:r>
        <w:t>IC</w:t>
      </w:r>
      <w:r w:rsidR="00D16F25">
        <w:t xml:space="preserve"> </w:t>
      </w:r>
      <w:r>
        <w:t>#1</w:t>
      </w:r>
      <w:r w:rsidR="000C6CB0">
        <w:t xml:space="preserve">:  </w:t>
      </w:r>
      <w:r>
        <w:t>Order Recipients</w:t>
      </w:r>
    </w:p>
    <w:p w:rsidR="00733994" w:rsidRDefault="001F435B" w:rsidP="00F16932">
      <w:r>
        <w:t xml:space="preserve">For this IC category, the </w:t>
      </w:r>
      <w:r w:rsidR="00CF1D4B">
        <w:t>agency</w:t>
      </w:r>
      <w:r>
        <w:t xml:space="preserve"> assumed that all respondents are expected to engage in the activities identified in Table 6</w:t>
      </w:r>
      <w:r w:rsidR="00674E1C">
        <w:t xml:space="preserve"> and </w:t>
      </w:r>
      <w:r>
        <w:t>7 as activities 1-3, and 11, which are all associated with receipt of the order and submission of the required initial response.</w:t>
      </w:r>
    </w:p>
    <w:p w:rsidR="007F41D7" w:rsidRDefault="007F41D7" w:rsidP="002F2414">
      <w:pPr>
        <w:pStyle w:val="TableCaption"/>
      </w:pPr>
      <w:r w:rsidRPr="007F41D7">
        <w:lastRenderedPageBreak/>
        <w:t xml:space="preserve">Table 8 – </w:t>
      </w:r>
      <w:r w:rsidR="00A31A91">
        <w:t>IC #</w:t>
      </w:r>
      <w:r w:rsidRPr="007F41D7">
        <w:t>1</w:t>
      </w:r>
      <w:r w:rsidR="000C6CB0">
        <w:t xml:space="preserve">:  </w:t>
      </w:r>
      <w:r w:rsidRPr="007F41D7">
        <w:t>Estimated Burden</w:t>
      </w:r>
      <w:r w:rsidR="00674E1C">
        <w:t xml:space="preserve"> and </w:t>
      </w:r>
      <w:r w:rsidRPr="007F41D7">
        <w:t xml:space="preserve">Costs for </w:t>
      </w:r>
      <w:r w:rsidRPr="00DC6A9C">
        <w:rPr>
          <w:color w:val="0000FF"/>
        </w:rPr>
        <w:t>Order Recipients – Registrants of Pesticide Active Ingredients</w:t>
      </w:r>
    </w:p>
    <w:tbl>
      <w:tblPr>
        <w:tblW w:w="5000" w:type="pct"/>
        <w:tblLook w:val="04A0"/>
      </w:tblPr>
      <w:tblGrid>
        <w:gridCol w:w="3888"/>
        <w:gridCol w:w="1440"/>
        <w:gridCol w:w="1170"/>
        <w:gridCol w:w="1260"/>
        <w:gridCol w:w="1080"/>
        <w:gridCol w:w="1458"/>
      </w:tblGrid>
      <w:tr w:rsidR="007F41D7" w:rsidRPr="007F41D7" w:rsidTr="005826AF">
        <w:trPr>
          <w:cantSplit/>
        </w:trPr>
        <w:tc>
          <w:tcPr>
            <w:tcW w:w="388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7F41D7" w:rsidRPr="007F41D7" w:rsidRDefault="007F41D7" w:rsidP="00DD59EF">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Total # Responses</w:t>
            </w:r>
            <w:r w:rsidRPr="007F41D7">
              <w:rPr>
                <w:rFonts w:cs="Arial"/>
                <w:b/>
                <w:bCs/>
                <w:sz w:val="20"/>
                <w:szCs w:val="20"/>
                <w:vertAlign w:val="superscript"/>
              </w:rPr>
              <w:t>(b)</w:t>
            </w:r>
          </w:p>
        </w:tc>
        <w:tc>
          <w:tcPr>
            <w:tcW w:w="2430" w:type="dxa"/>
            <w:gridSpan w:val="2"/>
            <w:tcBorders>
              <w:top w:val="single" w:sz="4" w:space="0" w:color="auto"/>
              <w:left w:val="nil"/>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Per Response</w:t>
            </w:r>
          </w:p>
        </w:tc>
        <w:tc>
          <w:tcPr>
            <w:tcW w:w="2538" w:type="dxa"/>
            <w:gridSpan w:val="2"/>
            <w:tcBorders>
              <w:top w:val="single" w:sz="4" w:space="0" w:color="auto"/>
              <w:left w:val="nil"/>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Total</w:t>
            </w:r>
          </w:p>
        </w:tc>
      </w:tr>
      <w:tr w:rsidR="007F41D7" w:rsidRPr="007F41D7" w:rsidTr="005826AF">
        <w:trPr>
          <w:cantSplit/>
          <w:trHeight w:val="230"/>
        </w:trPr>
        <w:tc>
          <w:tcPr>
            <w:tcW w:w="3888" w:type="dxa"/>
            <w:vMerge/>
            <w:tcBorders>
              <w:top w:val="single" w:sz="4" w:space="0" w:color="auto"/>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170" w:type="dxa"/>
            <w:vMerge w:val="restart"/>
            <w:tcBorders>
              <w:top w:val="nil"/>
              <w:left w:val="single" w:sz="4" w:space="0" w:color="auto"/>
              <w:bottom w:val="single" w:sz="4" w:space="0" w:color="000000"/>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260" w:type="dxa"/>
            <w:vMerge w:val="restart"/>
            <w:tcBorders>
              <w:top w:val="nil"/>
              <w:left w:val="single" w:sz="4" w:space="0" w:color="auto"/>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1080" w:type="dxa"/>
            <w:vMerge w:val="restart"/>
            <w:tcBorders>
              <w:top w:val="nil"/>
              <w:left w:val="single" w:sz="4" w:space="0" w:color="auto"/>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458" w:type="dxa"/>
            <w:vMerge w:val="restart"/>
            <w:tcBorders>
              <w:top w:val="nil"/>
              <w:left w:val="single" w:sz="4" w:space="0" w:color="auto"/>
              <w:bottom w:val="single" w:sz="4" w:space="0" w:color="auto"/>
              <w:right w:val="single" w:sz="4" w:space="0" w:color="auto"/>
            </w:tcBorders>
            <w:shd w:val="clear" w:color="000000" w:fill="B8CCE4"/>
            <w:vAlign w:val="bottom"/>
            <w:hideMark/>
          </w:tcPr>
          <w:p w:rsidR="007F41D7" w:rsidRPr="007F41D7" w:rsidRDefault="007F41D7" w:rsidP="00DD59EF">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7F41D7" w:rsidRPr="007F41D7" w:rsidTr="005826AF">
        <w:trPr>
          <w:cantSplit/>
          <w:trHeight w:val="230"/>
        </w:trPr>
        <w:tc>
          <w:tcPr>
            <w:tcW w:w="3888" w:type="dxa"/>
            <w:vMerge/>
            <w:tcBorders>
              <w:top w:val="single" w:sz="4" w:space="0" w:color="auto"/>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170" w:type="dxa"/>
            <w:vMerge/>
            <w:tcBorders>
              <w:top w:val="nil"/>
              <w:left w:val="single" w:sz="4" w:space="0" w:color="auto"/>
              <w:bottom w:val="single" w:sz="4" w:space="0" w:color="000000"/>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c>
          <w:tcPr>
            <w:tcW w:w="1458" w:type="dxa"/>
            <w:vMerge/>
            <w:tcBorders>
              <w:top w:val="nil"/>
              <w:left w:val="single" w:sz="4" w:space="0" w:color="auto"/>
              <w:bottom w:val="single" w:sz="4" w:space="0" w:color="auto"/>
              <w:right w:val="single" w:sz="4" w:space="0" w:color="auto"/>
            </w:tcBorders>
            <w:vAlign w:val="center"/>
            <w:hideMark/>
          </w:tcPr>
          <w:p w:rsidR="007F41D7" w:rsidRPr="007F41D7" w:rsidRDefault="007F41D7" w:rsidP="00DD59EF">
            <w:pPr>
              <w:keepNext/>
              <w:spacing w:after="0"/>
              <w:rPr>
                <w:rFonts w:cs="Arial"/>
                <w:b/>
                <w:bCs/>
                <w:sz w:val="20"/>
                <w:szCs w:val="20"/>
              </w:rPr>
            </w:pPr>
          </w:p>
        </w:tc>
      </w:tr>
      <w:tr w:rsidR="00674E1C" w:rsidRPr="007F41D7" w:rsidTr="008310C3">
        <w:trPr>
          <w:cantSplit/>
        </w:trPr>
        <w:tc>
          <w:tcPr>
            <w:tcW w:w="3888"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DD59EF">
            <w:pPr>
              <w:pStyle w:val="ListParagraph"/>
              <w:keepNext/>
              <w:numPr>
                <w:ilvl w:val="0"/>
                <w:numId w:val="10"/>
              </w:numPr>
              <w:spacing w:after="0"/>
              <w:rPr>
                <w:rFonts w:cs="Arial"/>
                <w:sz w:val="20"/>
                <w:szCs w:val="20"/>
              </w:rPr>
            </w:pPr>
            <w:r w:rsidRPr="00991ACB">
              <w:rPr>
                <w:rFonts w:cs="Arial"/>
                <w:sz w:val="20"/>
                <w:szCs w:val="20"/>
              </w:rPr>
              <w:t>Read instructions</w:t>
            </w:r>
          </w:p>
        </w:tc>
        <w:tc>
          <w:tcPr>
            <w:tcW w:w="1440" w:type="dxa"/>
            <w:vMerge w:val="restart"/>
            <w:tcBorders>
              <w:top w:val="nil"/>
              <w:left w:val="nil"/>
              <w:right w:val="single" w:sz="4" w:space="0" w:color="auto"/>
            </w:tcBorders>
            <w:shd w:val="clear" w:color="auto" w:fill="auto"/>
            <w:vAlign w:val="center"/>
            <w:hideMark/>
          </w:tcPr>
          <w:p w:rsidR="00674E1C" w:rsidRPr="007F41D7" w:rsidRDefault="00674E1C" w:rsidP="00DD59EF">
            <w:pPr>
              <w:keepNext/>
              <w:tabs>
                <w:tab w:val="decimal" w:pos="683"/>
              </w:tabs>
              <w:spacing w:after="0"/>
              <w:rPr>
                <w:rFonts w:cs="Arial"/>
                <w:sz w:val="20"/>
                <w:szCs w:val="20"/>
              </w:rPr>
            </w:pPr>
            <w:r w:rsidRPr="007F41D7">
              <w:rPr>
                <w:rFonts w:cs="Arial"/>
                <w:sz w:val="20"/>
                <w:szCs w:val="20"/>
              </w:rPr>
              <w:t>45</w:t>
            </w:r>
          </w:p>
        </w:tc>
        <w:tc>
          <w:tcPr>
            <w:tcW w:w="117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598"/>
              </w:tabs>
              <w:spacing w:after="0"/>
              <w:rPr>
                <w:rFonts w:cs="Arial"/>
                <w:sz w:val="20"/>
                <w:szCs w:val="20"/>
              </w:rPr>
            </w:pPr>
            <w:r w:rsidRPr="007F41D7">
              <w:rPr>
                <w:rFonts w:cs="Arial"/>
                <w:sz w:val="20"/>
                <w:szCs w:val="20"/>
              </w:rPr>
              <w:t>24</w:t>
            </w:r>
          </w:p>
        </w:tc>
        <w:tc>
          <w:tcPr>
            <w:tcW w:w="126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821"/>
              </w:tabs>
              <w:spacing w:after="0"/>
              <w:rPr>
                <w:rFonts w:cs="Arial"/>
                <w:sz w:val="20"/>
                <w:szCs w:val="20"/>
              </w:rPr>
            </w:pPr>
            <w:r w:rsidRPr="007F41D7">
              <w:rPr>
                <w:rFonts w:cs="Arial"/>
                <w:sz w:val="20"/>
                <w:szCs w:val="20"/>
              </w:rPr>
              <w:t>$</w:t>
            </w:r>
            <w:r w:rsidR="005826AF">
              <w:rPr>
                <w:rFonts w:cs="Arial"/>
                <w:bCs/>
                <w:sz w:val="20"/>
                <w:szCs w:val="20"/>
              </w:rPr>
              <w:t>2,</w:t>
            </w:r>
            <w:r w:rsidRPr="00A8797F">
              <w:rPr>
                <w:rFonts w:cs="Arial"/>
                <w:bCs/>
                <w:sz w:val="20"/>
                <w:szCs w:val="20"/>
              </w:rPr>
              <w:t>192</w:t>
            </w:r>
          </w:p>
        </w:tc>
        <w:tc>
          <w:tcPr>
            <w:tcW w:w="1080"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700"/>
              </w:tabs>
              <w:spacing w:after="0"/>
              <w:rPr>
                <w:rFonts w:cs="Arial"/>
                <w:sz w:val="20"/>
                <w:szCs w:val="20"/>
              </w:rPr>
            </w:pPr>
            <w:r w:rsidRPr="007F41D7">
              <w:rPr>
                <w:rFonts w:cs="Arial"/>
                <w:sz w:val="20"/>
                <w:szCs w:val="20"/>
              </w:rPr>
              <w:t>1,080</w:t>
            </w:r>
          </w:p>
        </w:tc>
        <w:tc>
          <w:tcPr>
            <w:tcW w:w="1458"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965"/>
              </w:tabs>
              <w:spacing w:after="0"/>
              <w:rPr>
                <w:rFonts w:cs="Arial"/>
                <w:sz w:val="20"/>
                <w:szCs w:val="20"/>
              </w:rPr>
            </w:pPr>
            <w:r w:rsidRPr="007F41D7">
              <w:rPr>
                <w:rFonts w:cs="Arial"/>
                <w:sz w:val="20"/>
                <w:szCs w:val="20"/>
              </w:rPr>
              <w:t>$</w:t>
            </w:r>
            <w:r w:rsidRPr="00A8797F">
              <w:rPr>
                <w:rFonts w:cs="Arial"/>
                <w:bCs/>
                <w:sz w:val="20"/>
                <w:szCs w:val="20"/>
              </w:rPr>
              <w:t>98,640</w:t>
            </w:r>
          </w:p>
        </w:tc>
      </w:tr>
      <w:tr w:rsidR="00674E1C" w:rsidRPr="007F41D7" w:rsidTr="005826AF">
        <w:trPr>
          <w:cantSplit/>
        </w:trPr>
        <w:tc>
          <w:tcPr>
            <w:tcW w:w="3888"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DD59EF">
            <w:pPr>
              <w:pStyle w:val="ListParagraph"/>
              <w:keepNext/>
              <w:numPr>
                <w:ilvl w:val="0"/>
                <w:numId w:val="10"/>
              </w:numPr>
              <w:spacing w:after="0"/>
              <w:rPr>
                <w:rFonts w:cs="Arial"/>
                <w:sz w:val="20"/>
                <w:szCs w:val="20"/>
              </w:rPr>
            </w:pPr>
            <w:r w:rsidRPr="00991ACB">
              <w:rPr>
                <w:rFonts w:cs="Arial"/>
                <w:sz w:val="20"/>
                <w:szCs w:val="20"/>
              </w:rPr>
              <w:t>Plan activities</w:t>
            </w:r>
          </w:p>
        </w:tc>
        <w:tc>
          <w:tcPr>
            <w:tcW w:w="1440" w:type="dxa"/>
            <w:vMerge/>
            <w:tcBorders>
              <w:left w:val="nil"/>
              <w:right w:val="single" w:sz="4" w:space="0" w:color="auto"/>
            </w:tcBorders>
            <w:shd w:val="clear" w:color="auto" w:fill="auto"/>
            <w:hideMark/>
          </w:tcPr>
          <w:p w:rsidR="00674E1C" w:rsidRPr="007F41D7" w:rsidRDefault="00674E1C" w:rsidP="00DD59EF">
            <w:pPr>
              <w:keepNext/>
              <w:tabs>
                <w:tab w:val="decimal" w:pos="683"/>
              </w:tabs>
              <w:spacing w:after="0"/>
              <w:rPr>
                <w:rFonts w:cs="Arial"/>
                <w:sz w:val="20"/>
                <w:szCs w:val="20"/>
              </w:rPr>
            </w:pPr>
          </w:p>
        </w:tc>
        <w:tc>
          <w:tcPr>
            <w:tcW w:w="117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598"/>
              </w:tabs>
              <w:spacing w:after="0"/>
              <w:rPr>
                <w:rFonts w:cs="Arial"/>
                <w:sz w:val="20"/>
                <w:szCs w:val="20"/>
              </w:rPr>
            </w:pPr>
            <w:r w:rsidRPr="007F41D7">
              <w:rPr>
                <w:rFonts w:cs="Arial"/>
                <w:sz w:val="20"/>
                <w:szCs w:val="20"/>
              </w:rPr>
              <w:t>90</w:t>
            </w:r>
          </w:p>
        </w:tc>
        <w:tc>
          <w:tcPr>
            <w:tcW w:w="126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821"/>
              </w:tabs>
              <w:spacing w:after="0"/>
              <w:rPr>
                <w:rFonts w:cs="Arial"/>
                <w:sz w:val="20"/>
                <w:szCs w:val="20"/>
              </w:rPr>
            </w:pPr>
            <w:r w:rsidRPr="00A8797F">
              <w:rPr>
                <w:rFonts w:cs="Arial"/>
                <w:bCs/>
                <w:sz w:val="20"/>
                <w:szCs w:val="20"/>
              </w:rPr>
              <w:t>8,407</w:t>
            </w:r>
          </w:p>
        </w:tc>
        <w:tc>
          <w:tcPr>
            <w:tcW w:w="1080"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700"/>
              </w:tabs>
              <w:spacing w:after="0"/>
              <w:rPr>
                <w:rFonts w:cs="Arial"/>
                <w:sz w:val="20"/>
                <w:szCs w:val="20"/>
              </w:rPr>
            </w:pPr>
            <w:r w:rsidRPr="007F41D7">
              <w:rPr>
                <w:rFonts w:cs="Arial"/>
                <w:sz w:val="20"/>
                <w:szCs w:val="20"/>
              </w:rPr>
              <w:t>4,050</w:t>
            </w:r>
          </w:p>
        </w:tc>
        <w:tc>
          <w:tcPr>
            <w:tcW w:w="1458"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965"/>
              </w:tabs>
              <w:spacing w:after="0"/>
              <w:rPr>
                <w:rFonts w:cs="Arial"/>
                <w:sz w:val="20"/>
                <w:szCs w:val="20"/>
              </w:rPr>
            </w:pPr>
            <w:r w:rsidRPr="00A8797F">
              <w:rPr>
                <w:rFonts w:cs="Arial"/>
                <w:bCs/>
                <w:sz w:val="20"/>
                <w:szCs w:val="20"/>
              </w:rPr>
              <w:t>378,315</w:t>
            </w:r>
          </w:p>
        </w:tc>
      </w:tr>
      <w:tr w:rsidR="00674E1C" w:rsidRPr="007F41D7" w:rsidTr="005826AF">
        <w:trPr>
          <w:cantSplit/>
        </w:trPr>
        <w:tc>
          <w:tcPr>
            <w:tcW w:w="3888"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DD59EF">
            <w:pPr>
              <w:pStyle w:val="ListParagraph"/>
              <w:keepNext/>
              <w:numPr>
                <w:ilvl w:val="0"/>
                <w:numId w:val="10"/>
              </w:numPr>
              <w:spacing w:after="0"/>
              <w:rPr>
                <w:rFonts w:cs="Arial"/>
                <w:sz w:val="20"/>
                <w:szCs w:val="20"/>
              </w:rPr>
            </w:pPr>
            <w:r w:rsidRPr="00991ACB">
              <w:rPr>
                <w:rFonts w:cs="Arial"/>
                <w:sz w:val="20"/>
                <w:szCs w:val="20"/>
              </w:rPr>
              <w:t xml:space="preserve">Submit an initial response to </w:t>
            </w:r>
            <w:r>
              <w:rPr>
                <w:rFonts w:cs="Arial"/>
                <w:sz w:val="20"/>
                <w:szCs w:val="20"/>
              </w:rPr>
              <w:t>the EPA</w:t>
            </w:r>
          </w:p>
        </w:tc>
        <w:tc>
          <w:tcPr>
            <w:tcW w:w="1440" w:type="dxa"/>
            <w:vMerge/>
            <w:tcBorders>
              <w:left w:val="nil"/>
              <w:right w:val="single" w:sz="4" w:space="0" w:color="auto"/>
            </w:tcBorders>
            <w:shd w:val="clear" w:color="auto" w:fill="auto"/>
            <w:hideMark/>
          </w:tcPr>
          <w:p w:rsidR="00674E1C" w:rsidRPr="007F41D7" w:rsidRDefault="00674E1C" w:rsidP="00DD59EF">
            <w:pPr>
              <w:keepNext/>
              <w:tabs>
                <w:tab w:val="decimal" w:pos="683"/>
              </w:tabs>
              <w:spacing w:after="0"/>
              <w:rPr>
                <w:rFonts w:cs="Arial"/>
                <w:sz w:val="20"/>
                <w:szCs w:val="20"/>
              </w:rPr>
            </w:pPr>
          </w:p>
        </w:tc>
        <w:tc>
          <w:tcPr>
            <w:tcW w:w="117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598"/>
              </w:tabs>
              <w:spacing w:after="0"/>
              <w:rPr>
                <w:rFonts w:cs="Arial"/>
                <w:sz w:val="20"/>
                <w:szCs w:val="20"/>
              </w:rPr>
            </w:pPr>
            <w:r w:rsidRPr="007F41D7">
              <w:rPr>
                <w:rFonts w:cs="Arial"/>
                <w:sz w:val="20"/>
                <w:szCs w:val="20"/>
              </w:rPr>
              <w:t>47</w:t>
            </w:r>
          </w:p>
        </w:tc>
        <w:tc>
          <w:tcPr>
            <w:tcW w:w="126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821"/>
              </w:tabs>
              <w:spacing w:after="0"/>
              <w:rPr>
                <w:rFonts w:cs="Arial"/>
                <w:sz w:val="20"/>
                <w:szCs w:val="20"/>
              </w:rPr>
            </w:pPr>
            <w:r w:rsidRPr="00A8797F">
              <w:rPr>
                <w:rFonts w:cs="Arial"/>
                <w:bCs/>
                <w:sz w:val="20"/>
                <w:szCs w:val="20"/>
              </w:rPr>
              <w:t>4,276</w:t>
            </w:r>
          </w:p>
        </w:tc>
        <w:tc>
          <w:tcPr>
            <w:tcW w:w="1080"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700"/>
              </w:tabs>
              <w:spacing w:after="0"/>
              <w:rPr>
                <w:rFonts w:cs="Arial"/>
                <w:sz w:val="20"/>
                <w:szCs w:val="20"/>
              </w:rPr>
            </w:pPr>
            <w:r w:rsidRPr="007F41D7">
              <w:rPr>
                <w:rFonts w:cs="Arial"/>
                <w:sz w:val="20"/>
                <w:szCs w:val="20"/>
              </w:rPr>
              <w:t>2,115</w:t>
            </w:r>
          </w:p>
        </w:tc>
        <w:tc>
          <w:tcPr>
            <w:tcW w:w="1458"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965"/>
              </w:tabs>
              <w:spacing w:after="0"/>
              <w:rPr>
                <w:rFonts w:cs="Arial"/>
                <w:sz w:val="20"/>
                <w:szCs w:val="20"/>
              </w:rPr>
            </w:pPr>
            <w:r w:rsidRPr="00A8797F">
              <w:rPr>
                <w:rFonts w:cs="Arial"/>
                <w:bCs/>
                <w:sz w:val="20"/>
                <w:szCs w:val="20"/>
              </w:rPr>
              <w:t>192,420</w:t>
            </w:r>
          </w:p>
        </w:tc>
      </w:tr>
      <w:tr w:rsidR="00674E1C" w:rsidRPr="007F41D7" w:rsidTr="005826AF">
        <w:trPr>
          <w:cantSplit/>
        </w:trPr>
        <w:tc>
          <w:tcPr>
            <w:tcW w:w="3888"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DD59EF">
            <w:pPr>
              <w:keepNext/>
              <w:spacing w:after="0"/>
              <w:ind w:left="360" w:hanging="360"/>
              <w:rPr>
                <w:rFonts w:cs="Arial"/>
                <w:sz w:val="20"/>
                <w:szCs w:val="20"/>
              </w:rPr>
            </w:pPr>
            <w:r w:rsidRPr="00991ACB">
              <w:rPr>
                <w:rFonts w:cs="Arial"/>
                <w:sz w:val="20"/>
                <w:szCs w:val="20"/>
              </w:rPr>
              <w:t>11)</w:t>
            </w:r>
            <w:r w:rsidRPr="00991ACB">
              <w:tab/>
            </w:r>
            <w:r w:rsidRPr="00991ACB">
              <w:rPr>
                <w:rFonts w:cs="Arial"/>
                <w:sz w:val="20"/>
                <w:szCs w:val="20"/>
              </w:rPr>
              <w:t>Maintain records</w:t>
            </w:r>
            <w:r w:rsidRPr="00991ACB">
              <w:rPr>
                <w:rFonts w:cs="Arial"/>
                <w:sz w:val="20"/>
                <w:szCs w:val="20"/>
                <w:vertAlign w:val="superscript"/>
              </w:rPr>
              <w:t>(g)</w:t>
            </w:r>
          </w:p>
        </w:tc>
        <w:tc>
          <w:tcPr>
            <w:tcW w:w="1440" w:type="dxa"/>
            <w:vMerge/>
            <w:tcBorders>
              <w:left w:val="nil"/>
              <w:bottom w:val="single" w:sz="4" w:space="0" w:color="auto"/>
              <w:right w:val="single" w:sz="4" w:space="0" w:color="auto"/>
            </w:tcBorders>
            <w:shd w:val="clear" w:color="auto" w:fill="auto"/>
            <w:hideMark/>
          </w:tcPr>
          <w:p w:rsidR="00674E1C" w:rsidRPr="007F41D7" w:rsidRDefault="00674E1C" w:rsidP="00DD59EF">
            <w:pPr>
              <w:keepNext/>
              <w:tabs>
                <w:tab w:val="decimal" w:pos="683"/>
              </w:tabs>
              <w:spacing w:after="0"/>
              <w:rPr>
                <w:rFonts w:cs="Arial"/>
                <w:sz w:val="20"/>
                <w:szCs w:val="20"/>
              </w:rPr>
            </w:pPr>
          </w:p>
        </w:tc>
        <w:tc>
          <w:tcPr>
            <w:tcW w:w="1170" w:type="dxa"/>
            <w:tcBorders>
              <w:top w:val="nil"/>
              <w:left w:val="nil"/>
              <w:bottom w:val="single" w:sz="4" w:space="0" w:color="auto"/>
              <w:right w:val="single" w:sz="4" w:space="0" w:color="auto"/>
            </w:tcBorders>
            <w:shd w:val="clear" w:color="auto" w:fill="auto"/>
            <w:hideMark/>
          </w:tcPr>
          <w:p w:rsidR="00674E1C" w:rsidRPr="007F41D7" w:rsidRDefault="00674E1C" w:rsidP="00DD59EF">
            <w:pPr>
              <w:keepNext/>
              <w:tabs>
                <w:tab w:val="decimal" w:pos="598"/>
              </w:tabs>
              <w:spacing w:after="0"/>
              <w:rPr>
                <w:rFonts w:cs="Arial"/>
                <w:sz w:val="20"/>
                <w:szCs w:val="20"/>
              </w:rPr>
            </w:pPr>
            <w:r w:rsidRPr="007F41D7">
              <w:rPr>
                <w:rFonts w:cs="Arial"/>
                <w:sz w:val="20"/>
                <w:szCs w:val="20"/>
              </w:rPr>
              <w:t>43</w:t>
            </w:r>
          </w:p>
        </w:tc>
        <w:tc>
          <w:tcPr>
            <w:tcW w:w="1260" w:type="dxa"/>
            <w:tcBorders>
              <w:top w:val="nil"/>
              <w:left w:val="nil"/>
              <w:bottom w:val="single" w:sz="4" w:space="0" w:color="auto"/>
              <w:right w:val="single" w:sz="4" w:space="0" w:color="auto"/>
            </w:tcBorders>
            <w:shd w:val="clear" w:color="auto" w:fill="auto"/>
            <w:hideMark/>
          </w:tcPr>
          <w:p w:rsidR="00674E1C" w:rsidRPr="007F41D7" w:rsidRDefault="005826AF" w:rsidP="00DD59EF">
            <w:pPr>
              <w:keepNext/>
              <w:tabs>
                <w:tab w:val="decimal" w:pos="821"/>
              </w:tabs>
              <w:spacing w:after="0"/>
              <w:rPr>
                <w:rFonts w:cs="Arial"/>
                <w:sz w:val="20"/>
                <w:szCs w:val="20"/>
              </w:rPr>
            </w:pPr>
            <w:r>
              <w:rPr>
                <w:rFonts w:cs="Arial"/>
                <w:bCs/>
                <w:sz w:val="20"/>
                <w:szCs w:val="20"/>
              </w:rPr>
              <w:t>3,</w:t>
            </w:r>
            <w:r w:rsidR="00674E1C" w:rsidRPr="00A8797F">
              <w:rPr>
                <w:rFonts w:cs="Arial"/>
                <w:bCs/>
                <w:sz w:val="20"/>
                <w:szCs w:val="20"/>
              </w:rPr>
              <w:t>697</w:t>
            </w:r>
          </w:p>
        </w:tc>
        <w:tc>
          <w:tcPr>
            <w:tcW w:w="1080"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700"/>
              </w:tabs>
              <w:spacing w:after="0"/>
              <w:rPr>
                <w:rFonts w:cs="Arial"/>
                <w:sz w:val="20"/>
                <w:szCs w:val="20"/>
              </w:rPr>
            </w:pPr>
            <w:r w:rsidRPr="007F41D7">
              <w:rPr>
                <w:rFonts w:cs="Arial"/>
                <w:sz w:val="20"/>
                <w:szCs w:val="20"/>
              </w:rPr>
              <w:t>1,935</w:t>
            </w:r>
          </w:p>
        </w:tc>
        <w:tc>
          <w:tcPr>
            <w:tcW w:w="1458" w:type="dxa"/>
            <w:tcBorders>
              <w:top w:val="nil"/>
              <w:left w:val="nil"/>
              <w:bottom w:val="single" w:sz="4" w:space="0" w:color="auto"/>
              <w:right w:val="single" w:sz="4" w:space="0" w:color="auto"/>
            </w:tcBorders>
            <w:shd w:val="clear" w:color="000000" w:fill="B8CCE4"/>
            <w:hideMark/>
          </w:tcPr>
          <w:p w:rsidR="00674E1C" w:rsidRPr="007F41D7" w:rsidRDefault="00674E1C" w:rsidP="00DD59EF">
            <w:pPr>
              <w:keepNext/>
              <w:tabs>
                <w:tab w:val="decimal" w:pos="965"/>
              </w:tabs>
              <w:spacing w:after="0"/>
              <w:rPr>
                <w:rFonts w:cs="Arial"/>
                <w:sz w:val="20"/>
                <w:szCs w:val="20"/>
              </w:rPr>
            </w:pPr>
            <w:r w:rsidRPr="00A8797F">
              <w:rPr>
                <w:rFonts w:cs="Arial"/>
                <w:bCs/>
                <w:sz w:val="20"/>
                <w:szCs w:val="20"/>
              </w:rPr>
              <w:t>166,365</w:t>
            </w:r>
          </w:p>
        </w:tc>
      </w:tr>
      <w:tr w:rsidR="00DB16F5" w:rsidRPr="00991ACB" w:rsidTr="005826AF">
        <w:trPr>
          <w:cantSplit/>
        </w:trPr>
        <w:tc>
          <w:tcPr>
            <w:tcW w:w="5328"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DB16F5" w:rsidRPr="007F41D7" w:rsidRDefault="00DB16F5" w:rsidP="00DD59EF">
            <w:pPr>
              <w:keepNext/>
              <w:tabs>
                <w:tab w:val="decimal" w:pos="683"/>
              </w:tabs>
              <w:spacing w:after="0"/>
              <w:jc w:val="right"/>
              <w:rPr>
                <w:rFonts w:cs="Arial"/>
                <w:b/>
                <w:bCs/>
                <w:sz w:val="20"/>
                <w:szCs w:val="20"/>
              </w:rPr>
            </w:pPr>
            <w:r>
              <w:rPr>
                <w:rFonts w:cs="Arial"/>
                <w:b/>
                <w:bCs/>
                <w:sz w:val="20"/>
                <w:szCs w:val="20"/>
              </w:rPr>
              <w:t>Total</w:t>
            </w:r>
            <w:r w:rsidRPr="00CF1D4B">
              <w:rPr>
                <w:rFonts w:cs="Arial"/>
                <w:b/>
                <w:bCs/>
                <w:sz w:val="20"/>
                <w:szCs w:val="20"/>
              </w:rPr>
              <w:t>:</w:t>
            </w:r>
          </w:p>
        </w:tc>
        <w:tc>
          <w:tcPr>
            <w:tcW w:w="1170" w:type="dxa"/>
            <w:tcBorders>
              <w:top w:val="single" w:sz="4" w:space="0" w:color="auto"/>
              <w:left w:val="nil"/>
              <w:bottom w:val="single" w:sz="4" w:space="0" w:color="auto"/>
              <w:right w:val="single" w:sz="4" w:space="0" w:color="auto"/>
            </w:tcBorders>
            <w:shd w:val="clear" w:color="000000" w:fill="B8CCE4"/>
            <w:hideMark/>
          </w:tcPr>
          <w:p w:rsidR="00DB16F5" w:rsidRPr="007F41D7" w:rsidRDefault="00DB16F5" w:rsidP="00DD59EF">
            <w:pPr>
              <w:keepNext/>
              <w:tabs>
                <w:tab w:val="decimal" w:pos="598"/>
              </w:tabs>
              <w:spacing w:after="0"/>
              <w:rPr>
                <w:rFonts w:cs="Arial"/>
                <w:b/>
                <w:bCs/>
                <w:sz w:val="20"/>
                <w:szCs w:val="20"/>
              </w:rPr>
            </w:pPr>
            <w:r w:rsidRPr="007F41D7">
              <w:rPr>
                <w:rFonts w:cs="Arial"/>
                <w:b/>
                <w:bCs/>
                <w:sz w:val="20"/>
                <w:szCs w:val="20"/>
              </w:rPr>
              <w:t>204</w:t>
            </w:r>
          </w:p>
        </w:tc>
        <w:tc>
          <w:tcPr>
            <w:tcW w:w="1260" w:type="dxa"/>
            <w:tcBorders>
              <w:top w:val="single" w:sz="4" w:space="0" w:color="auto"/>
              <w:left w:val="nil"/>
              <w:bottom w:val="single" w:sz="4" w:space="0" w:color="auto"/>
              <w:right w:val="single" w:sz="4" w:space="0" w:color="auto"/>
            </w:tcBorders>
            <w:shd w:val="clear" w:color="000000" w:fill="B8CCE4"/>
            <w:hideMark/>
          </w:tcPr>
          <w:p w:rsidR="00DB16F5" w:rsidRPr="007F41D7" w:rsidRDefault="00DB16F5" w:rsidP="00DD59EF">
            <w:pPr>
              <w:keepNext/>
              <w:tabs>
                <w:tab w:val="decimal" w:pos="821"/>
              </w:tabs>
              <w:spacing w:after="0"/>
              <w:rPr>
                <w:rFonts w:cs="Arial"/>
                <w:b/>
                <w:bCs/>
                <w:sz w:val="20"/>
                <w:szCs w:val="20"/>
              </w:rPr>
            </w:pPr>
            <w:r w:rsidRPr="007F41D7">
              <w:rPr>
                <w:rFonts w:cs="Arial"/>
                <w:b/>
                <w:bCs/>
                <w:sz w:val="20"/>
                <w:szCs w:val="20"/>
              </w:rPr>
              <w:t>$</w:t>
            </w:r>
            <w:r w:rsidRPr="00A8797F">
              <w:rPr>
                <w:rFonts w:cs="Arial"/>
                <w:b/>
                <w:bCs/>
                <w:sz w:val="20"/>
                <w:szCs w:val="20"/>
              </w:rPr>
              <w:t>18,572</w:t>
            </w:r>
          </w:p>
        </w:tc>
        <w:tc>
          <w:tcPr>
            <w:tcW w:w="1080" w:type="dxa"/>
            <w:tcBorders>
              <w:top w:val="single" w:sz="4" w:space="0" w:color="auto"/>
              <w:left w:val="nil"/>
              <w:bottom w:val="single" w:sz="4" w:space="0" w:color="auto"/>
              <w:right w:val="single" w:sz="4" w:space="0" w:color="auto"/>
            </w:tcBorders>
            <w:shd w:val="clear" w:color="000000" w:fill="B8CCE4"/>
            <w:hideMark/>
          </w:tcPr>
          <w:p w:rsidR="00DB16F5" w:rsidRPr="007F41D7" w:rsidRDefault="00DB16F5" w:rsidP="00DD59EF">
            <w:pPr>
              <w:keepNext/>
              <w:tabs>
                <w:tab w:val="decimal" w:pos="700"/>
              </w:tabs>
              <w:spacing w:after="0"/>
              <w:rPr>
                <w:rFonts w:cs="Arial"/>
                <w:b/>
                <w:bCs/>
                <w:sz w:val="20"/>
                <w:szCs w:val="20"/>
              </w:rPr>
            </w:pPr>
            <w:r w:rsidRPr="007F41D7">
              <w:rPr>
                <w:rFonts w:cs="Arial"/>
                <w:b/>
                <w:bCs/>
                <w:sz w:val="20"/>
                <w:szCs w:val="20"/>
              </w:rPr>
              <w:t>9,180</w:t>
            </w:r>
          </w:p>
        </w:tc>
        <w:tc>
          <w:tcPr>
            <w:tcW w:w="1458" w:type="dxa"/>
            <w:tcBorders>
              <w:top w:val="single" w:sz="4" w:space="0" w:color="auto"/>
              <w:left w:val="nil"/>
              <w:bottom w:val="single" w:sz="4" w:space="0" w:color="auto"/>
              <w:right w:val="single" w:sz="4" w:space="0" w:color="auto"/>
            </w:tcBorders>
            <w:shd w:val="clear" w:color="000000" w:fill="B8CCE4"/>
            <w:hideMark/>
          </w:tcPr>
          <w:p w:rsidR="00DB16F5" w:rsidRPr="00A8797F" w:rsidRDefault="00DB16F5" w:rsidP="00DD59EF">
            <w:pPr>
              <w:keepNext/>
              <w:tabs>
                <w:tab w:val="decimal" w:pos="965"/>
              </w:tabs>
              <w:spacing w:after="0"/>
              <w:rPr>
                <w:rFonts w:cs="Arial"/>
                <w:b/>
                <w:bCs/>
                <w:sz w:val="20"/>
                <w:szCs w:val="20"/>
              </w:rPr>
            </w:pPr>
            <w:r w:rsidRPr="007F41D7">
              <w:rPr>
                <w:rFonts w:cs="Arial"/>
                <w:b/>
                <w:bCs/>
                <w:sz w:val="20"/>
                <w:szCs w:val="20"/>
              </w:rPr>
              <w:t>$</w:t>
            </w:r>
            <w:r w:rsidRPr="00A8797F">
              <w:rPr>
                <w:rFonts w:cs="Arial"/>
                <w:b/>
                <w:bCs/>
                <w:sz w:val="20"/>
                <w:szCs w:val="20"/>
              </w:rPr>
              <w:t>835,740</w:t>
            </w:r>
          </w:p>
        </w:tc>
      </w:tr>
      <w:tr w:rsidR="007F41D7" w:rsidRPr="00991ACB" w:rsidTr="004864EF">
        <w:trPr>
          <w:cantSplit/>
        </w:trPr>
        <w:tc>
          <w:tcPr>
            <w:tcW w:w="10296" w:type="dxa"/>
            <w:gridSpan w:val="6"/>
            <w:tcBorders>
              <w:top w:val="single" w:sz="4" w:space="0" w:color="auto"/>
            </w:tcBorders>
            <w:shd w:val="clear" w:color="auto" w:fill="auto"/>
          </w:tcPr>
          <w:p w:rsidR="007F41D7" w:rsidRPr="00991ACB" w:rsidRDefault="007F41D7" w:rsidP="007F41D7">
            <w:pPr>
              <w:spacing w:after="0"/>
              <w:rPr>
                <w:rFonts w:cs="Arial"/>
                <w:bCs/>
                <w:sz w:val="18"/>
                <w:szCs w:val="18"/>
                <w:u w:val="single"/>
              </w:rPr>
            </w:pPr>
            <w:r w:rsidRPr="00991ACB">
              <w:rPr>
                <w:rFonts w:cs="Arial"/>
                <w:bCs/>
                <w:sz w:val="18"/>
                <w:szCs w:val="18"/>
                <w:u w:val="single"/>
              </w:rPr>
              <w:t>Key:</w:t>
            </w:r>
          </w:p>
        </w:tc>
      </w:tr>
      <w:tr w:rsidR="007F41D7" w:rsidRPr="00991ACB" w:rsidTr="004864EF">
        <w:trPr>
          <w:cantSplit/>
        </w:trPr>
        <w:tc>
          <w:tcPr>
            <w:tcW w:w="10296" w:type="dxa"/>
            <w:gridSpan w:val="6"/>
            <w:shd w:val="clear" w:color="auto" w:fill="auto"/>
          </w:tcPr>
          <w:p w:rsidR="007F41D7" w:rsidRPr="00991ACB" w:rsidRDefault="007F41D7" w:rsidP="007F41D7">
            <w:pPr>
              <w:spacing w:after="0"/>
              <w:rPr>
                <w:rFonts w:cs="Arial"/>
                <w:bCs/>
                <w:sz w:val="18"/>
                <w:szCs w:val="18"/>
              </w:rPr>
            </w:pPr>
            <w:r w:rsidRPr="00991ACB">
              <w:rPr>
                <w:rFonts w:cs="Arial"/>
                <w:bCs/>
                <w:sz w:val="18"/>
                <w:szCs w:val="18"/>
              </w:rPr>
              <w:t>(a) Activities are described in more detail in section 4(b) of this ICR.</w:t>
            </w:r>
          </w:p>
        </w:tc>
      </w:tr>
      <w:tr w:rsidR="007F41D7" w:rsidRPr="00991ACB" w:rsidTr="004864EF">
        <w:trPr>
          <w:cantSplit/>
        </w:trPr>
        <w:tc>
          <w:tcPr>
            <w:tcW w:w="10296" w:type="dxa"/>
            <w:gridSpan w:val="6"/>
            <w:shd w:val="clear" w:color="auto" w:fill="auto"/>
          </w:tcPr>
          <w:p w:rsidR="007F41D7" w:rsidRPr="00991ACB" w:rsidRDefault="007F41D7" w:rsidP="000E0276">
            <w:pPr>
              <w:spacing w:after="0"/>
              <w:rPr>
                <w:rFonts w:cs="Arial"/>
                <w:bCs/>
                <w:sz w:val="18"/>
                <w:szCs w:val="18"/>
              </w:rPr>
            </w:pPr>
            <w:r w:rsidRPr="00991ACB">
              <w:rPr>
                <w:rFonts w:cs="Arial"/>
                <w:bCs/>
                <w:sz w:val="18"/>
                <w:szCs w:val="18"/>
              </w:rPr>
              <w:t>(b) From Table 1, catch-up orders.</w:t>
            </w:r>
          </w:p>
        </w:tc>
      </w:tr>
      <w:tr w:rsidR="007F41D7" w:rsidRPr="00991ACB" w:rsidTr="004864EF">
        <w:trPr>
          <w:cantSplit/>
        </w:trPr>
        <w:tc>
          <w:tcPr>
            <w:tcW w:w="10296" w:type="dxa"/>
            <w:gridSpan w:val="6"/>
            <w:shd w:val="clear" w:color="auto" w:fill="auto"/>
          </w:tcPr>
          <w:p w:rsidR="007F41D7" w:rsidRPr="00991ACB" w:rsidRDefault="007F41D7" w:rsidP="007F41D7">
            <w:pPr>
              <w:spacing w:after="0"/>
              <w:rPr>
                <w:rFonts w:cs="Arial"/>
                <w:bCs/>
                <w:sz w:val="18"/>
                <w:szCs w:val="18"/>
              </w:rPr>
            </w:pPr>
            <w:r w:rsidRPr="00991ACB">
              <w:rPr>
                <w:rFonts w:cs="Arial"/>
                <w:bCs/>
                <w:sz w:val="18"/>
                <w:szCs w:val="18"/>
              </w:rPr>
              <w:t>(c) See Activity listing in Table 6.</w:t>
            </w:r>
          </w:p>
        </w:tc>
      </w:tr>
      <w:tr w:rsidR="007F41D7" w:rsidRPr="00991ACB" w:rsidTr="004864EF">
        <w:trPr>
          <w:cantSplit/>
        </w:trPr>
        <w:tc>
          <w:tcPr>
            <w:tcW w:w="10296" w:type="dxa"/>
            <w:gridSpan w:val="6"/>
            <w:shd w:val="clear" w:color="auto" w:fill="auto"/>
          </w:tcPr>
          <w:p w:rsidR="007F41D7" w:rsidRPr="00991ACB" w:rsidRDefault="007F41D7" w:rsidP="007F41D7">
            <w:pPr>
              <w:spacing w:after="0"/>
              <w:rPr>
                <w:rFonts w:cs="Arial"/>
                <w:bCs/>
                <w:sz w:val="18"/>
                <w:szCs w:val="18"/>
              </w:rPr>
            </w:pPr>
            <w:r w:rsidRPr="00991ACB">
              <w:rPr>
                <w:rFonts w:cs="Arial"/>
                <w:bCs/>
                <w:sz w:val="18"/>
                <w:szCs w:val="18"/>
              </w:rPr>
              <w:t>(d) See Activity listing in Table 7.</w:t>
            </w:r>
          </w:p>
        </w:tc>
      </w:tr>
      <w:tr w:rsidR="007F41D7" w:rsidRPr="00991ACB" w:rsidTr="004864EF">
        <w:trPr>
          <w:cantSplit/>
        </w:trPr>
        <w:tc>
          <w:tcPr>
            <w:tcW w:w="10296" w:type="dxa"/>
            <w:gridSpan w:val="6"/>
            <w:shd w:val="clear" w:color="auto" w:fill="auto"/>
          </w:tcPr>
          <w:p w:rsidR="007F41D7" w:rsidRPr="00991ACB" w:rsidRDefault="007F41D7" w:rsidP="007F41D7">
            <w:pPr>
              <w:spacing w:after="0"/>
              <w:rPr>
                <w:rFonts w:cs="Arial"/>
                <w:bCs/>
                <w:sz w:val="18"/>
                <w:szCs w:val="18"/>
              </w:rPr>
            </w:pPr>
            <w:r w:rsidRPr="00991ACB">
              <w:rPr>
                <w:rFonts w:cs="Arial"/>
                <w:bCs/>
                <w:sz w:val="18"/>
                <w:szCs w:val="18"/>
              </w:rPr>
              <w:t>(e) Total = (b) x (c)</w:t>
            </w:r>
          </w:p>
        </w:tc>
      </w:tr>
      <w:tr w:rsidR="007F41D7" w:rsidRPr="00991ACB" w:rsidTr="004864EF">
        <w:trPr>
          <w:cantSplit/>
        </w:trPr>
        <w:tc>
          <w:tcPr>
            <w:tcW w:w="10296" w:type="dxa"/>
            <w:gridSpan w:val="6"/>
            <w:shd w:val="clear" w:color="auto" w:fill="auto"/>
          </w:tcPr>
          <w:p w:rsidR="007F41D7" w:rsidRPr="00991ACB" w:rsidRDefault="007F41D7" w:rsidP="007F41D7">
            <w:pPr>
              <w:spacing w:after="0"/>
              <w:rPr>
                <w:rFonts w:cs="Arial"/>
                <w:bCs/>
                <w:sz w:val="18"/>
                <w:szCs w:val="18"/>
              </w:rPr>
            </w:pPr>
            <w:r w:rsidRPr="00991ACB">
              <w:rPr>
                <w:rFonts w:cs="Arial"/>
                <w:bCs/>
                <w:sz w:val="18"/>
                <w:szCs w:val="18"/>
              </w:rPr>
              <w:t>(f) Total = (b) x (d)</w:t>
            </w:r>
          </w:p>
        </w:tc>
      </w:tr>
      <w:tr w:rsidR="007F41D7" w:rsidRPr="00991ACB" w:rsidTr="004864EF">
        <w:trPr>
          <w:cantSplit/>
        </w:trPr>
        <w:tc>
          <w:tcPr>
            <w:tcW w:w="10296" w:type="dxa"/>
            <w:gridSpan w:val="6"/>
            <w:shd w:val="clear" w:color="auto" w:fill="auto"/>
            <w:vAlign w:val="bottom"/>
          </w:tcPr>
          <w:p w:rsidR="007F41D7" w:rsidRPr="00991ACB" w:rsidRDefault="007F41D7" w:rsidP="0021660C">
            <w:pPr>
              <w:spacing w:after="0"/>
              <w:rPr>
                <w:rFonts w:cs="Arial"/>
                <w:bCs/>
                <w:sz w:val="18"/>
                <w:szCs w:val="18"/>
              </w:rPr>
            </w:pPr>
            <w:r w:rsidRPr="007F41D7">
              <w:rPr>
                <w:rFonts w:cs="Arial"/>
                <w:bCs/>
                <w:sz w:val="18"/>
                <w:szCs w:val="18"/>
              </w:rPr>
              <w:t xml:space="preserve">(g) Maintaining records of the initial </w:t>
            </w:r>
            <w:r w:rsidR="0021660C">
              <w:rPr>
                <w:rFonts w:cs="Arial"/>
                <w:bCs/>
                <w:sz w:val="18"/>
                <w:szCs w:val="18"/>
              </w:rPr>
              <w:t>r</w:t>
            </w:r>
            <w:r w:rsidRPr="007F41D7">
              <w:rPr>
                <w:rFonts w:cs="Arial"/>
                <w:bCs/>
                <w:sz w:val="18"/>
                <w:szCs w:val="18"/>
              </w:rPr>
              <w:t>esponse is estimated to be ½ of the totals in Tables 6</w:t>
            </w:r>
            <w:r w:rsidR="00674E1C">
              <w:rPr>
                <w:rFonts w:cs="Arial"/>
                <w:bCs/>
                <w:sz w:val="18"/>
                <w:szCs w:val="18"/>
              </w:rPr>
              <w:t xml:space="preserve"> and </w:t>
            </w:r>
            <w:r w:rsidRPr="007F41D7">
              <w:rPr>
                <w:rFonts w:cs="Arial"/>
                <w:bCs/>
                <w:sz w:val="18"/>
                <w:szCs w:val="18"/>
              </w:rPr>
              <w:t>7.</w:t>
            </w:r>
          </w:p>
        </w:tc>
      </w:tr>
    </w:tbl>
    <w:p w:rsidR="00FB70F3" w:rsidRDefault="00FB70F3" w:rsidP="002F2414">
      <w:pPr>
        <w:pStyle w:val="TableCaption"/>
      </w:pPr>
      <w:r w:rsidRPr="00FB70F3">
        <w:t>Table 9 – IC</w:t>
      </w:r>
      <w:r w:rsidR="00D16F25">
        <w:t xml:space="preserve"> </w:t>
      </w:r>
      <w:r w:rsidRPr="00FB70F3">
        <w:t>#1</w:t>
      </w:r>
      <w:r w:rsidR="000C6CB0">
        <w:t xml:space="preserve">:  </w:t>
      </w:r>
      <w:r w:rsidRPr="00FB70F3">
        <w:t>Estimated Burden</w:t>
      </w:r>
      <w:r w:rsidR="00674E1C">
        <w:t xml:space="preserve"> and </w:t>
      </w:r>
      <w:r w:rsidRPr="00FB70F3">
        <w:t xml:space="preserve">Costs for </w:t>
      </w:r>
      <w:r w:rsidRPr="00DC6A9C">
        <w:rPr>
          <w:color w:val="0000FF"/>
        </w:rPr>
        <w:t>Order Recipients – Manufacturers and Importers of Pesticide Inert Ingredients</w:t>
      </w:r>
    </w:p>
    <w:tbl>
      <w:tblPr>
        <w:tblW w:w="5000" w:type="pct"/>
        <w:tblLook w:val="04A0"/>
      </w:tblPr>
      <w:tblGrid>
        <w:gridCol w:w="3930"/>
        <w:gridCol w:w="1412"/>
        <w:gridCol w:w="1127"/>
        <w:gridCol w:w="1291"/>
        <w:gridCol w:w="1062"/>
        <w:gridCol w:w="1474"/>
      </w:tblGrid>
      <w:tr w:rsidR="00FB70F3" w:rsidRPr="007F41D7" w:rsidTr="00386B78">
        <w:trPr>
          <w:cantSplit/>
          <w:tblHeader/>
        </w:trPr>
        <w:tc>
          <w:tcPr>
            <w:tcW w:w="3930"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B70F3" w:rsidRPr="007F41D7" w:rsidRDefault="00FB70F3" w:rsidP="00386B78">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412"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 xml:space="preserve">Total # Responses </w:t>
            </w:r>
            <w:r w:rsidRPr="007F41D7">
              <w:rPr>
                <w:rFonts w:cs="Arial"/>
                <w:b/>
                <w:bCs/>
                <w:sz w:val="20"/>
                <w:szCs w:val="20"/>
                <w:vertAlign w:val="superscript"/>
              </w:rPr>
              <w:t>(b)</w:t>
            </w:r>
          </w:p>
        </w:tc>
        <w:tc>
          <w:tcPr>
            <w:tcW w:w="2418" w:type="dxa"/>
            <w:gridSpan w:val="2"/>
            <w:tcBorders>
              <w:top w:val="single" w:sz="4" w:space="0" w:color="auto"/>
              <w:left w:val="nil"/>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Per Response</w:t>
            </w:r>
          </w:p>
        </w:tc>
        <w:tc>
          <w:tcPr>
            <w:tcW w:w="2536" w:type="dxa"/>
            <w:gridSpan w:val="2"/>
            <w:tcBorders>
              <w:top w:val="single" w:sz="4" w:space="0" w:color="auto"/>
              <w:left w:val="nil"/>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Total</w:t>
            </w:r>
          </w:p>
        </w:tc>
      </w:tr>
      <w:tr w:rsidR="00FB70F3" w:rsidRPr="00991ACB" w:rsidTr="00386B78">
        <w:trPr>
          <w:cantSplit/>
          <w:trHeight w:val="230"/>
          <w:tblHeader/>
        </w:trPr>
        <w:tc>
          <w:tcPr>
            <w:tcW w:w="3930" w:type="dxa"/>
            <w:vMerge/>
            <w:tcBorders>
              <w:top w:val="single" w:sz="4" w:space="0" w:color="auto"/>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127" w:type="dxa"/>
            <w:vMerge w:val="restart"/>
            <w:tcBorders>
              <w:top w:val="nil"/>
              <w:left w:val="single" w:sz="4" w:space="0" w:color="auto"/>
              <w:bottom w:val="single" w:sz="4" w:space="0" w:color="000000"/>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291" w:type="dxa"/>
            <w:vMerge w:val="restart"/>
            <w:tcBorders>
              <w:top w:val="nil"/>
              <w:left w:val="single" w:sz="4" w:space="0" w:color="auto"/>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1062" w:type="dxa"/>
            <w:vMerge w:val="restart"/>
            <w:tcBorders>
              <w:top w:val="nil"/>
              <w:left w:val="single" w:sz="4" w:space="0" w:color="auto"/>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474" w:type="dxa"/>
            <w:vMerge w:val="restart"/>
            <w:tcBorders>
              <w:top w:val="nil"/>
              <w:left w:val="single" w:sz="4" w:space="0" w:color="auto"/>
              <w:bottom w:val="single" w:sz="4" w:space="0" w:color="auto"/>
              <w:right w:val="single" w:sz="4" w:space="0" w:color="auto"/>
            </w:tcBorders>
            <w:shd w:val="clear" w:color="000000" w:fill="B8CCE4"/>
            <w:vAlign w:val="bottom"/>
            <w:hideMark/>
          </w:tcPr>
          <w:p w:rsidR="00FB70F3" w:rsidRPr="007F41D7" w:rsidRDefault="00FB70F3" w:rsidP="00386B78">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FB70F3" w:rsidRPr="007F41D7" w:rsidTr="00386B78">
        <w:trPr>
          <w:cantSplit/>
          <w:trHeight w:val="230"/>
          <w:tblHeader/>
        </w:trPr>
        <w:tc>
          <w:tcPr>
            <w:tcW w:w="3930" w:type="dxa"/>
            <w:vMerge/>
            <w:tcBorders>
              <w:top w:val="single" w:sz="4" w:space="0" w:color="auto"/>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127" w:type="dxa"/>
            <w:vMerge/>
            <w:tcBorders>
              <w:top w:val="nil"/>
              <w:left w:val="single" w:sz="4" w:space="0" w:color="auto"/>
              <w:bottom w:val="single" w:sz="4" w:space="0" w:color="000000"/>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062" w:type="dxa"/>
            <w:vMerge/>
            <w:tcBorders>
              <w:top w:val="nil"/>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FB70F3" w:rsidRPr="007F41D7" w:rsidRDefault="00FB70F3" w:rsidP="00386B78">
            <w:pPr>
              <w:keepNext/>
              <w:spacing w:after="0"/>
              <w:rPr>
                <w:rFonts w:cs="Arial"/>
                <w:b/>
                <w:bCs/>
                <w:sz w:val="20"/>
                <w:szCs w:val="20"/>
              </w:rPr>
            </w:pPr>
          </w:p>
        </w:tc>
      </w:tr>
      <w:tr w:rsidR="00674E1C" w:rsidRPr="00991ACB" w:rsidTr="008310C3">
        <w:trPr>
          <w:cantSplit/>
        </w:trPr>
        <w:tc>
          <w:tcPr>
            <w:tcW w:w="3930"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386B78">
            <w:pPr>
              <w:pStyle w:val="ListParagraph"/>
              <w:keepNext/>
              <w:numPr>
                <w:ilvl w:val="0"/>
                <w:numId w:val="11"/>
              </w:numPr>
              <w:spacing w:after="0"/>
              <w:rPr>
                <w:rFonts w:cs="Arial"/>
                <w:sz w:val="20"/>
                <w:szCs w:val="20"/>
              </w:rPr>
            </w:pPr>
            <w:r w:rsidRPr="00991ACB">
              <w:rPr>
                <w:rFonts w:cs="Arial"/>
                <w:sz w:val="20"/>
                <w:szCs w:val="20"/>
              </w:rPr>
              <w:t>Read instructions</w:t>
            </w:r>
          </w:p>
        </w:tc>
        <w:tc>
          <w:tcPr>
            <w:tcW w:w="1412" w:type="dxa"/>
            <w:vMerge w:val="restart"/>
            <w:tcBorders>
              <w:top w:val="nil"/>
              <w:left w:val="nil"/>
              <w:right w:val="single" w:sz="4" w:space="0" w:color="auto"/>
            </w:tcBorders>
            <w:shd w:val="clear" w:color="auto" w:fill="auto"/>
            <w:vAlign w:val="center"/>
            <w:hideMark/>
          </w:tcPr>
          <w:p w:rsidR="00674E1C" w:rsidRPr="007F41D7" w:rsidRDefault="00674E1C" w:rsidP="00386B78">
            <w:pPr>
              <w:keepNext/>
              <w:tabs>
                <w:tab w:val="decimal" w:pos="683"/>
              </w:tabs>
              <w:spacing w:after="0"/>
              <w:rPr>
                <w:rFonts w:cs="Arial"/>
                <w:sz w:val="20"/>
                <w:szCs w:val="20"/>
              </w:rPr>
            </w:pPr>
            <w:r>
              <w:rPr>
                <w:rFonts w:cs="Arial"/>
                <w:sz w:val="20"/>
                <w:szCs w:val="20"/>
              </w:rPr>
              <w:t>15</w:t>
            </w:r>
          </w:p>
        </w:tc>
        <w:tc>
          <w:tcPr>
            <w:tcW w:w="1127"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598"/>
              </w:tabs>
              <w:spacing w:after="0"/>
              <w:rPr>
                <w:rFonts w:cs="Arial"/>
                <w:sz w:val="20"/>
                <w:szCs w:val="20"/>
              </w:rPr>
            </w:pPr>
            <w:r w:rsidRPr="007F41D7">
              <w:rPr>
                <w:rFonts w:cs="Arial"/>
                <w:sz w:val="20"/>
                <w:szCs w:val="20"/>
              </w:rPr>
              <w:t>24</w:t>
            </w:r>
          </w:p>
        </w:tc>
        <w:tc>
          <w:tcPr>
            <w:tcW w:w="1291"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821"/>
              </w:tabs>
              <w:spacing w:after="0"/>
              <w:rPr>
                <w:rFonts w:cs="Arial"/>
                <w:sz w:val="20"/>
                <w:szCs w:val="20"/>
              </w:rPr>
            </w:pPr>
            <w:r w:rsidRPr="007F41D7">
              <w:rPr>
                <w:rFonts w:cs="Arial"/>
                <w:sz w:val="20"/>
                <w:szCs w:val="20"/>
              </w:rPr>
              <w:t>$</w:t>
            </w:r>
            <w:r w:rsidR="005826AF">
              <w:rPr>
                <w:rFonts w:cs="Arial"/>
                <w:sz w:val="20"/>
                <w:szCs w:val="20"/>
              </w:rPr>
              <w:t>2,</w:t>
            </w:r>
            <w:r w:rsidRPr="0045523E">
              <w:rPr>
                <w:rFonts w:cs="Arial"/>
                <w:sz w:val="20"/>
                <w:szCs w:val="20"/>
              </w:rPr>
              <w:t>192</w:t>
            </w:r>
          </w:p>
        </w:tc>
        <w:tc>
          <w:tcPr>
            <w:tcW w:w="1062"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623"/>
              </w:tabs>
              <w:spacing w:after="0"/>
              <w:rPr>
                <w:rFonts w:cs="Arial"/>
                <w:sz w:val="20"/>
                <w:szCs w:val="20"/>
              </w:rPr>
            </w:pPr>
            <w:r w:rsidRPr="00991ACB">
              <w:rPr>
                <w:rFonts w:cs="Arial"/>
                <w:sz w:val="20"/>
                <w:szCs w:val="20"/>
              </w:rPr>
              <w:t>360</w:t>
            </w:r>
          </w:p>
        </w:tc>
        <w:tc>
          <w:tcPr>
            <w:tcW w:w="1474"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988"/>
              </w:tabs>
              <w:spacing w:after="0"/>
              <w:rPr>
                <w:rFonts w:cs="Arial"/>
                <w:sz w:val="20"/>
                <w:szCs w:val="20"/>
              </w:rPr>
            </w:pPr>
            <w:r w:rsidRPr="00991ACB">
              <w:rPr>
                <w:rFonts w:cs="Arial"/>
                <w:sz w:val="20"/>
                <w:szCs w:val="20"/>
              </w:rPr>
              <w:t>$</w:t>
            </w:r>
            <w:r w:rsidRPr="0045523E">
              <w:rPr>
                <w:rFonts w:cs="Arial"/>
                <w:sz w:val="20"/>
                <w:szCs w:val="20"/>
              </w:rPr>
              <w:t>32,880</w:t>
            </w:r>
          </w:p>
        </w:tc>
      </w:tr>
      <w:tr w:rsidR="00674E1C" w:rsidRPr="00991ACB" w:rsidTr="005826AF">
        <w:trPr>
          <w:cantSplit/>
        </w:trPr>
        <w:tc>
          <w:tcPr>
            <w:tcW w:w="3930"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386B78">
            <w:pPr>
              <w:pStyle w:val="ListParagraph"/>
              <w:keepNext/>
              <w:numPr>
                <w:ilvl w:val="0"/>
                <w:numId w:val="11"/>
              </w:numPr>
              <w:spacing w:after="0"/>
              <w:rPr>
                <w:rFonts w:cs="Arial"/>
                <w:sz w:val="20"/>
                <w:szCs w:val="20"/>
              </w:rPr>
            </w:pPr>
            <w:r w:rsidRPr="00991ACB">
              <w:rPr>
                <w:rFonts w:cs="Arial"/>
                <w:sz w:val="20"/>
                <w:szCs w:val="20"/>
              </w:rPr>
              <w:t>Plan activities</w:t>
            </w:r>
          </w:p>
        </w:tc>
        <w:tc>
          <w:tcPr>
            <w:tcW w:w="1412" w:type="dxa"/>
            <w:vMerge/>
            <w:tcBorders>
              <w:left w:val="nil"/>
              <w:right w:val="single" w:sz="4" w:space="0" w:color="auto"/>
            </w:tcBorders>
            <w:shd w:val="clear" w:color="auto" w:fill="auto"/>
            <w:hideMark/>
          </w:tcPr>
          <w:p w:rsidR="00674E1C" w:rsidRPr="007F41D7" w:rsidRDefault="00674E1C" w:rsidP="00386B78">
            <w:pPr>
              <w:keepNext/>
              <w:tabs>
                <w:tab w:val="decimal" w:pos="683"/>
              </w:tabs>
              <w:rPr>
                <w:rFonts w:cs="Arial"/>
                <w:sz w:val="20"/>
                <w:szCs w:val="20"/>
              </w:rPr>
            </w:pPr>
          </w:p>
        </w:tc>
        <w:tc>
          <w:tcPr>
            <w:tcW w:w="1127"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598"/>
              </w:tabs>
              <w:spacing w:after="0"/>
              <w:rPr>
                <w:rFonts w:cs="Arial"/>
                <w:sz w:val="20"/>
                <w:szCs w:val="20"/>
              </w:rPr>
            </w:pPr>
            <w:r w:rsidRPr="007F41D7">
              <w:rPr>
                <w:rFonts w:cs="Arial"/>
                <w:sz w:val="20"/>
                <w:szCs w:val="20"/>
              </w:rPr>
              <w:t>90</w:t>
            </w:r>
          </w:p>
        </w:tc>
        <w:tc>
          <w:tcPr>
            <w:tcW w:w="1291"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821"/>
              </w:tabs>
              <w:spacing w:after="0"/>
              <w:rPr>
                <w:rFonts w:cs="Arial"/>
                <w:sz w:val="20"/>
                <w:szCs w:val="20"/>
              </w:rPr>
            </w:pPr>
            <w:r w:rsidRPr="0045523E">
              <w:rPr>
                <w:rFonts w:cs="Arial"/>
                <w:sz w:val="20"/>
                <w:szCs w:val="20"/>
              </w:rPr>
              <w:t>8,407</w:t>
            </w:r>
          </w:p>
        </w:tc>
        <w:tc>
          <w:tcPr>
            <w:tcW w:w="1062"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623"/>
              </w:tabs>
              <w:spacing w:after="0"/>
              <w:rPr>
                <w:rFonts w:cs="Arial"/>
                <w:sz w:val="20"/>
                <w:szCs w:val="20"/>
              </w:rPr>
            </w:pPr>
            <w:r w:rsidRPr="00991ACB">
              <w:rPr>
                <w:rFonts w:cs="Arial"/>
                <w:sz w:val="20"/>
                <w:szCs w:val="20"/>
              </w:rPr>
              <w:t>1,350</w:t>
            </w:r>
          </w:p>
        </w:tc>
        <w:tc>
          <w:tcPr>
            <w:tcW w:w="1474"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988"/>
              </w:tabs>
              <w:spacing w:after="0"/>
              <w:rPr>
                <w:rFonts w:cs="Arial"/>
                <w:sz w:val="20"/>
                <w:szCs w:val="20"/>
              </w:rPr>
            </w:pPr>
            <w:r w:rsidRPr="0045523E">
              <w:rPr>
                <w:rFonts w:cs="Arial"/>
                <w:sz w:val="20"/>
                <w:szCs w:val="20"/>
              </w:rPr>
              <w:t>126,105</w:t>
            </w:r>
          </w:p>
        </w:tc>
      </w:tr>
      <w:tr w:rsidR="00674E1C" w:rsidRPr="00991ACB" w:rsidTr="005826AF">
        <w:trPr>
          <w:cantSplit/>
        </w:trPr>
        <w:tc>
          <w:tcPr>
            <w:tcW w:w="3930"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386B78">
            <w:pPr>
              <w:pStyle w:val="ListParagraph"/>
              <w:keepNext/>
              <w:numPr>
                <w:ilvl w:val="0"/>
                <w:numId w:val="11"/>
              </w:numPr>
              <w:spacing w:after="0"/>
              <w:rPr>
                <w:rFonts w:cs="Arial"/>
                <w:sz w:val="20"/>
                <w:szCs w:val="20"/>
              </w:rPr>
            </w:pPr>
            <w:r w:rsidRPr="00991ACB">
              <w:rPr>
                <w:rFonts w:cs="Arial"/>
                <w:sz w:val="20"/>
                <w:szCs w:val="20"/>
              </w:rPr>
              <w:t xml:space="preserve">Submit an initial response to </w:t>
            </w:r>
            <w:r>
              <w:rPr>
                <w:rFonts w:cs="Arial"/>
                <w:sz w:val="20"/>
                <w:szCs w:val="20"/>
              </w:rPr>
              <w:t>the EPA</w:t>
            </w:r>
          </w:p>
        </w:tc>
        <w:tc>
          <w:tcPr>
            <w:tcW w:w="1412" w:type="dxa"/>
            <w:vMerge/>
            <w:tcBorders>
              <w:left w:val="nil"/>
              <w:right w:val="single" w:sz="4" w:space="0" w:color="auto"/>
            </w:tcBorders>
            <w:shd w:val="clear" w:color="auto" w:fill="auto"/>
            <w:hideMark/>
          </w:tcPr>
          <w:p w:rsidR="00674E1C" w:rsidRPr="007F41D7" w:rsidRDefault="00674E1C" w:rsidP="00386B78">
            <w:pPr>
              <w:keepNext/>
              <w:tabs>
                <w:tab w:val="decimal" w:pos="683"/>
              </w:tabs>
              <w:rPr>
                <w:rFonts w:cs="Arial"/>
                <w:sz w:val="20"/>
                <w:szCs w:val="20"/>
              </w:rPr>
            </w:pPr>
          </w:p>
        </w:tc>
        <w:tc>
          <w:tcPr>
            <w:tcW w:w="1127"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598"/>
              </w:tabs>
              <w:spacing w:after="0"/>
              <w:rPr>
                <w:rFonts w:cs="Arial"/>
                <w:sz w:val="20"/>
                <w:szCs w:val="20"/>
              </w:rPr>
            </w:pPr>
            <w:r w:rsidRPr="007F41D7">
              <w:rPr>
                <w:rFonts w:cs="Arial"/>
                <w:sz w:val="20"/>
                <w:szCs w:val="20"/>
              </w:rPr>
              <w:t>47</w:t>
            </w:r>
          </w:p>
        </w:tc>
        <w:tc>
          <w:tcPr>
            <w:tcW w:w="1291"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821"/>
              </w:tabs>
              <w:spacing w:after="0"/>
              <w:rPr>
                <w:rFonts w:cs="Arial"/>
                <w:sz w:val="20"/>
                <w:szCs w:val="20"/>
              </w:rPr>
            </w:pPr>
            <w:r w:rsidRPr="0045523E">
              <w:rPr>
                <w:rFonts w:cs="Arial"/>
                <w:sz w:val="20"/>
                <w:szCs w:val="20"/>
              </w:rPr>
              <w:t>4,276</w:t>
            </w:r>
          </w:p>
        </w:tc>
        <w:tc>
          <w:tcPr>
            <w:tcW w:w="1062"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623"/>
              </w:tabs>
              <w:spacing w:after="0"/>
              <w:rPr>
                <w:rFonts w:cs="Arial"/>
                <w:sz w:val="20"/>
                <w:szCs w:val="20"/>
              </w:rPr>
            </w:pPr>
            <w:r w:rsidRPr="00991ACB">
              <w:rPr>
                <w:rFonts w:cs="Arial"/>
                <w:sz w:val="20"/>
                <w:szCs w:val="20"/>
              </w:rPr>
              <w:t>705</w:t>
            </w:r>
          </w:p>
        </w:tc>
        <w:tc>
          <w:tcPr>
            <w:tcW w:w="1474"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988"/>
              </w:tabs>
              <w:spacing w:after="0"/>
              <w:rPr>
                <w:rFonts w:cs="Arial"/>
                <w:sz w:val="20"/>
                <w:szCs w:val="20"/>
              </w:rPr>
            </w:pPr>
            <w:r w:rsidRPr="0045523E">
              <w:rPr>
                <w:rFonts w:cs="Arial"/>
                <w:sz w:val="20"/>
                <w:szCs w:val="20"/>
              </w:rPr>
              <w:t>64,140</w:t>
            </w:r>
          </w:p>
        </w:tc>
      </w:tr>
      <w:tr w:rsidR="00674E1C" w:rsidRPr="00991ACB" w:rsidTr="005826AF">
        <w:trPr>
          <w:cantSplit/>
        </w:trPr>
        <w:tc>
          <w:tcPr>
            <w:tcW w:w="3930" w:type="dxa"/>
            <w:tcBorders>
              <w:top w:val="nil"/>
              <w:left w:val="single" w:sz="4" w:space="0" w:color="auto"/>
              <w:bottom w:val="single" w:sz="4" w:space="0" w:color="auto"/>
              <w:right w:val="single" w:sz="4" w:space="0" w:color="auto"/>
            </w:tcBorders>
            <w:shd w:val="clear" w:color="auto" w:fill="auto"/>
            <w:hideMark/>
          </w:tcPr>
          <w:p w:rsidR="00674E1C" w:rsidRPr="00991ACB" w:rsidRDefault="00674E1C" w:rsidP="00386B78">
            <w:pPr>
              <w:keepNext/>
              <w:spacing w:after="0"/>
              <w:ind w:left="360" w:hanging="360"/>
              <w:rPr>
                <w:rFonts w:cs="Arial"/>
                <w:sz w:val="20"/>
                <w:szCs w:val="20"/>
              </w:rPr>
            </w:pPr>
            <w:r w:rsidRPr="00991ACB">
              <w:rPr>
                <w:rFonts w:cs="Arial"/>
                <w:sz w:val="20"/>
                <w:szCs w:val="20"/>
              </w:rPr>
              <w:t>11)</w:t>
            </w:r>
            <w:r w:rsidRPr="00991ACB">
              <w:tab/>
            </w:r>
            <w:r w:rsidRPr="00991ACB">
              <w:rPr>
                <w:rFonts w:cs="Arial"/>
                <w:sz w:val="20"/>
                <w:szCs w:val="20"/>
              </w:rPr>
              <w:t>Maintain records</w:t>
            </w:r>
            <w:r w:rsidRPr="00991ACB">
              <w:rPr>
                <w:rFonts w:cs="Arial"/>
                <w:sz w:val="20"/>
                <w:szCs w:val="20"/>
                <w:vertAlign w:val="superscript"/>
              </w:rPr>
              <w:t>(g)</w:t>
            </w:r>
          </w:p>
        </w:tc>
        <w:tc>
          <w:tcPr>
            <w:tcW w:w="1412" w:type="dxa"/>
            <w:vMerge/>
            <w:tcBorders>
              <w:left w:val="nil"/>
              <w:bottom w:val="single" w:sz="4" w:space="0" w:color="auto"/>
              <w:right w:val="single" w:sz="4" w:space="0" w:color="auto"/>
            </w:tcBorders>
            <w:shd w:val="clear" w:color="auto" w:fill="auto"/>
            <w:hideMark/>
          </w:tcPr>
          <w:p w:rsidR="00674E1C" w:rsidRPr="007F41D7" w:rsidRDefault="00674E1C" w:rsidP="00386B78">
            <w:pPr>
              <w:keepNext/>
              <w:tabs>
                <w:tab w:val="decimal" w:pos="683"/>
              </w:tabs>
              <w:spacing w:after="0"/>
              <w:rPr>
                <w:rFonts w:cs="Arial"/>
                <w:sz w:val="20"/>
                <w:szCs w:val="20"/>
              </w:rPr>
            </w:pPr>
          </w:p>
        </w:tc>
        <w:tc>
          <w:tcPr>
            <w:tcW w:w="1127" w:type="dxa"/>
            <w:tcBorders>
              <w:top w:val="nil"/>
              <w:left w:val="nil"/>
              <w:bottom w:val="single" w:sz="4" w:space="0" w:color="auto"/>
              <w:right w:val="single" w:sz="4" w:space="0" w:color="auto"/>
            </w:tcBorders>
            <w:shd w:val="clear" w:color="auto" w:fill="auto"/>
            <w:hideMark/>
          </w:tcPr>
          <w:p w:rsidR="00674E1C" w:rsidRPr="007F41D7" w:rsidRDefault="00674E1C" w:rsidP="00386B78">
            <w:pPr>
              <w:keepNext/>
              <w:tabs>
                <w:tab w:val="decimal" w:pos="598"/>
              </w:tabs>
              <w:spacing w:after="0"/>
              <w:rPr>
                <w:rFonts w:cs="Arial"/>
                <w:sz w:val="20"/>
                <w:szCs w:val="20"/>
              </w:rPr>
            </w:pPr>
            <w:r w:rsidRPr="007F41D7">
              <w:rPr>
                <w:rFonts w:cs="Arial"/>
                <w:sz w:val="20"/>
                <w:szCs w:val="20"/>
              </w:rPr>
              <w:t>43</w:t>
            </w:r>
          </w:p>
        </w:tc>
        <w:tc>
          <w:tcPr>
            <w:tcW w:w="1291" w:type="dxa"/>
            <w:tcBorders>
              <w:top w:val="nil"/>
              <w:left w:val="nil"/>
              <w:bottom w:val="single" w:sz="4" w:space="0" w:color="auto"/>
              <w:right w:val="single" w:sz="4" w:space="0" w:color="auto"/>
            </w:tcBorders>
            <w:shd w:val="clear" w:color="auto" w:fill="auto"/>
            <w:hideMark/>
          </w:tcPr>
          <w:p w:rsidR="00674E1C" w:rsidRPr="007F41D7" w:rsidRDefault="005826AF" w:rsidP="00386B78">
            <w:pPr>
              <w:keepNext/>
              <w:tabs>
                <w:tab w:val="decimal" w:pos="821"/>
              </w:tabs>
              <w:spacing w:after="0"/>
              <w:rPr>
                <w:rFonts w:cs="Arial"/>
                <w:sz w:val="20"/>
                <w:szCs w:val="20"/>
              </w:rPr>
            </w:pPr>
            <w:r>
              <w:rPr>
                <w:rFonts w:cs="Arial"/>
                <w:sz w:val="20"/>
                <w:szCs w:val="20"/>
              </w:rPr>
              <w:t>3,</w:t>
            </w:r>
            <w:r w:rsidR="00674E1C" w:rsidRPr="0045523E">
              <w:rPr>
                <w:rFonts w:cs="Arial"/>
                <w:sz w:val="20"/>
                <w:szCs w:val="20"/>
              </w:rPr>
              <w:t>697</w:t>
            </w:r>
          </w:p>
        </w:tc>
        <w:tc>
          <w:tcPr>
            <w:tcW w:w="1062"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623"/>
              </w:tabs>
              <w:spacing w:after="0"/>
              <w:rPr>
                <w:rFonts w:cs="Arial"/>
                <w:sz w:val="20"/>
                <w:szCs w:val="20"/>
              </w:rPr>
            </w:pPr>
            <w:r w:rsidRPr="00991ACB">
              <w:rPr>
                <w:rFonts w:cs="Arial"/>
                <w:sz w:val="20"/>
                <w:szCs w:val="20"/>
              </w:rPr>
              <w:t>645</w:t>
            </w:r>
          </w:p>
        </w:tc>
        <w:tc>
          <w:tcPr>
            <w:tcW w:w="1474" w:type="dxa"/>
            <w:tcBorders>
              <w:top w:val="nil"/>
              <w:left w:val="nil"/>
              <w:bottom w:val="single" w:sz="4" w:space="0" w:color="auto"/>
              <w:right w:val="single" w:sz="4" w:space="0" w:color="auto"/>
            </w:tcBorders>
            <w:shd w:val="clear" w:color="000000" w:fill="B8CCE4"/>
            <w:hideMark/>
          </w:tcPr>
          <w:p w:rsidR="00674E1C" w:rsidRPr="00991ACB" w:rsidRDefault="00674E1C" w:rsidP="00386B78">
            <w:pPr>
              <w:keepNext/>
              <w:tabs>
                <w:tab w:val="decimal" w:pos="988"/>
              </w:tabs>
              <w:spacing w:after="0"/>
              <w:rPr>
                <w:rFonts w:cs="Arial"/>
                <w:sz w:val="20"/>
                <w:szCs w:val="20"/>
              </w:rPr>
            </w:pPr>
            <w:r w:rsidRPr="0045523E">
              <w:rPr>
                <w:rFonts w:cs="Arial"/>
                <w:sz w:val="20"/>
                <w:szCs w:val="20"/>
              </w:rPr>
              <w:t>55,455</w:t>
            </w:r>
          </w:p>
        </w:tc>
      </w:tr>
      <w:tr w:rsidR="00DB16F5" w:rsidRPr="00991ACB" w:rsidTr="005826AF">
        <w:trPr>
          <w:cantSplit/>
        </w:trPr>
        <w:tc>
          <w:tcPr>
            <w:tcW w:w="5342"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DB16F5" w:rsidRPr="007F41D7" w:rsidRDefault="00DB16F5" w:rsidP="00674E1C">
            <w:pPr>
              <w:tabs>
                <w:tab w:val="decimal" w:pos="683"/>
              </w:tabs>
              <w:spacing w:after="0"/>
              <w:jc w:val="right"/>
              <w:rPr>
                <w:rFonts w:cs="Arial"/>
                <w:b/>
                <w:bCs/>
                <w:sz w:val="20"/>
                <w:szCs w:val="20"/>
              </w:rPr>
            </w:pPr>
            <w:r>
              <w:rPr>
                <w:rFonts w:cs="Arial"/>
                <w:b/>
                <w:bCs/>
                <w:sz w:val="20"/>
                <w:szCs w:val="20"/>
              </w:rPr>
              <w:t>Total</w:t>
            </w:r>
            <w:r w:rsidRPr="00CF1D4B">
              <w:rPr>
                <w:rFonts w:cs="Arial"/>
                <w:b/>
                <w:bCs/>
                <w:sz w:val="20"/>
                <w:szCs w:val="20"/>
              </w:rPr>
              <w:t>:</w:t>
            </w:r>
          </w:p>
        </w:tc>
        <w:tc>
          <w:tcPr>
            <w:tcW w:w="1127" w:type="dxa"/>
            <w:tcBorders>
              <w:top w:val="single" w:sz="4" w:space="0" w:color="auto"/>
              <w:left w:val="nil"/>
              <w:bottom w:val="single" w:sz="4" w:space="0" w:color="auto"/>
              <w:right w:val="single" w:sz="4" w:space="0" w:color="auto"/>
            </w:tcBorders>
            <w:shd w:val="clear" w:color="000000" w:fill="B8CCE4"/>
            <w:hideMark/>
          </w:tcPr>
          <w:p w:rsidR="00DB16F5" w:rsidRPr="007F41D7" w:rsidRDefault="00DB16F5" w:rsidP="00991ACB">
            <w:pPr>
              <w:tabs>
                <w:tab w:val="decimal" w:pos="598"/>
              </w:tabs>
              <w:spacing w:after="0"/>
              <w:rPr>
                <w:rFonts w:cs="Arial"/>
                <w:b/>
                <w:bCs/>
                <w:sz w:val="20"/>
                <w:szCs w:val="20"/>
              </w:rPr>
            </w:pPr>
            <w:r w:rsidRPr="007F41D7">
              <w:rPr>
                <w:rFonts w:cs="Arial"/>
                <w:b/>
                <w:bCs/>
                <w:sz w:val="20"/>
                <w:szCs w:val="20"/>
              </w:rPr>
              <w:t>204</w:t>
            </w:r>
          </w:p>
        </w:tc>
        <w:tc>
          <w:tcPr>
            <w:tcW w:w="1291" w:type="dxa"/>
            <w:tcBorders>
              <w:top w:val="single" w:sz="4" w:space="0" w:color="auto"/>
              <w:left w:val="nil"/>
              <w:bottom w:val="single" w:sz="4" w:space="0" w:color="auto"/>
              <w:right w:val="single" w:sz="4" w:space="0" w:color="auto"/>
            </w:tcBorders>
            <w:shd w:val="clear" w:color="000000" w:fill="B8CCE4"/>
            <w:hideMark/>
          </w:tcPr>
          <w:p w:rsidR="00DB16F5" w:rsidRPr="0045523E" w:rsidRDefault="00DB16F5" w:rsidP="0045523E">
            <w:pPr>
              <w:tabs>
                <w:tab w:val="decimal" w:pos="821"/>
              </w:tabs>
              <w:spacing w:after="0"/>
              <w:rPr>
                <w:rFonts w:cs="Arial"/>
                <w:b/>
                <w:bCs/>
                <w:sz w:val="20"/>
                <w:szCs w:val="20"/>
              </w:rPr>
            </w:pPr>
            <w:r w:rsidRPr="0045523E">
              <w:rPr>
                <w:rFonts w:cs="Arial"/>
                <w:b/>
                <w:bCs/>
                <w:sz w:val="20"/>
                <w:szCs w:val="20"/>
              </w:rPr>
              <w:t>$</w:t>
            </w:r>
            <w:r w:rsidRPr="0045523E">
              <w:rPr>
                <w:rFonts w:cs="Arial"/>
                <w:b/>
                <w:sz w:val="20"/>
                <w:szCs w:val="20"/>
              </w:rPr>
              <w:t>18,572</w:t>
            </w:r>
          </w:p>
        </w:tc>
        <w:tc>
          <w:tcPr>
            <w:tcW w:w="1062" w:type="dxa"/>
            <w:tcBorders>
              <w:top w:val="single" w:sz="4" w:space="0" w:color="auto"/>
              <w:left w:val="nil"/>
              <w:bottom w:val="single" w:sz="4" w:space="0" w:color="auto"/>
              <w:right w:val="single" w:sz="4" w:space="0" w:color="auto"/>
            </w:tcBorders>
            <w:shd w:val="clear" w:color="000000" w:fill="B8CCE4"/>
            <w:hideMark/>
          </w:tcPr>
          <w:p w:rsidR="00DB16F5" w:rsidRPr="00991ACB" w:rsidRDefault="00DB16F5" w:rsidP="00FB70F3">
            <w:pPr>
              <w:tabs>
                <w:tab w:val="decimal" w:pos="623"/>
              </w:tabs>
              <w:spacing w:after="0"/>
              <w:rPr>
                <w:rFonts w:cs="Arial"/>
                <w:b/>
                <w:bCs/>
                <w:sz w:val="20"/>
                <w:szCs w:val="20"/>
              </w:rPr>
            </w:pPr>
            <w:r w:rsidRPr="00991ACB">
              <w:rPr>
                <w:rFonts w:cs="Arial"/>
                <w:b/>
                <w:bCs/>
                <w:sz w:val="20"/>
                <w:szCs w:val="20"/>
              </w:rPr>
              <w:t>3,060</w:t>
            </w:r>
          </w:p>
        </w:tc>
        <w:tc>
          <w:tcPr>
            <w:tcW w:w="1474" w:type="dxa"/>
            <w:tcBorders>
              <w:top w:val="single" w:sz="4" w:space="0" w:color="auto"/>
              <w:left w:val="nil"/>
              <w:bottom w:val="single" w:sz="4" w:space="0" w:color="auto"/>
              <w:right w:val="single" w:sz="4" w:space="0" w:color="auto"/>
            </w:tcBorders>
            <w:shd w:val="clear" w:color="000000" w:fill="B8CCE4"/>
            <w:hideMark/>
          </w:tcPr>
          <w:p w:rsidR="00DB16F5" w:rsidRPr="0045523E" w:rsidRDefault="00DB16F5" w:rsidP="0045523E">
            <w:pPr>
              <w:tabs>
                <w:tab w:val="decimal" w:pos="988"/>
              </w:tabs>
              <w:spacing w:after="0"/>
              <w:rPr>
                <w:rFonts w:cs="Arial"/>
                <w:b/>
                <w:bCs/>
                <w:sz w:val="20"/>
                <w:szCs w:val="20"/>
              </w:rPr>
            </w:pPr>
            <w:r w:rsidRPr="0045523E">
              <w:rPr>
                <w:rFonts w:cs="Arial"/>
                <w:b/>
                <w:bCs/>
                <w:sz w:val="20"/>
                <w:szCs w:val="20"/>
              </w:rPr>
              <w:t>$</w:t>
            </w:r>
            <w:r w:rsidRPr="0045523E">
              <w:rPr>
                <w:rFonts w:cs="Arial"/>
                <w:b/>
                <w:sz w:val="20"/>
                <w:szCs w:val="20"/>
              </w:rPr>
              <w:t>278,580</w:t>
            </w:r>
          </w:p>
        </w:tc>
      </w:tr>
      <w:tr w:rsidR="00FB70F3" w:rsidRPr="00991ACB" w:rsidTr="004864EF">
        <w:trPr>
          <w:cantSplit/>
        </w:trPr>
        <w:tc>
          <w:tcPr>
            <w:tcW w:w="10296" w:type="dxa"/>
            <w:gridSpan w:val="6"/>
            <w:tcBorders>
              <w:top w:val="single" w:sz="4" w:space="0" w:color="auto"/>
            </w:tcBorders>
            <w:shd w:val="clear" w:color="auto" w:fill="auto"/>
          </w:tcPr>
          <w:p w:rsidR="00FB70F3" w:rsidRPr="00991ACB" w:rsidRDefault="00FB70F3" w:rsidP="00991ACB">
            <w:pPr>
              <w:spacing w:after="0"/>
              <w:rPr>
                <w:rFonts w:cs="Arial"/>
                <w:bCs/>
                <w:sz w:val="18"/>
                <w:szCs w:val="18"/>
                <w:u w:val="single"/>
              </w:rPr>
            </w:pPr>
            <w:r w:rsidRPr="00991ACB">
              <w:rPr>
                <w:rFonts w:cs="Arial"/>
                <w:bCs/>
                <w:sz w:val="18"/>
                <w:szCs w:val="18"/>
                <w:u w:val="single"/>
              </w:rPr>
              <w:t>Key:</w:t>
            </w:r>
          </w:p>
        </w:tc>
      </w:tr>
      <w:tr w:rsidR="00FB70F3" w:rsidRPr="00991ACB" w:rsidTr="004864EF">
        <w:trPr>
          <w:cantSplit/>
        </w:trPr>
        <w:tc>
          <w:tcPr>
            <w:tcW w:w="10296" w:type="dxa"/>
            <w:gridSpan w:val="6"/>
            <w:shd w:val="clear" w:color="auto" w:fill="auto"/>
          </w:tcPr>
          <w:p w:rsidR="00FB70F3" w:rsidRPr="00991ACB" w:rsidRDefault="00FB70F3" w:rsidP="00991ACB">
            <w:pPr>
              <w:spacing w:after="0"/>
              <w:rPr>
                <w:rFonts w:cs="Arial"/>
                <w:bCs/>
                <w:sz w:val="18"/>
                <w:szCs w:val="18"/>
              </w:rPr>
            </w:pPr>
            <w:r w:rsidRPr="00991ACB">
              <w:rPr>
                <w:rFonts w:cs="Arial"/>
                <w:bCs/>
                <w:sz w:val="18"/>
                <w:szCs w:val="18"/>
              </w:rPr>
              <w:t>(a) Activities are described in more detail in section 4(b) of this ICR.</w:t>
            </w:r>
          </w:p>
        </w:tc>
      </w:tr>
      <w:tr w:rsidR="00FB70F3" w:rsidRPr="00991ACB" w:rsidTr="004864EF">
        <w:trPr>
          <w:cantSplit/>
        </w:trPr>
        <w:tc>
          <w:tcPr>
            <w:tcW w:w="10296" w:type="dxa"/>
            <w:gridSpan w:val="6"/>
            <w:shd w:val="clear" w:color="auto" w:fill="auto"/>
          </w:tcPr>
          <w:p w:rsidR="00FB70F3" w:rsidRPr="00991ACB" w:rsidRDefault="00FB70F3" w:rsidP="000E0276">
            <w:pPr>
              <w:spacing w:after="0"/>
              <w:rPr>
                <w:rFonts w:cs="Arial"/>
                <w:bCs/>
                <w:sz w:val="18"/>
                <w:szCs w:val="18"/>
              </w:rPr>
            </w:pPr>
            <w:r w:rsidRPr="00991ACB">
              <w:rPr>
                <w:rFonts w:cs="Arial"/>
                <w:bCs/>
                <w:sz w:val="18"/>
                <w:szCs w:val="18"/>
              </w:rPr>
              <w:t>(b) From Table 1, catch-up orders.</w:t>
            </w:r>
          </w:p>
        </w:tc>
      </w:tr>
      <w:tr w:rsidR="00FB70F3" w:rsidRPr="00991ACB" w:rsidTr="004864EF">
        <w:trPr>
          <w:cantSplit/>
        </w:trPr>
        <w:tc>
          <w:tcPr>
            <w:tcW w:w="10296" w:type="dxa"/>
            <w:gridSpan w:val="6"/>
            <w:shd w:val="clear" w:color="auto" w:fill="auto"/>
          </w:tcPr>
          <w:p w:rsidR="00FB70F3" w:rsidRPr="00991ACB" w:rsidRDefault="00FB70F3" w:rsidP="00991ACB">
            <w:pPr>
              <w:spacing w:after="0"/>
              <w:rPr>
                <w:rFonts w:cs="Arial"/>
                <w:bCs/>
                <w:sz w:val="18"/>
                <w:szCs w:val="18"/>
              </w:rPr>
            </w:pPr>
            <w:r w:rsidRPr="00991ACB">
              <w:rPr>
                <w:rFonts w:cs="Arial"/>
                <w:bCs/>
                <w:sz w:val="18"/>
                <w:szCs w:val="18"/>
              </w:rPr>
              <w:t>(c) See Activity listing in Table 6.</w:t>
            </w:r>
          </w:p>
        </w:tc>
      </w:tr>
      <w:tr w:rsidR="00FB70F3" w:rsidRPr="00991ACB" w:rsidTr="004864EF">
        <w:trPr>
          <w:cantSplit/>
        </w:trPr>
        <w:tc>
          <w:tcPr>
            <w:tcW w:w="10296" w:type="dxa"/>
            <w:gridSpan w:val="6"/>
            <w:shd w:val="clear" w:color="auto" w:fill="auto"/>
          </w:tcPr>
          <w:p w:rsidR="00FB70F3" w:rsidRPr="00991ACB" w:rsidRDefault="00FB70F3" w:rsidP="00991ACB">
            <w:pPr>
              <w:spacing w:after="0"/>
              <w:rPr>
                <w:rFonts w:cs="Arial"/>
                <w:bCs/>
                <w:sz w:val="18"/>
                <w:szCs w:val="18"/>
              </w:rPr>
            </w:pPr>
            <w:r w:rsidRPr="00991ACB">
              <w:rPr>
                <w:rFonts w:cs="Arial"/>
                <w:bCs/>
                <w:sz w:val="18"/>
                <w:szCs w:val="18"/>
              </w:rPr>
              <w:t>(d) See Activity listing in Table 7.</w:t>
            </w:r>
          </w:p>
        </w:tc>
      </w:tr>
      <w:tr w:rsidR="00FB70F3" w:rsidRPr="00991ACB" w:rsidTr="004864EF">
        <w:trPr>
          <w:cantSplit/>
        </w:trPr>
        <w:tc>
          <w:tcPr>
            <w:tcW w:w="10296" w:type="dxa"/>
            <w:gridSpan w:val="6"/>
            <w:shd w:val="clear" w:color="auto" w:fill="auto"/>
          </w:tcPr>
          <w:p w:rsidR="00FB70F3" w:rsidRPr="00991ACB" w:rsidRDefault="00FB70F3" w:rsidP="00991ACB">
            <w:pPr>
              <w:spacing w:after="0"/>
              <w:rPr>
                <w:rFonts w:cs="Arial"/>
                <w:bCs/>
                <w:sz w:val="18"/>
                <w:szCs w:val="18"/>
              </w:rPr>
            </w:pPr>
            <w:r w:rsidRPr="00991ACB">
              <w:rPr>
                <w:rFonts w:cs="Arial"/>
                <w:bCs/>
                <w:sz w:val="18"/>
                <w:szCs w:val="18"/>
              </w:rPr>
              <w:t>(e) Total = (b) x (c)</w:t>
            </w:r>
          </w:p>
        </w:tc>
      </w:tr>
      <w:tr w:rsidR="00FB70F3" w:rsidRPr="00991ACB" w:rsidTr="004864EF">
        <w:trPr>
          <w:cantSplit/>
        </w:trPr>
        <w:tc>
          <w:tcPr>
            <w:tcW w:w="10296" w:type="dxa"/>
            <w:gridSpan w:val="6"/>
            <w:shd w:val="clear" w:color="auto" w:fill="auto"/>
          </w:tcPr>
          <w:p w:rsidR="00FB70F3" w:rsidRPr="00991ACB" w:rsidRDefault="00FB70F3" w:rsidP="00991ACB">
            <w:pPr>
              <w:spacing w:after="0"/>
              <w:rPr>
                <w:rFonts w:cs="Arial"/>
                <w:bCs/>
                <w:sz w:val="18"/>
                <w:szCs w:val="18"/>
              </w:rPr>
            </w:pPr>
            <w:r w:rsidRPr="00991ACB">
              <w:rPr>
                <w:rFonts w:cs="Arial"/>
                <w:bCs/>
                <w:sz w:val="18"/>
                <w:szCs w:val="18"/>
              </w:rPr>
              <w:t>(f) Total = (b) x (d)</w:t>
            </w:r>
          </w:p>
        </w:tc>
      </w:tr>
      <w:tr w:rsidR="00FB70F3" w:rsidRPr="00991ACB" w:rsidTr="004864EF">
        <w:trPr>
          <w:cantSplit/>
        </w:trPr>
        <w:tc>
          <w:tcPr>
            <w:tcW w:w="10296" w:type="dxa"/>
            <w:gridSpan w:val="6"/>
            <w:shd w:val="clear" w:color="auto" w:fill="auto"/>
            <w:vAlign w:val="bottom"/>
          </w:tcPr>
          <w:p w:rsidR="00FB70F3" w:rsidRPr="00991ACB" w:rsidRDefault="00FB70F3" w:rsidP="00991ACB">
            <w:pPr>
              <w:spacing w:after="0"/>
              <w:rPr>
                <w:rFonts w:cs="Arial"/>
                <w:bCs/>
                <w:sz w:val="18"/>
                <w:szCs w:val="18"/>
              </w:rPr>
            </w:pPr>
            <w:r w:rsidRPr="007F41D7">
              <w:rPr>
                <w:rFonts w:cs="Arial"/>
                <w:bCs/>
                <w:sz w:val="18"/>
                <w:szCs w:val="18"/>
              </w:rPr>
              <w:t>(g) Main</w:t>
            </w:r>
            <w:r w:rsidR="0021660C">
              <w:rPr>
                <w:rFonts w:cs="Arial"/>
                <w:bCs/>
                <w:sz w:val="18"/>
                <w:szCs w:val="18"/>
              </w:rPr>
              <w:t>taining records of the initial r</w:t>
            </w:r>
            <w:r w:rsidRPr="007F41D7">
              <w:rPr>
                <w:rFonts w:cs="Arial"/>
                <w:bCs/>
                <w:sz w:val="18"/>
                <w:szCs w:val="18"/>
              </w:rPr>
              <w:t>esponse is estimated to be ½ of the totals in Tables 6</w:t>
            </w:r>
            <w:r w:rsidR="00674E1C">
              <w:rPr>
                <w:rFonts w:cs="Arial"/>
                <w:bCs/>
                <w:sz w:val="18"/>
                <w:szCs w:val="18"/>
              </w:rPr>
              <w:t xml:space="preserve"> and </w:t>
            </w:r>
            <w:r w:rsidRPr="007F41D7">
              <w:rPr>
                <w:rFonts w:cs="Arial"/>
                <w:bCs/>
                <w:sz w:val="18"/>
                <w:szCs w:val="18"/>
              </w:rPr>
              <w:t>7.</w:t>
            </w:r>
          </w:p>
        </w:tc>
      </w:tr>
    </w:tbl>
    <w:p w:rsidR="000F0DF3" w:rsidRDefault="001F435B" w:rsidP="002F2414">
      <w:pPr>
        <w:spacing w:before="240"/>
      </w:pPr>
      <w:r>
        <w:t>The total IC</w:t>
      </w:r>
      <w:r w:rsidR="00D16F25">
        <w:t xml:space="preserve"> </w:t>
      </w:r>
      <w:r>
        <w:t>#1 burden and costs is therefore a total of 12,240 hours (9,180 hrs + 3,060 hrs) and $</w:t>
      </w:r>
      <w:r w:rsidR="008310C3">
        <w:t>1,114,320 ($835,740 + $</w:t>
      </w:r>
      <w:r w:rsidR="00D16F25">
        <w:t>278,580</w:t>
      </w:r>
      <w:r>
        <w:t>).</w:t>
      </w:r>
    </w:p>
    <w:p w:rsidR="000F0DF3" w:rsidRDefault="00A31A91" w:rsidP="00123223">
      <w:pPr>
        <w:pStyle w:val="Heading4"/>
      </w:pPr>
      <w:r>
        <w:t>IC #</w:t>
      </w:r>
      <w:r w:rsidR="001F435B">
        <w:t>2</w:t>
      </w:r>
      <w:r w:rsidR="000C6CB0">
        <w:t xml:space="preserve">:  </w:t>
      </w:r>
      <w:r w:rsidR="001F435B">
        <w:t>Data Generators/Submitters:</w:t>
      </w:r>
    </w:p>
    <w:p w:rsidR="000F0DF3" w:rsidRDefault="001F435B" w:rsidP="00F16932">
      <w:r>
        <w:t xml:space="preserve">This IC category of respondents is intended to capture the additional burden and costs expected for a subset of the order recipients who are generating and submitting the requested data to the </w:t>
      </w:r>
      <w:r w:rsidR="00CF1D4B">
        <w:t>agency</w:t>
      </w:r>
      <w:r>
        <w:t>.</w:t>
      </w:r>
      <w:r w:rsidR="000C6CB0">
        <w:t xml:space="preserve"> </w:t>
      </w:r>
      <w:r>
        <w:t xml:space="preserve">As discussed previously, </w:t>
      </w:r>
      <w:r w:rsidR="002F2414">
        <w:t>the EPA</w:t>
      </w:r>
      <w:r>
        <w:t xml:space="preserve"> assumes that for each chemical, the data will be submitted only once, either by an individual order recipient or a consortium.</w:t>
      </w:r>
      <w:r w:rsidR="000C6CB0">
        <w:t xml:space="preserve"> </w:t>
      </w:r>
      <w:r>
        <w:t xml:space="preserve">For this IC category, the </w:t>
      </w:r>
      <w:r w:rsidR="00CF1D4B">
        <w:t>agency</w:t>
      </w:r>
      <w:r>
        <w:t xml:space="preserve"> assumes that these respondents will engage in the activities identified in Table 6</w:t>
      </w:r>
      <w:r w:rsidR="00674E1C">
        <w:t xml:space="preserve"> and </w:t>
      </w:r>
      <w:r>
        <w:t>7 as activities 4 and 6</w:t>
      </w:r>
      <w:r w:rsidR="009639CD">
        <w:t xml:space="preserve"> through </w:t>
      </w:r>
      <w:r>
        <w:t>12, which are all associated with generating and submitting the data.</w:t>
      </w:r>
      <w:r w:rsidR="000C6CB0">
        <w:t xml:space="preserve"> </w:t>
      </w:r>
      <w:r>
        <w:t>Please note that participation in a consortium is addressed in the next group of ICs.</w:t>
      </w:r>
    </w:p>
    <w:p w:rsidR="0076212E" w:rsidRPr="0076212E" w:rsidRDefault="0076212E" w:rsidP="0021660C">
      <w:pPr>
        <w:pStyle w:val="TableCaption"/>
      </w:pPr>
      <w:r w:rsidRPr="0076212E">
        <w:lastRenderedPageBreak/>
        <w:t xml:space="preserve">Table 10 – </w:t>
      </w:r>
      <w:r w:rsidR="00A31A91">
        <w:t>IC #</w:t>
      </w:r>
      <w:r w:rsidRPr="0076212E">
        <w:t>2</w:t>
      </w:r>
      <w:r w:rsidR="000C6CB0">
        <w:t xml:space="preserve">:  </w:t>
      </w:r>
      <w:r w:rsidRPr="0076212E">
        <w:t>Estimated Burden</w:t>
      </w:r>
      <w:r w:rsidR="00674E1C">
        <w:t xml:space="preserve"> and </w:t>
      </w:r>
      <w:r w:rsidRPr="0076212E">
        <w:t xml:space="preserve">Costs for </w:t>
      </w:r>
      <w:r w:rsidRPr="00DC6A9C">
        <w:rPr>
          <w:color w:val="0000FF"/>
        </w:rPr>
        <w:t>Data Generators and Submitters – Registrants of Pesticide Active Ingredients</w:t>
      </w:r>
    </w:p>
    <w:tbl>
      <w:tblPr>
        <w:tblW w:w="5000" w:type="pct"/>
        <w:tblLayout w:type="fixed"/>
        <w:tblLook w:val="04A0"/>
      </w:tblPr>
      <w:tblGrid>
        <w:gridCol w:w="4698"/>
        <w:gridCol w:w="1260"/>
        <w:gridCol w:w="990"/>
        <w:gridCol w:w="1159"/>
        <w:gridCol w:w="966"/>
        <w:gridCol w:w="1223"/>
      </w:tblGrid>
      <w:tr w:rsidR="00991ACB" w:rsidRPr="007F41D7" w:rsidTr="00AD2C69">
        <w:trPr>
          <w:cantSplit/>
        </w:trPr>
        <w:tc>
          <w:tcPr>
            <w:tcW w:w="469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991ACB" w:rsidRPr="007F41D7" w:rsidRDefault="00991ACB" w:rsidP="0021660C">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Total # Responses</w:t>
            </w:r>
            <w:r w:rsidRPr="007F41D7">
              <w:rPr>
                <w:rFonts w:cs="Arial"/>
                <w:b/>
                <w:bCs/>
                <w:sz w:val="20"/>
                <w:szCs w:val="20"/>
                <w:vertAlign w:val="superscript"/>
              </w:rPr>
              <w:t>(b)</w:t>
            </w:r>
          </w:p>
        </w:tc>
        <w:tc>
          <w:tcPr>
            <w:tcW w:w="2149" w:type="dxa"/>
            <w:gridSpan w:val="2"/>
            <w:tcBorders>
              <w:top w:val="single" w:sz="4" w:space="0" w:color="auto"/>
              <w:left w:val="nil"/>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Per Response</w:t>
            </w:r>
          </w:p>
        </w:tc>
        <w:tc>
          <w:tcPr>
            <w:tcW w:w="2189" w:type="dxa"/>
            <w:gridSpan w:val="2"/>
            <w:tcBorders>
              <w:top w:val="single" w:sz="4" w:space="0" w:color="auto"/>
              <w:left w:val="nil"/>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Total</w:t>
            </w:r>
          </w:p>
        </w:tc>
      </w:tr>
      <w:tr w:rsidR="00991ACB" w:rsidRPr="00991ACB" w:rsidTr="00AD2C69">
        <w:trPr>
          <w:cantSplit/>
          <w:trHeight w:val="230"/>
        </w:trPr>
        <w:tc>
          <w:tcPr>
            <w:tcW w:w="4698" w:type="dxa"/>
            <w:vMerge/>
            <w:tcBorders>
              <w:top w:val="single" w:sz="4" w:space="0" w:color="auto"/>
              <w:left w:val="single" w:sz="4" w:space="0" w:color="auto"/>
              <w:bottom w:val="single" w:sz="4" w:space="0" w:color="auto"/>
              <w:right w:val="single" w:sz="4" w:space="0" w:color="auto"/>
            </w:tcBorders>
            <w:vAlign w:val="bottom"/>
            <w:hideMark/>
          </w:tcPr>
          <w:p w:rsidR="00991ACB" w:rsidRPr="007F41D7" w:rsidRDefault="00991ACB" w:rsidP="0021660C">
            <w:pPr>
              <w:keepNext/>
              <w:spacing w:after="0"/>
              <w:rPr>
                <w:rFonts w:cs="Arial"/>
                <w:b/>
                <w:bCs/>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bottom"/>
            <w:hideMark/>
          </w:tcPr>
          <w:p w:rsidR="00991ACB" w:rsidRPr="007F41D7" w:rsidRDefault="00991ACB" w:rsidP="0021660C">
            <w:pPr>
              <w:keepNext/>
              <w:spacing w:after="0"/>
              <w:rPr>
                <w:rFonts w:cs="Arial"/>
                <w:b/>
                <w:bCs/>
                <w:sz w:val="20"/>
                <w:szCs w:val="20"/>
              </w:rPr>
            </w:pPr>
          </w:p>
        </w:tc>
        <w:tc>
          <w:tcPr>
            <w:tcW w:w="990" w:type="dxa"/>
            <w:vMerge w:val="restart"/>
            <w:tcBorders>
              <w:top w:val="nil"/>
              <w:left w:val="single" w:sz="4" w:space="0" w:color="auto"/>
              <w:bottom w:val="single" w:sz="4" w:space="0" w:color="000000"/>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159" w:type="dxa"/>
            <w:vMerge w:val="restart"/>
            <w:tcBorders>
              <w:top w:val="nil"/>
              <w:left w:val="single" w:sz="4" w:space="0" w:color="auto"/>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966" w:type="dxa"/>
            <w:vMerge w:val="restart"/>
            <w:tcBorders>
              <w:top w:val="nil"/>
              <w:left w:val="single" w:sz="4" w:space="0" w:color="auto"/>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223" w:type="dxa"/>
            <w:vMerge w:val="restart"/>
            <w:tcBorders>
              <w:top w:val="nil"/>
              <w:left w:val="single" w:sz="4" w:space="0" w:color="auto"/>
              <w:bottom w:val="single" w:sz="4" w:space="0" w:color="auto"/>
              <w:right w:val="single" w:sz="4" w:space="0" w:color="auto"/>
            </w:tcBorders>
            <w:shd w:val="clear" w:color="000000" w:fill="B8CCE4"/>
            <w:vAlign w:val="bottom"/>
            <w:hideMark/>
          </w:tcPr>
          <w:p w:rsidR="00991ACB" w:rsidRPr="007F41D7" w:rsidRDefault="00991ACB" w:rsidP="0021660C">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991ACB" w:rsidRPr="007F41D7" w:rsidTr="00AD2C69">
        <w:trPr>
          <w:cantSplit/>
          <w:trHeight w:val="230"/>
        </w:trPr>
        <w:tc>
          <w:tcPr>
            <w:tcW w:w="4698" w:type="dxa"/>
            <w:vMerge/>
            <w:tcBorders>
              <w:top w:val="single" w:sz="4" w:space="0" w:color="auto"/>
              <w:left w:val="single" w:sz="4" w:space="0" w:color="auto"/>
              <w:bottom w:val="single" w:sz="4" w:space="0" w:color="auto"/>
              <w:right w:val="single" w:sz="4" w:space="0" w:color="auto"/>
            </w:tcBorders>
            <w:hideMark/>
          </w:tcPr>
          <w:p w:rsidR="00991ACB" w:rsidRPr="007F41D7" w:rsidRDefault="00991ACB" w:rsidP="0021660C">
            <w:pPr>
              <w:keepNext/>
              <w:spacing w:after="0"/>
              <w:rPr>
                <w:rFonts w:cs="Arial"/>
                <w:b/>
                <w:bCs/>
                <w:sz w:val="20"/>
                <w:szCs w:val="20"/>
              </w:rPr>
            </w:pPr>
          </w:p>
        </w:tc>
        <w:tc>
          <w:tcPr>
            <w:tcW w:w="1260" w:type="dxa"/>
            <w:vMerge/>
            <w:tcBorders>
              <w:top w:val="single" w:sz="4" w:space="0" w:color="auto"/>
              <w:left w:val="single" w:sz="4" w:space="0" w:color="auto"/>
              <w:bottom w:val="single" w:sz="4" w:space="0" w:color="auto"/>
              <w:right w:val="single" w:sz="4" w:space="0" w:color="auto"/>
            </w:tcBorders>
            <w:hideMark/>
          </w:tcPr>
          <w:p w:rsidR="00991ACB" w:rsidRPr="007F41D7" w:rsidRDefault="00991ACB" w:rsidP="0021660C">
            <w:pPr>
              <w:keepNext/>
              <w:spacing w:after="0"/>
              <w:rPr>
                <w:rFonts w:cs="Arial"/>
                <w:b/>
                <w:bCs/>
                <w:sz w:val="20"/>
                <w:szCs w:val="20"/>
              </w:rPr>
            </w:pPr>
          </w:p>
        </w:tc>
        <w:tc>
          <w:tcPr>
            <w:tcW w:w="990" w:type="dxa"/>
            <w:vMerge/>
            <w:tcBorders>
              <w:top w:val="nil"/>
              <w:left w:val="single" w:sz="4" w:space="0" w:color="auto"/>
              <w:bottom w:val="single" w:sz="4" w:space="0" w:color="000000"/>
              <w:right w:val="single" w:sz="4" w:space="0" w:color="auto"/>
            </w:tcBorders>
            <w:hideMark/>
          </w:tcPr>
          <w:p w:rsidR="00991ACB" w:rsidRPr="007F41D7" w:rsidRDefault="00991ACB" w:rsidP="0021660C">
            <w:pPr>
              <w:keepNext/>
              <w:spacing w:after="0"/>
              <w:rPr>
                <w:rFonts w:cs="Arial"/>
                <w:b/>
                <w:bCs/>
                <w:sz w:val="20"/>
                <w:szCs w:val="20"/>
              </w:rPr>
            </w:pPr>
          </w:p>
        </w:tc>
        <w:tc>
          <w:tcPr>
            <w:tcW w:w="1159" w:type="dxa"/>
            <w:vMerge/>
            <w:tcBorders>
              <w:top w:val="nil"/>
              <w:left w:val="single" w:sz="4" w:space="0" w:color="auto"/>
              <w:bottom w:val="single" w:sz="4" w:space="0" w:color="auto"/>
              <w:right w:val="single" w:sz="4" w:space="0" w:color="auto"/>
            </w:tcBorders>
            <w:hideMark/>
          </w:tcPr>
          <w:p w:rsidR="00991ACB" w:rsidRPr="007F41D7" w:rsidRDefault="00991ACB" w:rsidP="0021660C">
            <w:pPr>
              <w:keepNext/>
              <w:spacing w:after="0"/>
              <w:rPr>
                <w:rFonts w:cs="Arial"/>
                <w:b/>
                <w:bCs/>
                <w:sz w:val="20"/>
                <w:szCs w:val="20"/>
              </w:rPr>
            </w:pPr>
          </w:p>
        </w:tc>
        <w:tc>
          <w:tcPr>
            <w:tcW w:w="966" w:type="dxa"/>
            <w:vMerge/>
            <w:tcBorders>
              <w:top w:val="nil"/>
              <w:left w:val="single" w:sz="4" w:space="0" w:color="auto"/>
              <w:bottom w:val="single" w:sz="4" w:space="0" w:color="auto"/>
              <w:right w:val="single" w:sz="4" w:space="0" w:color="auto"/>
            </w:tcBorders>
            <w:hideMark/>
          </w:tcPr>
          <w:p w:rsidR="00991ACB" w:rsidRPr="007F41D7" w:rsidRDefault="00991ACB" w:rsidP="0021660C">
            <w:pPr>
              <w:keepNext/>
              <w:spacing w:after="0"/>
              <w:rPr>
                <w:rFonts w:cs="Arial"/>
                <w:b/>
                <w:bCs/>
                <w:sz w:val="20"/>
                <w:szCs w:val="20"/>
              </w:rPr>
            </w:pPr>
          </w:p>
        </w:tc>
        <w:tc>
          <w:tcPr>
            <w:tcW w:w="1223" w:type="dxa"/>
            <w:vMerge/>
            <w:tcBorders>
              <w:top w:val="nil"/>
              <w:left w:val="single" w:sz="4" w:space="0" w:color="auto"/>
              <w:bottom w:val="single" w:sz="4" w:space="0" w:color="auto"/>
              <w:right w:val="single" w:sz="4" w:space="0" w:color="auto"/>
            </w:tcBorders>
            <w:hideMark/>
          </w:tcPr>
          <w:p w:rsidR="00991ACB" w:rsidRPr="007F41D7" w:rsidRDefault="00991ACB" w:rsidP="0021660C">
            <w:pPr>
              <w:keepNext/>
              <w:spacing w:after="0"/>
              <w:rPr>
                <w:rFonts w:cs="Arial"/>
                <w:b/>
                <w:bCs/>
                <w:sz w:val="20"/>
                <w:szCs w:val="20"/>
              </w:rPr>
            </w:pP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4)</w:t>
            </w:r>
            <w:r>
              <w:tab/>
            </w:r>
            <w:r w:rsidRPr="00A149F2">
              <w:rPr>
                <w:rFonts w:cs="Arial"/>
                <w:sz w:val="20"/>
                <w:szCs w:val="20"/>
              </w:rPr>
              <w:t>Read and discuss the protocol</w:t>
            </w:r>
          </w:p>
        </w:tc>
        <w:tc>
          <w:tcPr>
            <w:tcW w:w="1260" w:type="dxa"/>
            <w:vMerge w:val="restart"/>
            <w:tcBorders>
              <w:top w:val="nil"/>
              <w:left w:val="nil"/>
              <w:right w:val="single" w:sz="4" w:space="0" w:color="auto"/>
            </w:tcBorders>
            <w:shd w:val="clear" w:color="auto" w:fill="auto"/>
            <w:vAlign w:val="center"/>
            <w:hideMark/>
          </w:tcPr>
          <w:p w:rsidR="0021660C" w:rsidRPr="00A149F2" w:rsidRDefault="0021660C" w:rsidP="0021660C">
            <w:pPr>
              <w:keepNext/>
              <w:spacing w:after="0"/>
              <w:jc w:val="center"/>
              <w:rPr>
                <w:rFonts w:cs="Arial"/>
                <w:sz w:val="20"/>
                <w:szCs w:val="20"/>
              </w:rPr>
            </w:pPr>
            <w:r>
              <w:rPr>
                <w:rFonts w:cs="Arial"/>
                <w:sz w:val="20"/>
                <w:szCs w:val="20"/>
              </w:rPr>
              <w:t>50</w:t>
            </w: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sidRPr="00A149F2">
              <w:rPr>
                <w:rFonts w:cs="Arial"/>
                <w:sz w:val="20"/>
                <w:szCs w:val="20"/>
              </w:rPr>
              <w:t>181</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Pr>
                <w:rFonts w:cs="Arial"/>
                <w:sz w:val="20"/>
                <w:szCs w:val="20"/>
              </w:rPr>
              <w:t>$</w:t>
            </w:r>
            <w:r w:rsidRPr="00CD6549">
              <w:rPr>
                <w:rFonts w:cs="Arial"/>
                <w:sz w:val="20"/>
                <w:szCs w:val="20"/>
              </w:rPr>
              <w:t>13,155</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650"/>
              </w:tabs>
              <w:spacing w:after="0"/>
              <w:rPr>
                <w:rFonts w:cs="Arial"/>
                <w:sz w:val="20"/>
                <w:szCs w:val="20"/>
              </w:rPr>
            </w:pPr>
            <w:r w:rsidRPr="00CD6549">
              <w:rPr>
                <w:rFonts w:cs="Arial"/>
                <w:sz w:val="20"/>
                <w:szCs w:val="20"/>
              </w:rPr>
              <w:t>9,050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Pr>
                <w:rFonts w:cs="Arial"/>
                <w:sz w:val="20"/>
                <w:szCs w:val="20"/>
              </w:rPr>
              <w:t>$</w:t>
            </w:r>
            <w:r w:rsidRPr="00CD6549">
              <w:rPr>
                <w:rFonts w:cs="Arial"/>
                <w:sz w:val="20"/>
                <w:szCs w:val="20"/>
              </w:rPr>
              <w:t>657,750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6)</w:t>
            </w:r>
            <w:r>
              <w:tab/>
            </w:r>
            <w:r w:rsidRPr="00A149F2">
              <w:rPr>
                <w:rFonts w:cs="Arial"/>
                <w:sz w:val="20"/>
                <w:szCs w:val="20"/>
              </w:rPr>
              <w:t>Generate the data</w:t>
            </w:r>
            <w:r w:rsidRPr="00A149F2">
              <w:rPr>
                <w:rFonts w:cs="Arial"/>
                <w:sz w:val="20"/>
                <w:szCs w:val="20"/>
                <w:vertAlign w:val="superscript"/>
              </w:rPr>
              <w:t>(h)</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Pr>
                <w:rFonts w:cs="Arial"/>
                <w:sz w:val="20"/>
                <w:szCs w:val="20"/>
              </w:rPr>
              <w:t>4,012</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sidRPr="00CD6549">
              <w:rPr>
                <w:rFonts w:cs="Arial"/>
                <w:sz w:val="20"/>
                <w:szCs w:val="20"/>
              </w:rPr>
              <w:t>242,582</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650"/>
              </w:tabs>
              <w:spacing w:after="0"/>
              <w:rPr>
                <w:rFonts w:cs="Arial"/>
                <w:sz w:val="20"/>
                <w:szCs w:val="20"/>
              </w:rPr>
            </w:pPr>
            <w:r w:rsidRPr="00CD6549">
              <w:rPr>
                <w:rFonts w:cs="Arial"/>
                <w:sz w:val="20"/>
                <w:szCs w:val="20"/>
              </w:rPr>
              <w:t>200,600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0D51DB" w:rsidP="00A540B8">
            <w:pPr>
              <w:keepNext/>
              <w:tabs>
                <w:tab w:val="decimal" w:pos="1007"/>
              </w:tabs>
              <w:spacing w:after="0"/>
              <w:rPr>
                <w:rFonts w:cs="Arial"/>
                <w:sz w:val="20"/>
                <w:szCs w:val="20"/>
              </w:rPr>
            </w:pPr>
            <w:r>
              <w:rPr>
                <w:rFonts w:cs="Arial"/>
                <w:sz w:val="20"/>
                <w:szCs w:val="20"/>
              </w:rPr>
              <w:t>12,</w:t>
            </w:r>
            <w:r w:rsidR="0021660C" w:rsidRPr="00CD6549">
              <w:rPr>
                <w:rFonts w:cs="Arial"/>
                <w:sz w:val="20"/>
                <w:szCs w:val="20"/>
              </w:rPr>
              <w:t>129,100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7)</w:t>
            </w:r>
            <w:r>
              <w:tab/>
            </w:r>
            <w:r w:rsidRPr="00A149F2">
              <w:rPr>
                <w:rFonts w:cs="Arial"/>
                <w:sz w:val="20"/>
                <w:szCs w:val="20"/>
              </w:rPr>
              <w:t>Submit Progress Report</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sidRPr="00A149F2">
              <w:rPr>
                <w:rFonts w:cs="Arial"/>
                <w:sz w:val="20"/>
                <w:szCs w:val="20"/>
              </w:rPr>
              <w:t>32</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sidRPr="00CD6549">
              <w:rPr>
                <w:rFonts w:cs="Arial"/>
                <w:sz w:val="20"/>
                <w:szCs w:val="20"/>
              </w:rPr>
              <w:t>2,073</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0D51DB" w:rsidP="00A540B8">
            <w:pPr>
              <w:keepNext/>
              <w:tabs>
                <w:tab w:val="decimal" w:pos="650"/>
              </w:tabs>
              <w:spacing w:after="0"/>
              <w:rPr>
                <w:rFonts w:cs="Arial"/>
                <w:sz w:val="20"/>
                <w:szCs w:val="20"/>
              </w:rPr>
            </w:pPr>
            <w:r>
              <w:rPr>
                <w:rFonts w:cs="Arial"/>
                <w:sz w:val="20"/>
                <w:szCs w:val="20"/>
              </w:rPr>
              <w:t>1,</w:t>
            </w:r>
            <w:r w:rsidR="0021660C" w:rsidRPr="00CD6549">
              <w:rPr>
                <w:rFonts w:cs="Arial"/>
                <w:sz w:val="20"/>
                <w:szCs w:val="20"/>
              </w:rPr>
              <w:t>600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sidRPr="00CD6549">
              <w:rPr>
                <w:rFonts w:cs="Arial"/>
                <w:sz w:val="20"/>
                <w:szCs w:val="20"/>
              </w:rPr>
              <w:t>103,650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8)</w:t>
            </w:r>
            <w:r>
              <w:tab/>
            </w:r>
            <w:r w:rsidRPr="00A149F2">
              <w:rPr>
                <w:rFonts w:cs="Arial"/>
                <w:sz w:val="20"/>
                <w:szCs w:val="20"/>
              </w:rPr>
              <w:t>Compile and review the final data for submission</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A149F2" w:rsidP="00E6512C">
            <w:pPr>
              <w:keepNext/>
              <w:tabs>
                <w:tab w:val="decimal" w:pos="612"/>
              </w:tabs>
              <w:spacing w:after="0"/>
              <w:rPr>
                <w:rFonts w:cs="Arial"/>
                <w:sz w:val="20"/>
                <w:szCs w:val="20"/>
              </w:rPr>
            </w:pPr>
            <w:r w:rsidRPr="00A149F2">
              <w:rPr>
                <w:rFonts w:cs="Arial"/>
                <w:sz w:val="20"/>
                <w:szCs w:val="20"/>
              </w:rPr>
              <w:t>239</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E6512C" w:rsidP="00E6512C">
            <w:pPr>
              <w:keepNext/>
              <w:tabs>
                <w:tab w:val="decimal" w:pos="792"/>
              </w:tabs>
              <w:spacing w:after="0"/>
              <w:rPr>
                <w:rFonts w:cs="Arial"/>
                <w:sz w:val="20"/>
                <w:szCs w:val="20"/>
              </w:rPr>
            </w:pPr>
            <w:r w:rsidRPr="00E6512C">
              <w:rPr>
                <w:rFonts w:cs="Arial"/>
                <w:sz w:val="20"/>
                <w:szCs w:val="20"/>
              </w:rPr>
              <w:t>16,366</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E6512C" w:rsidP="00A540B8">
            <w:pPr>
              <w:keepNext/>
              <w:tabs>
                <w:tab w:val="decimal" w:pos="650"/>
              </w:tabs>
              <w:spacing w:after="0"/>
              <w:rPr>
                <w:rFonts w:cs="Arial"/>
                <w:sz w:val="20"/>
                <w:szCs w:val="20"/>
              </w:rPr>
            </w:pPr>
            <w:r w:rsidRPr="00E6512C">
              <w:rPr>
                <w:rFonts w:cs="Arial"/>
                <w:sz w:val="20"/>
                <w:szCs w:val="20"/>
              </w:rPr>
              <w:t>11,950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E6512C" w:rsidP="00E6512C">
            <w:pPr>
              <w:keepNext/>
              <w:tabs>
                <w:tab w:val="decimal" w:pos="1007"/>
              </w:tabs>
              <w:spacing w:after="0"/>
              <w:rPr>
                <w:rFonts w:cs="Arial"/>
                <w:sz w:val="20"/>
                <w:szCs w:val="20"/>
              </w:rPr>
            </w:pPr>
            <w:r w:rsidRPr="00E6512C">
              <w:rPr>
                <w:rFonts w:cs="Arial"/>
                <w:sz w:val="20"/>
                <w:szCs w:val="20"/>
              </w:rPr>
              <w:t>818,300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9)</w:t>
            </w:r>
            <w:r>
              <w:tab/>
            </w:r>
            <w:r w:rsidRPr="00A149F2">
              <w:rPr>
                <w:rFonts w:cs="Arial"/>
                <w:sz w:val="20"/>
                <w:szCs w:val="20"/>
              </w:rPr>
              <w:t>Complete paperwork to assemble the submission package</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sidRPr="00A149F2">
              <w:rPr>
                <w:rFonts w:cs="Arial"/>
                <w:sz w:val="20"/>
                <w:szCs w:val="20"/>
              </w:rPr>
              <w:t>32</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sidRPr="00CD6549">
              <w:rPr>
                <w:rFonts w:cs="Arial"/>
                <w:sz w:val="20"/>
                <w:szCs w:val="20"/>
              </w:rPr>
              <w:t>2,073</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0D51DB" w:rsidP="00A540B8">
            <w:pPr>
              <w:keepNext/>
              <w:tabs>
                <w:tab w:val="decimal" w:pos="650"/>
              </w:tabs>
              <w:spacing w:after="0"/>
              <w:rPr>
                <w:rFonts w:cs="Arial"/>
                <w:sz w:val="20"/>
                <w:szCs w:val="20"/>
              </w:rPr>
            </w:pPr>
            <w:r>
              <w:rPr>
                <w:rFonts w:cs="Arial"/>
                <w:sz w:val="20"/>
                <w:szCs w:val="20"/>
              </w:rPr>
              <w:t>1,</w:t>
            </w:r>
            <w:r w:rsidR="0021660C" w:rsidRPr="00CD6549">
              <w:rPr>
                <w:rFonts w:cs="Arial"/>
                <w:sz w:val="20"/>
                <w:szCs w:val="20"/>
              </w:rPr>
              <w:t>600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sidRPr="00CD6549">
              <w:rPr>
                <w:rFonts w:cs="Arial"/>
                <w:sz w:val="20"/>
                <w:szCs w:val="20"/>
              </w:rPr>
              <w:t>103,650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10)</w:t>
            </w:r>
            <w:r>
              <w:tab/>
            </w:r>
            <w:r w:rsidRPr="00A149F2">
              <w:rPr>
                <w:rFonts w:cs="Arial"/>
                <w:sz w:val="20"/>
                <w:szCs w:val="20"/>
              </w:rPr>
              <w:t xml:space="preserve">Submit final data to </w:t>
            </w:r>
            <w:r>
              <w:rPr>
                <w:rFonts w:cs="Arial"/>
                <w:sz w:val="20"/>
                <w:szCs w:val="20"/>
              </w:rPr>
              <w:t>the EPA</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sidRPr="00A149F2">
              <w:rPr>
                <w:rFonts w:cs="Arial"/>
                <w:sz w:val="20"/>
                <w:szCs w:val="20"/>
              </w:rPr>
              <w:t>5</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sidRPr="00CD6549">
              <w:rPr>
                <w:rFonts w:cs="Arial"/>
                <w:sz w:val="20"/>
                <w:szCs w:val="20"/>
              </w:rPr>
              <w:t>440</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650"/>
              </w:tabs>
              <w:spacing w:after="0"/>
              <w:rPr>
                <w:rFonts w:cs="Arial"/>
                <w:sz w:val="20"/>
                <w:szCs w:val="20"/>
              </w:rPr>
            </w:pPr>
            <w:r w:rsidRPr="00CD6549">
              <w:rPr>
                <w:rFonts w:cs="Arial"/>
                <w:sz w:val="20"/>
                <w:szCs w:val="20"/>
              </w:rPr>
              <w:t>250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sidRPr="00CD6549">
              <w:rPr>
                <w:rFonts w:cs="Arial"/>
                <w:sz w:val="20"/>
                <w:szCs w:val="20"/>
              </w:rPr>
              <w:t>22,000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11)</w:t>
            </w:r>
            <w:r>
              <w:tab/>
            </w:r>
            <w:r w:rsidRPr="00A149F2">
              <w:rPr>
                <w:rFonts w:cs="Arial"/>
                <w:sz w:val="20"/>
                <w:szCs w:val="20"/>
              </w:rPr>
              <w:t>Maintain records</w:t>
            </w:r>
            <w:r w:rsidRPr="00A149F2">
              <w:rPr>
                <w:rFonts w:cs="Arial"/>
                <w:sz w:val="20"/>
                <w:szCs w:val="20"/>
                <w:vertAlign w:val="superscript"/>
              </w:rPr>
              <w:t xml:space="preserve"> (g)</w:t>
            </w:r>
          </w:p>
        </w:tc>
        <w:tc>
          <w:tcPr>
            <w:tcW w:w="1260" w:type="dxa"/>
            <w:vMerge/>
            <w:tcBorders>
              <w:left w:val="nil"/>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r w:rsidRPr="00A149F2">
              <w:rPr>
                <w:rFonts w:cs="Arial"/>
                <w:sz w:val="20"/>
                <w:szCs w:val="20"/>
              </w:rPr>
              <w:t>43</w:t>
            </w:r>
          </w:p>
        </w:tc>
        <w:tc>
          <w:tcPr>
            <w:tcW w:w="1159" w:type="dxa"/>
            <w:tcBorders>
              <w:top w:val="nil"/>
              <w:left w:val="nil"/>
              <w:bottom w:val="single" w:sz="4" w:space="0" w:color="auto"/>
              <w:right w:val="single" w:sz="4" w:space="0" w:color="auto"/>
            </w:tcBorders>
            <w:shd w:val="clear" w:color="auto" w:fill="auto"/>
            <w:hideMark/>
          </w:tcPr>
          <w:p w:rsidR="0021660C" w:rsidRPr="00CD6549" w:rsidRDefault="000D51DB" w:rsidP="00A540B8">
            <w:pPr>
              <w:keepNext/>
              <w:tabs>
                <w:tab w:val="decimal" w:pos="792"/>
              </w:tabs>
              <w:spacing w:after="0"/>
              <w:rPr>
                <w:rFonts w:cs="Arial"/>
                <w:sz w:val="20"/>
                <w:szCs w:val="20"/>
              </w:rPr>
            </w:pPr>
            <w:r>
              <w:rPr>
                <w:rFonts w:cs="Arial"/>
                <w:sz w:val="20"/>
                <w:szCs w:val="20"/>
              </w:rPr>
              <w:t>3,</w:t>
            </w:r>
            <w:r w:rsidR="0021660C" w:rsidRPr="00CD6549">
              <w:rPr>
                <w:rFonts w:cs="Arial"/>
                <w:sz w:val="20"/>
                <w:szCs w:val="20"/>
              </w:rPr>
              <w:t>697</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0D51DB" w:rsidP="00A540B8">
            <w:pPr>
              <w:keepNext/>
              <w:tabs>
                <w:tab w:val="decimal" w:pos="650"/>
              </w:tabs>
              <w:spacing w:after="0"/>
              <w:rPr>
                <w:rFonts w:cs="Arial"/>
                <w:sz w:val="20"/>
                <w:szCs w:val="20"/>
              </w:rPr>
            </w:pPr>
            <w:r>
              <w:rPr>
                <w:rFonts w:cs="Arial"/>
                <w:sz w:val="20"/>
                <w:szCs w:val="20"/>
              </w:rPr>
              <w:t>2,</w:t>
            </w:r>
            <w:r w:rsidR="0021660C" w:rsidRPr="00CD6549">
              <w:rPr>
                <w:rFonts w:cs="Arial"/>
                <w:sz w:val="20"/>
                <w:szCs w:val="20"/>
              </w:rPr>
              <w:t>150</w:t>
            </w: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sidRPr="00CD6549">
              <w:rPr>
                <w:rFonts w:cs="Arial"/>
                <w:sz w:val="20"/>
                <w:szCs w:val="20"/>
              </w:rPr>
              <w:t>184,850</w:t>
            </w:r>
          </w:p>
        </w:tc>
      </w:tr>
      <w:tr w:rsidR="0021660C" w:rsidRPr="00991ACB" w:rsidTr="00AD2C69">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21660C">
            <w:pPr>
              <w:keepNext/>
              <w:spacing w:after="0"/>
              <w:ind w:left="360" w:hanging="360"/>
              <w:rPr>
                <w:rFonts w:cs="Arial"/>
                <w:color w:val="000000"/>
                <w:sz w:val="20"/>
                <w:szCs w:val="20"/>
              </w:rPr>
            </w:pPr>
            <w:r w:rsidRPr="00A149F2">
              <w:rPr>
                <w:rFonts w:cs="Arial"/>
                <w:sz w:val="20"/>
                <w:szCs w:val="20"/>
              </w:rPr>
              <w:t>12)</w:t>
            </w:r>
            <w:r>
              <w:tab/>
            </w:r>
            <w:r w:rsidRPr="00A149F2">
              <w:rPr>
                <w:rFonts w:cs="Arial"/>
                <w:sz w:val="20"/>
                <w:szCs w:val="20"/>
              </w:rPr>
              <w:t xml:space="preserve">Delivery Costs </w:t>
            </w:r>
          </w:p>
        </w:tc>
        <w:tc>
          <w:tcPr>
            <w:tcW w:w="1260" w:type="dxa"/>
            <w:vMerge/>
            <w:tcBorders>
              <w:left w:val="nil"/>
              <w:bottom w:val="single" w:sz="4" w:space="0" w:color="auto"/>
              <w:right w:val="single" w:sz="4" w:space="0" w:color="auto"/>
            </w:tcBorders>
            <w:shd w:val="clear" w:color="auto" w:fill="auto"/>
            <w:hideMark/>
          </w:tcPr>
          <w:p w:rsidR="0021660C" w:rsidRPr="00A149F2" w:rsidRDefault="0021660C" w:rsidP="0021660C">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540B8">
            <w:pPr>
              <w:keepNext/>
              <w:tabs>
                <w:tab w:val="decimal" w:pos="612"/>
              </w:tabs>
              <w:spacing w:after="0"/>
              <w:rPr>
                <w:rFonts w:cs="Arial"/>
                <w:sz w:val="20"/>
                <w:szCs w:val="20"/>
              </w:rPr>
            </w:pPr>
          </w:p>
        </w:tc>
        <w:tc>
          <w:tcPr>
            <w:tcW w:w="1159" w:type="dxa"/>
            <w:tcBorders>
              <w:top w:val="nil"/>
              <w:left w:val="nil"/>
              <w:bottom w:val="single" w:sz="4" w:space="0" w:color="auto"/>
              <w:right w:val="single" w:sz="4" w:space="0" w:color="auto"/>
            </w:tcBorders>
            <w:shd w:val="clear" w:color="auto" w:fill="auto"/>
            <w:hideMark/>
          </w:tcPr>
          <w:p w:rsidR="0021660C" w:rsidRPr="00CD6549" w:rsidRDefault="0021660C" w:rsidP="00A540B8">
            <w:pPr>
              <w:keepNext/>
              <w:tabs>
                <w:tab w:val="decimal" w:pos="792"/>
              </w:tabs>
              <w:spacing w:after="0"/>
              <w:rPr>
                <w:rFonts w:cs="Arial"/>
                <w:sz w:val="20"/>
                <w:szCs w:val="20"/>
              </w:rPr>
            </w:pPr>
            <w:r w:rsidRPr="00CD6549">
              <w:rPr>
                <w:rFonts w:cs="Arial"/>
                <w:sz w:val="20"/>
                <w:szCs w:val="20"/>
              </w:rPr>
              <w:t>11</w:t>
            </w:r>
          </w:p>
        </w:tc>
        <w:tc>
          <w:tcPr>
            <w:tcW w:w="966"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650"/>
              </w:tabs>
              <w:spacing w:after="0"/>
              <w:rPr>
                <w:rFonts w:cs="Arial"/>
                <w:sz w:val="20"/>
                <w:szCs w:val="20"/>
              </w:rPr>
            </w:pPr>
          </w:p>
        </w:tc>
        <w:tc>
          <w:tcPr>
            <w:tcW w:w="1223" w:type="dxa"/>
            <w:tcBorders>
              <w:top w:val="nil"/>
              <w:left w:val="nil"/>
              <w:bottom w:val="single" w:sz="4" w:space="0" w:color="auto"/>
              <w:right w:val="single" w:sz="4" w:space="0" w:color="auto"/>
            </w:tcBorders>
            <w:shd w:val="clear" w:color="000000" w:fill="B8CCE4"/>
            <w:hideMark/>
          </w:tcPr>
          <w:p w:rsidR="0021660C" w:rsidRPr="00CD6549" w:rsidRDefault="0021660C" w:rsidP="00A540B8">
            <w:pPr>
              <w:keepNext/>
              <w:tabs>
                <w:tab w:val="decimal" w:pos="1007"/>
              </w:tabs>
              <w:spacing w:after="0"/>
              <w:rPr>
                <w:rFonts w:cs="Arial"/>
                <w:sz w:val="20"/>
                <w:szCs w:val="20"/>
              </w:rPr>
            </w:pPr>
            <w:r w:rsidRPr="00CD6549">
              <w:rPr>
                <w:rFonts w:cs="Arial"/>
                <w:sz w:val="20"/>
                <w:szCs w:val="20"/>
              </w:rPr>
              <w:t>528</w:t>
            </w:r>
          </w:p>
        </w:tc>
      </w:tr>
      <w:tr w:rsidR="00DB16F5" w:rsidRPr="000D51DB" w:rsidTr="00AD2C69">
        <w:trPr>
          <w:cantSplit/>
        </w:trPr>
        <w:tc>
          <w:tcPr>
            <w:tcW w:w="5958"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DB16F5" w:rsidRPr="000D51DB" w:rsidRDefault="00DB16F5" w:rsidP="0021660C">
            <w:pPr>
              <w:keepNext/>
              <w:tabs>
                <w:tab w:val="decimal" w:pos="683"/>
                <w:tab w:val="decimal" w:pos="905"/>
              </w:tabs>
              <w:spacing w:after="0"/>
              <w:jc w:val="right"/>
              <w:rPr>
                <w:rFonts w:cs="Arial"/>
                <w:b/>
                <w:bCs/>
                <w:sz w:val="20"/>
                <w:szCs w:val="20"/>
              </w:rPr>
            </w:pPr>
            <w:r w:rsidRPr="000D51DB">
              <w:rPr>
                <w:rFonts w:cs="Arial"/>
                <w:b/>
                <w:bCs/>
                <w:sz w:val="20"/>
                <w:szCs w:val="20"/>
              </w:rPr>
              <w:t>Total:</w:t>
            </w:r>
          </w:p>
        </w:tc>
        <w:tc>
          <w:tcPr>
            <w:tcW w:w="990" w:type="dxa"/>
            <w:tcBorders>
              <w:top w:val="single" w:sz="4" w:space="0" w:color="auto"/>
              <w:left w:val="nil"/>
              <w:bottom w:val="single" w:sz="4" w:space="0" w:color="auto"/>
              <w:right w:val="single" w:sz="4" w:space="0" w:color="auto"/>
            </w:tcBorders>
            <w:shd w:val="clear" w:color="000000" w:fill="B8CCE4"/>
            <w:vAlign w:val="bottom"/>
            <w:hideMark/>
          </w:tcPr>
          <w:p w:rsidR="00DB16F5" w:rsidRPr="00A540B8" w:rsidRDefault="00E6512C" w:rsidP="00A540B8">
            <w:pPr>
              <w:keepNext/>
              <w:tabs>
                <w:tab w:val="decimal" w:pos="612"/>
              </w:tabs>
              <w:spacing w:after="0"/>
              <w:rPr>
                <w:rFonts w:cs="Arial"/>
                <w:b/>
                <w:sz w:val="20"/>
                <w:szCs w:val="20"/>
              </w:rPr>
            </w:pPr>
            <w:r w:rsidRPr="00E6512C">
              <w:rPr>
                <w:rFonts w:cs="Arial"/>
                <w:b/>
                <w:sz w:val="20"/>
                <w:szCs w:val="20"/>
              </w:rPr>
              <w:t>4,544</w:t>
            </w:r>
          </w:p>
        </w:tc>
        <w:tc>
          <w:tcPr>
            <w:tcW w:w="1159" w:type="dxa"/>
            <w:tcBorders>
              <w:top w:val="single" w:sz="4" w:space="0" w:color="auto"/>
              <w:left w:val="nil"/>
              <w:bottom w:val="single" w:sz="4" w:space="0" w:color="auto"/>
              <w:right w:val="single" w:sz="4" w:space="0" w:color="auto"/>
            </w:tcBorders>
            <w:shd w:val="clear" w:color="000000" w:fill="B8CCE4"/>
            <w:vAlign w:val="bottom"/>
            <w:hideMark/>
          </w:tcPr>
          <w:p w:rsidR="00DB16F5" w:rsidRPr="00A540B8" w:rsidRDefault="00E6512C" w:rsidP="00A540B8">
            <w:pPr>
              <w:keepNext/>
              <w:tabs>
                <w:tab w:val="decimal" w:pos="792"/>
              </w:tabs>
              <w:spacing w:after="0"/>
              <w:rPr>
                <w:rFonts w:cs="Arial"/>
                <w:b/>
                <w:sz w:val="20"/>
                <w:szCs w:val="20"/>
              </w:rPr>
            </w:pPr>
            <w:r w:rsidRPr="00E6512C">
              <w:rPr>
                <w:rFonts w:cs="Arial"/>
                <w:b/>
                <w:sz w:val="20"/>
                <w:szCs w:val="20"/>
              </w:rPr>
              <w:t>$280,397</w:t>
            </w:r>
          </w:p>
        </w:tc>
        <w:tc>
          <w:tcPr>
            <w:tcW w:w="966" w:type="dxa"/>
            <w:tcBorders>
              <w:top w:val="single" w:sz="4" w:space="0" w:color="auto"/>
              <w:left w:val="nil"/>
              <w:bottom w:val="single" w:sz="4" w:space="0" w:color="auto"/>
              <w:right w:val="single" w:sz="4" w:space="0" w:color="auto"/>
            </w:tcBorders>
            <w:shd w:val="clear" w:color="000000" w:fill="B8CCE4"/>
            <w:vAlign w:val="bottom"/>
            <w:hideMark/>
          </w:tcPr>
          <w:p w:rsidR="00DB16F5" w:rsidRPr="00A540B8" w:rsidRDefault="00E6512C" w:rsidP="00A540B8">
            <w:pPr>
              <w:keepNext/>
              <w:tabs>
                <w:tab w:val="decimal" w:pos="650"/>
              </w:tabs>
              <w:spacing w:after="0"/>
              <w:rPr>
                <w:rFonts w:cs="Arial"/>
                <w:b/>
                <w:sz w:val="20"/>
                <w:szCs w:val="20"/>
              </w:rPr>
            </w:pPr>
            <w:r w:rsidRPr="00E6512C">
              <w:rPr>
                <w:rFonts w:cs="Arial"/>
                <w:b/>
                <w:sz w:val="20"/>
                <w:szCs w:val="20"/>
              </w:rPr>
              <w:t>227,200</w:t>
            </w:r>
          </w:p>
        </w:tc>
        <w:tc>
          <w:tcPr>
            <w:tcW w:w="1223" w:type="dxa"/>
            <w:tcBorders>
              <w:top w:val="single" w:sz="4" w:space="0" w:color="auto"/>
              <w:left w:val="nil"/>
              <w:bottom w:val="single" w:sz="4" w:space="0" w:color="auto"/>
              <w:right w:val="single" w:sz="4" w:space="0" w:color="auto"/>
            </w:tcBorders>
            <w:shd w:val="clear" w:color="000000" w:fill="B8CCE4"/>
            <w:vAlign w:val="bottom"/>
            <w:hideMark/>
          </w:tcPr>
          <w:p w:rsidR="00DB16F5" w:rsidRPr="00A540B8" w:rsidRDefault="00E6512C" w:rsidP="00A540B8">
            <w:pPr>
              <w:keepNext/>
              <w:tabs>
                <w:tab w:val="decimal" w:pos="792"/>
              </w:tabs>
              <w:spacing w:after="0"/>
              <w:rPr>
                <w:rFonts w:cs="Arial"/>
                <w:b/>
                <w:sz w:val="20"/>
                <w:szCs w:val="20"/>
              </w:rPr>
            </w:pPr>
            <w:r w:rsidRPr="00E6512C">
              <w:rPr>
                <w:rFonts w:cs="Arial"/>
                <w:b/>
                <w:sz w:val="20"/>
                <w:szCs w:val="20"/>
              </w:rPr>
              <w:t>$14,019,828</w:t>
            </w:r>
          </w:p>
        </w:tc>
      </w:tr>
      <w:tr w:rsidR="00991ACB" w:rsidRPr="00A149F2" w:rsidTr="00AD2C69">
        <w:trPr>
          <w:cantSplit/>
        </w:trPr>
        <w:tc>
          <w:tcPr>
            <w:tcW w:w="10296" w:type="dxa"/>
            <w:gridSpan w:val="6"/>
            <w:tcBorders>
              <w:top w:val="single" w:sz="4" w:space="0" w:color="auto"/>
            </w:tcBorders>
            <w:shd w:val="clear" w:color="auto" w:fill="auto"/>
          </w:tcPr>
          <w:p w:rsidR="00991ACB" w:rsidRPr="00A149F2" w:rsidRDefault="00991ACB" w:rsidP="00991ACB">
            <w:pPr>
              <w:spacing w:after="0"/>
              <w:rPr>
                <w:rFonts w:cs="Arial"/>
                <w:bCs/>
                <w:sz w:val="18"/>
                <w:szCs w:val="18"/>
                <w:u w:val="single"/>
              </w:rPr>
            </w:pPr>
            <w:r w:rsidRPr="00A149F2">
              <w:rPr>
                <w:rFonts w:cs="Arial"/>
                <w:bCs/>
                <w:sz w:val="18"/>
                <w:szCs w:val="18"/>
                <w:u w:val="single"/>
              </w:rPr>
              <w:t>Key:</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 xml:space="preserve">(a) Activities are described in more detail in section 4(b) of this ICR. </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(b) From Table 1, includes catch-up orders.</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 xml:space="preserve">(c) See Activity listing in Table 6. </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(d) See Activity listing in Table 7.</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(e) Total = (b) x (c)</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(f) Total = (b) x (d)</w:t>
            </w:r>
          </w:p>
        </w:tc>
      </w:tr>
      <w:tr w:rsidR="00A149F2" w:rsidRPr="00A149F2" w:rsidTr="00AD2C69">
        <w:trPr>
          <w:cantSplit/>
        </w:trPr>
        <w:tc>
          <w:tcPr>
            <w:tcW w:w="10296" w:type="dxa"/>
            <w:gridSpan w:val="6"/>
            <w:shd w:val="clear" w:color="auto" w:fill="auto"/>
          </w:tcPr>
          <w:p w:rsidR="00A149F2" w:rsidRPr="00A149F2" w:rsidRDefault="00A149F2" w:rsidP="00A149F2">
            <w:pPr>
              <w:spacing w:after="0"/>
              <w:rPr>
                <w:rFonts w:cs="Arial"/>
                <w:sz w:val="18"/>
                <w:szCs w:val="18"/>
              </w:rPr>
            </w:pPr>
            <w:r w:rsidRPr="00A149F2">
              <w:rPr>
                <w:rFonts w:cs="Arial"/>
                <w:sz w:val="18"/>
                <w:szCs w:val="18"/>
              </w:rPr>
              <w:t>(g) Maintaining records of the initial Response is estimated to be ½ of the totals in Tables 6</w:t>
            </w:r>
            <w:r w:rsidR="00674E1C">
              <w:rPr>
                <w:rFonts w:cs="Arial"/>
                <w:sz w:val="18"/>
                <w:szCs w:val="18"/>
              </w:rPr>
              <w:t xml:space="preserve"> and </w:t>
            </w:r>
            <w:r w:rsidRPr="00A149F2">
              <w:rPr>
                <w:rFonts w:cs="Arial"/>
                <w:sz w:val="18"/>
                <w:szCs w:val="18"/>
              </w:rPr>
              <w:t xml:space="preserve">7. </w:t>
            </w:r>
          </w:p>
        </w:tc>
      </w:tr>
      <w:tr w:rsidR="00A149F2" w:rsidRPr="00A149F2" w:rsidTr="00AD2C69">
        <w:trPr>
          <w:cantSplit/>
        </w:trPr>
        <w:tc>
          <w:tcPr>
            <w:tcW w:w="10296" w:type="dxa"/>
            <w:gridSpan w:val="6"/>
            <w:shd w:val="clear" w:color="auto" w:fill="auto"/>
          </w:tcPr>
          <w:p w:rsidR="00A149F2" w:rsidRPr="00A149F2" w:rsidRDefault="00A149F2" w:rsidP="000C2A08">
            <w:pPr>
              <w:spacing w:after="0"/>
              <w:rPr>
                <w:rFonts w:cs="Arial"/>
                <w:sz w:val="18"/>
                <w:szCs w:val="18"/>
              </w:rPr>
            </w:pPr>
            <w:r w:rsidRPr="00A149F2">
              <w:rPr>
                <w:rFonts w:cs="Arial"/>
                <w:sz w:val="18"/>
                <w:szCs w:val="18"/>
              </w:rPr>
              <w:t>(h) Burden cost estimate is a percentage of the total test cost, which is calculated in Attachment F.</w:t>
            </w:r>
          </w:p>
        </w:tc>
      </w:tr>
    </w:tbl>
    <w:p w:rsidR="001F435B" w:rsidRDefault="001F435B" w:rsidP="002F2414">
      <w:pPr>
        <w:pStyle w:val="TableCaption"/>
      </w:pPr>
      <w:r>
        <w:t>Table</w:t>
      </w:r>
      <w:r w:rsidR="00970C53">
        <w:t xml:space="preserve"> </w:t>
      </w:r>
      <w:r>
        <w:t>11</w:t>
      </w:r>
      <w:r w:rsidR="00033525">
        <w:t xml:space="preserve"> </w:t>
      </w:r>
      <w:r w:rsidR="0076212E">
        <w:t xml:space="preserve">– </w:t>
      </w:r>
      <w:r w:rsidR="00A31A91">
        <w:t>IC #</w:t>
      </w:r>
      <w:r>
        <w:t>2</w:t>
      </w:r>
      <w:r w:rsidR="000C6CB0">
        <w:t xml:space="preserve">:  </w:t>
      </w:r>
      <w:r>
        <w:t>Estimated</w:t>
      </w:r>
      <w:r w:rsidR="00033525">
        <w:t xml:space="preserve"> </w:t>
      </w:r>
      <w:r>
        <w:t>Additional</w:t>
      </w:r>
      <w:r w:rsidR="00033525">
        <w:t xml:space="preserve"> </w:t>
      </w:r>
      <w:r>
        <w:t>Burden</w:t>
      </w:r>
      <w:r w:rsidR="00674E1C">
        <w:t xml:space="preserve"> and </w:t>
      </w:r>
      <w:r>
        <w:t>Costs</w:t>
      </w:r>
      <w:r w:rsidR="00033525">
        <w:t xml:space="preserve"> </w:t>
      </w:r>
      <w:r>
        <w:t>for</w:t>
      </w:r>
      <w:r w:rsidR="00033525">
        <w:t xml:space="preserve"> </w:t>
      </w:r>
      <w:r w:rsidRPr="00DC6A9C">
        <w:rPr>
          <w:color w:val="0000FF"/>
        </w:rPr>
        <w:t>Data</w:t>
      </w:r>
      <w:r w:rsidR="00033525" w:rsidRPr="00DC6A9C">
        <w:rPr>
          <w:color w:val="0000FF"/>
        </w:rPr>
        <w:t xml:space="preserve"> </w:t>
      </w:r>
      <w:r w:rsidRPr="00DC6A9C">
        <w:rPr>
          <w:color w:val="0000FF"/>
        </w:rPr>
        <w:t>Generators</w:t>
      </w:r>
      <w:r w:rsidR="00033525" w:rsidRPr="00DC6A9C">
        <w:rPr>
          <w:color w:val="0000FF"/>
        </w:rPr>
        <w:t xml:space="preserve"> </w:t>
      </w:r>
      <w:r w:rsidRPr="00DC6A9C">
        <w:rPr>
          <w:color w:val="0000FF"/>
        </w:rPr>
        <w:t>and</w:t>
      </w:r>
      <w:r w:rsidR="00033525" w:rsidRPr="00DC6A9C">
        <w:rPr>
          <w:color w:val="0000FF"/>
        </w:rPr>
        <w:t xml:space="preserve"> </w:t>
      </w:r>
      <w:r w:rsidRPr="00DC6A9C">
        <w:rPr>
          <w:color w:val="0000FF"/>
        </w:rPr>
        <w:t>Submitters</w:t>
      </w:r>
      <w:r w:rsidR="00033525" w:rsidRPr="00DC6A9C">
        <w:rPr>
          <w:color w:val="0000FF"/>
        </w:rPr>
        <w:t xml:space="preserve"> – </w:t>
      </w:r>
      <w:r w:rsidRPr="00DC6A9C">
        <w:rPr>
          <w:color w:val="0000FF"/>
        </w:rPr>
        <w:t>Manufacturers</w:t>
      </w:r>
      <w:r w:rsidR="00033525" w:rsidRPr="00DC6A9C">
        <w:rPr>
          <w:color w:val="0000FF"/>
        </w:rPr>
        <w:t xml:space="preserve"> </w:t>
      </w:r>
      <w:r w:rsidRPr="00DC6A9C">
        <w:rPr>
          <w:color w:val="0000FF"/>
        </w:rPr>
        <w:t>and</w:t>
      </w:r>
      <w:r w:rsidR="00033525" w:rsidRPr="00DC6A9C">
        <w:rPr>
          <w:color w:val="0000FF"/>
        </w:rPr>
        <w:t xml:space="preserve"> </w:t>
      </w:r>
      <w:r w:rsidRPr="00DC6A9C">
        <w:rPr>
          <w:color w:val="0000FF"/>
        </w:rPr>
        <w:t>Importers</w:t>
      </w:r>
      <w:r w:rsidR="00033525" w:rsidRPr="00DC6A9C">
        <w:rPr>
          <w:color w:val="0000FF"/>
        </w:rPr>
        <w:t xml:space="preserve"> </w:t>
      </w:r>
      <w:r w:rsidRPr="00DC6A9C">
        <w:rPr>
          <w:color w:val="0000FF"/>
        </w:rPr>
        <w:t>of</w:t>
      </w:r>
      <w:r w:rsidR="00033525" w:rsidRPr="00DC6A9C">
        <w:rPr>
          <w:color w:val="0000FF"/>
        </w:rPr>
        <w:t xml:space="preserve"> </w:t>
      </w:r>
      <w:r w:rsidRPr="00DC6A9C">
        <w:rPr>
          <w:color w:val="0000FF"/>
        </w:rPr>
        <w:t>Pesticide</w:t>
      </w:r>
      <w:r w:rsidR="00033525" w:rsidRPr="00DC6A9C">
        <w:rPr>
          <w:color w:val="0000FF"/>
        </w:rPr>
        <w:t xml:space="preserve"> </w:t>
      </w:r>
      <w:r w:rsidRPr="00DC6A9C">
        <w:rPr>
          <w:color w:val="0000FF"/>
        </w:rPr>
        <w:t>Inert</w:t>
      </w:r>
      <w:r w:rsidR="00033525" w:rsidRPr="00DC6A9C">
        <w:rPr>
          <w:color w:val="0000FF"/>
        </w:rPr>
        <w:t xml:space="preserve"> </w:t>
      </w:r>
      <w:r w:rsidRPr="00DC6A9C">
        <w:rPr>
          <w:color w:val="0000FF"/>
        </w:rPr>
        <w:t>Ingredients</w:t>
      </w:r>
    </w:p>
    <w:tbl>
      <w:tblPr>
        <w:tblW w:w="5000" w:type="pct"/>
        <w:tblLayout w:type="fixed"/>
        <w:tblLook w:val="04A0"/>
      </w:tblPr>
      <w:tblGrid>
        <w:gridCol w:w="4698"/>
        <w:gridCol w:w="1260"/>
        <w:gridCol w:w="990"/>
        <w:gridCol w:w="1170"/>
        <w:gridCol w:w="990"/>
        <w:gridCol w:w="1188"/>
      </w:tblGrid>
      <w:tr w:rsidR="00F35EDF" w:rsidRPr="007F41D7" w:rsidTr="00AD06C5">
        <w:trPr>
          <w:cantSplit/>
          <w:tblHeader/>
        </w:trPr>
        <w:tc>
          <w:tcPr>
            <w:tcW w:w="469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35EDF" w:rsidRPr="007F41D7" w:rsidRDefault="00F35EDF" w:rsidP="006E5058">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Total # Responses</w:t>
            </w:r>
            <w:r w:rsidRPr="007F41D7">
              <w:rPr>
                <w:rFonts w:cs="Arial"/>
                <w:b/>
                <w:bCs/>
                <w:sz w:val="20"/>
                <w:szCs w:val="20"/>
                <w:vertAlign w:val="superscript"/>
              </w:rPr>
              <w:t>(b)</w:t>
            </w:r>
          </w:p>
        </w:tc>
        <w:tc>
          <w:tcPr>
            <w:tcW w:w="2160" w:type="dxa"/>
            <w:gridSpan w:val="2"/>
            <w:tcBorders>
              <w:top w:val="single" w:sz="4" w:space="0" w:color="auto"/>
              <w:left w:val="nil"/>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Per Response</w:t>
            </w:r>
          </w:p>
        </w:tc>
        <w:tc>
          <w:tcPr>
            <w:tcW w:w="2178" w:type="dxa"/>
            <w:gridSpan w:val="2"/>
            <w:tcBorders>
              <w:top w:val="single" w:sz="4" w:space="0" w:color="auto"/>
              <w:left w:val="nil"/>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Total</w:t>
            </w:r>
          </w:p>
        </w:tc>
      </w:tr>
      <w:tr w:rsidR="00AD06C5" w:rsidRPr="00991ACB" w:rsidTr="000D51DB">
        <w:trPr>
          <w:cantSplit/>
          <w:trHeight w:val="230"/>
          <w:tblHeader/>
        </w:trPr>
        <w:tc>
          <w:tcPr>
            <w:tcW w:w="4698" w:type="dxa"/>
            <w:vMerge/>
            <w:tcBorders>
              <w:top w:val="single" w:sz="4" w:space="0" w:color="auto"/>
              <w:left w:val="single" w:sz="4" w:space="0" w:color="auto"/>
              <w:bottom w:val="single" w:sz="4" w:space="0" w:color="auto"/>
              <w:right w:val="single" w:sz="4" w:space="0" w:color="auto"/>
            </w:tcBorders>
            <w:vAlign w:val="bottom"/>
            <w:hideMark/>
          </w:tcPr>
          <w:p w:rsidR="00F35EDF" w:rsidRPr="007F41D7" w:rsidRDefault="00F35EDF" w:rsidP="006E5058">
            <w:pPr>
              <w:keepNext/>
              <w:spacing w:after="0"/>
              <w:rPr>
                <w:rFonts w:cs="Arial"/>
                <w:b/>
                <w:bCs/>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bottom"/>
            <w:hideMark/>
          </w:tcPr>
          <w:p w:rsidR="00F35EDF" w:rsidRPr="007F41D7" w:rsidRDefault="00F35EDF" w:rsidP="006E5058">
            <w:pPr>
              <w:keepNext/>
              <w:spacing w:after="0"/>
              <w:rPr>
                <w:rFonts w:cs="Arial"/>
                <w:b/>
                <w:bCs/>
                <w:sz w:val="20"/>
                <w:szCs w:val="20"/>
              </w:rPr>
            </w:pPr>
          </w:p>
        </w:tc>
        <w:tc>
          <w:tcPr>
            <w:tcW w:w="990" w:type="dxa"/>
            <w:vMerge w:val="restart"/>
            <w:tcBorders>
              <w:top w:val="nil"/>
              <w:left w:val="single" w:sz="4" w:space="0" w:color="auto"/>
              <w:bottom w:val="single" w:sz="4" w:space="0" w:color="000000"/>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170"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990"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188"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6E5058">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AD06C5" w:rsidRPr="007F41D7" w:rsidTr="000D51DB">
        <w:trPr>
          <w:cantSplit/>
          <w:trHeight w:val="230"/>
          <w:tblHeader/>
        </w:trPr>
        <w:tc>
          <w:tcPr>
            <w:tcW w:w="4698" w:type="dxa"/>
            <w:vMerge/>
            <w:tcBorders>
              <w:top w:val="single" w:sz="4" w:space="0" w:color="auto"/>
              <w:left w:val="single" w:sz="4" w:space="0" w:color="auto"/>
              <w:bottom w:val="single" w:sz="4" w:space="0" w:color="auto"/>
              <w:right w:val="single" w:sz="4" w:space="0" w:color="auto"/>
            </w:tcBorders>
            <w:hideMark/>
          </w:tcPr>
          <w:p w:rsidR="00F35EDF" w:rsidRPr="007F41D7" w:rsidRDefault="00F35EDF" w:rsidP="006E5058">
            <w:pPr>
              <w:keepNext/>
              <w:spacing w:after="0"/>
              <w:rPr>
                <w:rFonts w:cs="Arial"/>
                <w:b/>
                <w:bCs/>
                <w:sz w:val="20"/>
                <w:szCs w:val="20"/>
              </w:rPr>
            </w:pPr>
          </w:p>
        </w:tc>
        <w:tc>
          <w:tcPr>
            <w:tcW w:w="1260" w:type="dxa"/>
            <w:vMerge/>
            <w:tcBorders>
              <w:top w:val="single" w:sz="4" w:space="0" w:color="auto"/>
              <w:left w:val="single" w:sz="4" w:space="0" w:color="auto"/>
              <w:bottom w:val="single" w:sz="4" w:space="0" w:color="auto"/>
              <w:right w:val="single" w:sz="4" w:space="0" w:color="auto"/>
            </w:tcBorders>
            <w:hideMark/>
          </w:tcPr>
          <w:p w:rsidR="00F35EDF" w:rsidRPr="007F41D7" w:rsidRDefault="00F35EDF" w:rsidP="006E5058">
            <w:pPr>
              <w:keepNext/>
              <w:spacing w:after="0"/>
              <w:rPr>
                <w:rFonts w:cs="Arial"/>
                <w:b/>
                <w:bCs/>
                <w:sz w:val="20"/>
                <w:szCs w:val="20"/>
              </w:rPr>
            </w:pPr>
          </w:p>
        </w:tc>
        <w:tc>
          <w:tcPr>
            <w:tcW w:w="990" w:type="dxa"/>
            <w:vMerge/>
            <w:tcBorders>
              <w:top w:val="nil"/>
              <w:left w:val="single" w:sz="4" w:space="0" w:color="auto"/>
              <w:bottom w:val="single" w:sz="4" w:space="0" w:color="000000"/>
              <w:right w:val="single" w:sz="4" w:space="0" w:color="auto"/>
            </w:tcBorders>
            <w:hideMark/>
          </w:tcPr>
          <w:p w:rsidR="00F35EDF" w:rsidRPr="007F41D7" w:rsidRDefault="00F35EDF" w:rsidP="006E5058">
            <w:pPr>
              <w:keepNext/>
              <w:spacing w:after="0"/>
              <w:rPr>
                <w:rFonts w:cs="Arial"/>
                <w:b/>
                <w:bCs/>
                <w:sz w:val="20"/>
                <w:szCs w:val="20"/>
              </w:rPr>
            </w:pPr>
          </w:p>
        </w:tc>
        <w:tc>
          <w:tcPr>
            <w:tcW w:w="1170" w:type="dxa"/>
            <w:vMerge/>
            <w:tcBorders>
              <w:top w:val="nil"/>
              <w:left w:val="single" w:sz="4" w:space="0" w:color="auto"/>
              <w:bottom w:val="single" w:sz="4" w:space="0" w:color="auto"/>
              <w:right w:val="single" w:sz="4" w:space="0" w:color="auto"/>
            </w:tcBorders>
            <w:hideMark/>
          </w:tcPr>
          <w:p w:rsidR="00F35EDF" w:rsidRPr="007F41D7" w:rsidRDefault="00F35EDF" w:rsidP="006E5058">
            <w:pPr>
              <w:keepNext/>
              <w:spacing w:after="0"/>
              <w:rPr>
                <w:rFonts w:cs="Arial"/>
                <w:b/>
                <w:bCs/>
                <w:sz w:val="20"/>
                <w:szCs w:val="20"/>
              </w:rPr>
            </w:pPr>
          </w:p>
        </w:tc>
        <w:tc>
          <w:tcPr>
            <w:tcW w:w="990" w:type="dxa"/>
            <w:vMerge/>
            <w:tcBorders>
              <w:top w:val="nil"/>
              <w:left w:val="single" w:sz="4" w:space="0" w:color="auto"/>
              <w:bottom w:val="single" w:sz="4" w:space="0" w:color="auto"/>
              <w:right w:val="single" w:sz="4" w:space="0" w:color="auto"/>
            </w:tcBorders>
            <w:hideMark/>
          </w:tcPr>
          <w:p w:rsidR="00F35EDF" w:rsidRPr="007F41D7" w:rsidRDefault="00F35EDF" w:rsidP="006E5058">
            <w:pPr>
              <w:keepNext/>
              <w:spacing w:after="0"/>
              <w:rPr>
                <w:rFonts w:cs="Arial"/>
                <w:b/>
                <w:bCs/>
                <w:sz w:val="20"/>
                <w:szCs w:val="20"/>
              </w:rPr>
            </w:pPr>
          </w:p>
        </w:tc>
        <w:tc>
          <w:tcPr>
            <w:tcW w:w="1188" w:type="dxa"/>
            <w:vMerge/>
            <w:tcBorders>
              <w:top w:val="nil"/>
              <w:left w:val="single" w:sz="4" w:space="0" w:color="auto"/>
              <w:bottom w:val="single" w:sz="4" w:space="0" w:color="auto"/>
              <w:right w:val="single" w:sz="4" w:space="0" w:color="auto"/>
            </w:tcBorders>
            <w:hideMark/>
          </w:tcPr>
          <w:p w:rsidR="00F35EDF" w:rsidRPr="007F41D7" w:rsidRDefault="00F35EDF" w:rsidP="006E5058">
            <w:pPr>
              <w:keepNext/>
              <w:spacing w:after="0"/>
              <w:rPr>
                <w:rFonts w:cs="Arial"/>
                <w:b/>
                <w:bCs/>
                <w:sz w:val="20"/>
                <w:szCs w:val="20"/>
              </w:rPr>
            </w:pP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4)</w:t>
            </w:r>
            <w:r>
              <w:tab/>
            </w:r>
            <w:r w:rsidRPr="00A149F2">
              <w:rPr>
                <w:rFonts w:cs="Arial"/>
                <w:sz w:val="20"/>
                <w:szCs w:val="20"/>
              </w:rPr>
              <w:t xml:space="preserve">Read and discuss the protocol </w:t>
            </w:r>
          </w:p>
        </w:tc>
        <w:tc>
          <w:tcPr>
            <w:tcW w:w="1260" w:type="dxa"/>
            <w:vMerge w:val="restart"/>
            <w:tcBorders>
              <w:top w:val="nil"/>
              <w:left w:val="nil"/>
              <w:right w:val="single" w:sz="4" w:space="0" w:color="auto"/>
            </w:tcBorders>
            <w:shd w:val="clear" w:color="auto" w:fill="auto"/>
            <w:vAlign w:val="center"/>
            <w:hideMark/>
          </w:tcPr>
          <w:p w:rsidR="0021660C" w:rsidRPr="00A149F2" w:rsidRDefault="0021660C" w:rsidP="006E5058">
            <w:pPr>
              <w:keepNext/>
              <w:spacing w:after="0"/>
              <w:jc w:val="center"/>
              <w:rPr>
                <w:rFonts w:cs="Arial"/>
                <w:sz w:val="20"/>
                <w:szCs w:val="20"/>
              </w:rPr>
            </w:pPr>
            <w:r>
              <w:rPr>
                <w:rFonts w:cs="Arial"/>
                <w:sz w:val="20"/>
                <w:szCs w:val="20"/>
              </w:rPr>
              <w:t>2</w:t>
            </w: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sidRPr="00A149F2">
              <w:rPr>
                <w:rFonts w:cs="Arial"/>
                <w:sz w:val="20"/>
                <w:szCs w:val="20"/>
              </w:rPr>
              <w:t>181</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21660C" w:rsidP="00A540B8">
            <w:pPr>
              <w:keepNext/>
              <w:tabs>
                <w:tab w:val="decimal" w:pos="792"/>
              </w:tabs>
              <w:spacing w:after="0"/>
              <w:rPr>
                <w:rFonts w:cs="Arial"/>
                <w:sz w:val="20"/>
                <w:szCs w:val="20"/>
              </w:rPr>
            </w:pPr>
            <w:r>
              <w:rPr>
                <w:rFonts w:cs="Arial"/>
                <w:sz w:val="20"/>
                <w:szCs w:val="20"/>
              </w:rPr>
              <w:t>$</w:t>
            </w:r>
            <w:r w:rsidRPr="009630B6">
              <w:rPr>
                <w:rFonts w:cs="Arial"/>
                <w:sz w:val="20"/>
                <w:szCs w:val="20"/>
              </w:rPr>
              <w:t>13,155</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362</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Pr>
                <w:rFonts w:cs="Arial"/>
                <w:sz w:val="20"/>
                <w:szCs w:val="20"/>
              </w:rPr>
              <w:t>$</w:t>
            </w:r>
            <w:r w:rsidRPr="009630B6">
              <w:rPr>
                <w:rFonts w:cs="Arial"/>
                <w:sz w:val="20"/>
                <w:szCs w:val="20"/>
              </w:rPr>
              <w:t>26,310</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6)</w:t>
            </w:r>
            <w:r>
              <w:tab/>
            </w:r>
            <w:r w:rsidRPr="00A149F2">
              <w:rPr>
                <w:rFonts w:cs="Arial"/>
                <w:sz w:val="20"/>
                <w:szCs w:val="20"/>
              </w:rPr>
              <w:t>Generate the data</w:t>
            </w:r>
            <w:r w:rsidRPr="00A149F2">
              <w:rPr>
                <w:rFonts w:cs="Arial"/>
                <w:sz w:val="20"/>
                <w:szCs w:val="20"/>
                <w:vertAlign w:val="superscript"/>
              </w:rPr>
              <w:t>(h)</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Pr>
                <w:rFonts w:cs="Arial"/>
                <w:sz w:val="20"/>
                <w:szCs w:val="20"/>
              </w:rPr>
              <w:t>4,012</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21660C" w:rsidP="00A540B8">
            <w:pPr>
              <w:keepNext/>
              <w:tabs>
                <w:tab w:val="decimal" w:pos="792"/>
              </w:tabs>
              <w:spacing w:after="0"/>
              <w:rPr>
                <w:rFonts w:cs="Arial"/>
                <w:sz w:val="20"/>
                <w:szCs w:val="20"/>
              </w:rPr>
            </w:pPr>
            <w:r w:rsidRPr="009630B6">
              <w:rPr>
                <w:rFonts w:cs="Arial"/>
                <w:sz w:val="20"/>
                <w:szCs w:val="20"/>
              </w:rPr>
              <w:t>242,582</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8,024</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485,164</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7)</w:t>
            </w:r>
            <w:r>
              <w:tab/>
            </w:r>
            <w:r w:rsidRPr="00A149F2">
              <w:rPr>
                <w:rFonts w:cs="Arial"/>
                <w:sz w:val="20"/>
                <w:szCs w:val="20"/>
              </w:rPr>
              <w:t xml:space="preserve">Submit Progress Report </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sidRPr="00A149F2">
              <w:rPr>
                <w:rFonts w:cs="Arial"/>
                <w:sz w:val="20"/>
                <w:szCs w:val="20"/>
              </w:rPr>
              <w:t>32</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21660C" w:rsidP="00A540B8">
            <w:pPr>
              <w:keepNext/>
              <w:tabs>
                <w:tab w:val="decimal" w:pos="792"/>
              </w:tabs>
              <w:spacing w:after="0"/>
              <w:rPr>
                <w:rFonts w:cs="Arial"/>
                <w:sz w:val="20"/>
                <w:szCs w:val="20"/>
              </w:rPr>
            </w:pPr>
            <w:r w:rsidRPr="009630B6">
              <w:rPr>
                <w:rFonts w:cs="Arial"/>
                <w:sz w:val="20"/>
                <w:szCs w:val="20"/>
              </w:rPr>
              <w:t>2,073</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64</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4,146</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8)</w:t>
            </w:r>
            <w:r>
              <w:tab/>
            </w:r>
            <w:r w:rsidRPr="00A149F2">
              <w:rPr>
                <w:rFonts w:cs="Arial"/>
                <w:sz w:val="20"/>
                <w:szCs w:val="20"/>
              </w:rPr>
              <w:t>Compile and review the final data for submission</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F35EDF" w:rsidP="00E6512C">
            <w:pPr>
              <w:keepNext/>
              <w:tabs>
                <w:tab w:val="decimal" w:pos="612"/>
              </w:tabs>
              <w:spacing w:after="0"/>
              <w:rPr>
                <w:rFonts w:cs="Arial"/>
                <w:sz w:val="20"/>
                <w:szCs w:val="20"/>
              </w:rPr>
            </w:pPr>
            <w:r w:rsidRPr="00A149F2">
              <w:rPr>
                <w:rFonts w:cs="Arial"/>
                <w:sz w:val="20"/>
                <w:szCs w:val="20"/>
              </w:rPr>
              <w:t>239</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E6512C" w:rsidP="00E6512C">
            <w:pPr>
              <w:keepNext/>
              <w:tabs>
                <w:tab w:val="decimal" w:pos="792"/>
              </w:tabs>
              <w:spacing w:after="0"/>
              <w:rPr>
                <w:rFonts w:cs="Arial"/>
                <w:sz w:val="20"/>
                <w:szCs w:val="20"/>
              </w:rPr>
            </w:pPr>
            <w:r w:rsidRPr="00E6512C">
              <w:rPr>
                <w:rFonts w:cs="Arial"/>
                <w:sz w:val="20"/>
                <w:szCs w:val="20"/>
              </w:rPr>
              <w:t>16,366</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E6512C" w:rsidP="00E6512C">
            <w:pPr>
              <w:keepNext/>
              <w:tabs>
                <w:tab w:val="decimal" w:pos="650"/>
              </w:tabs>
              <w:spacing w:after="0"/>
              <w:rPr>
                <w:rFonts w:cs="Arial"/>
                <w:sz w:val="20"/>
                <w:szCs w:val="20"/>
              </w:rPr>
            </w:pPr>
            <w:r>
              <w:rPr>
                <w:rFonts w:cs="Arial"/>
                <w:sz w:val="20"/>
                <w:szCs w:val="20"/>
              </w:rPr>
              <w:t>478</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E6512C" w:rsidP="00E6512C">
            <w:pPr>
              <w:keepNext/>
              <w:tabs>
                <w:tab w:val="decimal" w:pos="792"/>
              </w:tabs>
              <w:spacing w:after="0"/>
              <w:rPr>
                <w:rFonts w:cs="Arial"/>
                <w:sz w:val="20"/>
                <w:szCs w:val="20"/>
              </w:rPr>
            </w:pPr>
            <w:r w:rsidRPr="00E6512C">
              <w:rPr>
                <w:rFonts w:cs="Arial"/>
                <w:sz w:val="20"/>
                <w:szCs w:val="20"/>
              </w:rPr>
              <w:t>32,732</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9)</w:t>
            </w:r>
            <w:r>
              <w:tab/>
            </w:r>
            <w:r w:rsidRPr="00A149F2">
              <w:rPr>
                <w:rFonts w:cs="Arial"/>
                <w:sz w:val="20"/>
                <w:szCs w:val="20"/>
              </w:rPr>
              <w:t xml:space="preserve">Complete paperwork to assemble the submission package </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sidRPr="00A149F2">
              <w:rPr>
                <w:rFonts w:cs="Arial"/>
                <w:sz w:val="20"/>
                <w:szCs w:val="20"/>
              </w:rPr>
              <w:t>32</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21660C" w:rsidP="00A540B8">
            <w:pPr>
              <w:keepNext/>
              <w:tabs>
                <w:tab w:val="decimal" w:pos="792"/>
              </w:tabs>
              <w:spacing w:after="0"/>
              <w:rPr>
                <w:rFonts w:cs="Arial"/>
                <w:sz w:val="20"/>
                <w:szCs w:val="20"/>
              </w:rPr>
            </w:pPr>
            <w:r w:rsidRPr="009630B6">
              <w:rPr>
                <w:rFonts w:cs="Arial"/>
                <w:sz w:val="20"/>
                <w:szCs w:val="20"/>
              </w:rPr>
              <w:t>2,073</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64</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4,146</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10)</w:t>
            </w:r>
            <w:r>
              <w:tab/>
            </w:r>
            <w:r w:rsidRPr="00A149F2">
              <w:rPr>
                <w:rFonts w:cs="Arial"/>
                <w:sz w:val="20"/>
                <w:szCs w:val="20"/>
              </w:rPr>
              <w:t xml:space="preserve">Submit final data to </w:t>
            </w:r>
            <w:r>
              <w:rPr>
                <w:rFonts w:cs="Arial"/>
                <w:sz w:val="20"/>
                <w:szCs w:val="20"/>
              </w:rPr>
              <w:t>the EPA</w:t>
            </w:r>
            <w:r w:rsidRPr="00A149F2">
              <w:rPr>
                <w:rFonts w:cs="Arial"/>
                <w:sz w:val="20"/>
                <w:szCs w:val="20"/>
              </w:rPr>
              <w:t xml:space="preserve"> </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sidRPr="00A149F2">
              <w:rPr>
                <w:rFonts w:cs="Arial"/>
                <w:sz w:val="20"/>
                <w:szCs w:val="20"/>
              </w:rPr>
              <w:t>5</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21660C" w:rsidP="00A540B8">
            <w:pPr>
              <w:keepNext/>
              <w:tabs>
                <w:tab w:val="decimal" w:pos="792"/>
              </w:tabs>
              <w:spacing w:after="0"/>
              <w:rPr>
                <w:rFonts w:cs="Arial"/>
                <w:sz w:val="20"/>
                <w:szCs w:val="20"/>
              </w:rPr>
            </w:pPr>
            <w:r w:rsidRPr="009630B6">
              <w:rPr>
                <w:rFonts w:cs="Arial"/>
                <w:sz w:val="20"/>
                <w:szCs w:val="20"/>
              </w:rPr>
              <w:t>440</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10</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880</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11)</w:t>
            </w:r>
            <w:r>
              <w:tab/>
            </w:r>
            <w:r w:rsidRPr="00A149F2">
              <w:rPr>
                <w:rFonts w:cs="Arial"/>
                <w:sz w:val="20"/>
                <w:szCs w:val="20"/>
              </w:rPr>
              <w:t>Maintain records</w:t>
            </w:r>
            <w:r w:rsidRPr="00A149F2">
              <w:rPr>
                <w:rFonts w:cs="Arial"/>
                <w:sz w:val="20"/>
                <w:szCs w:val="20"/>
                <w:vertAlign w:val="superscript"/>
              </w:rPr>
              <w:t xml:space="preserve"> (g)</w:t>
            </w:r>
          </w:p>
        </w:tc>
        <w:tc>
          <w:tcPr>
            <w:tcW w:w="1260" w:type="dxa"/>
            <w:vMerge/>
            <w:tcBorders>
              <w:left w:val="nil"/>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r w:rsidRPr="00A149F2">
              <w:rPr>
                <w:rFonts w:cs="Arial"/>
                <w:sz w:val="20"/>
                <w:szCs w:val="20"/>
              </w:rPr>
              <w:t>43</w:t>
            </w:r>
          </w:p>
        </w:tc>
        <w:tc>
          <w:tcPr>
            <w:tcW w:w="1170" w:type="dxa"/>
            <w:tcBorders>
              <w:top w:val="nil"/>
              <w:left w:val="nil"/>
              <w:bottom w:val="single" w:sz="4" w:space="0" w:color="auto"/>
              <w:right w:val="single" w:sz="4" w:space="0" w:color="auto"/>
            </w:tcBorders>
            <w:shd w:val="clear" w:color="auto" w:fill="auto"/>
            <w:hideMark/>
          </w:tcPr>
          <w:p w:rsidR="0021660C" w:rsidRPr="009630B6" w:rsidRDefault="00AD06C5" w:rsidP="00A540B8">
            <w:pPr>
              <w:keepNext/>
              <w:tabs>
                <w:tab w:val="decimal" w:pos="792"/>
              </w:tabs>
              <w:spacing w:after="0"/>
              <w:rPr>
                <w:rFonts w:cs="Arial"/>
                <w:sz w:val="20"/>
                <w:szCs w:val="20"/>
              </w:rPr>
            </w:pPr>
            <w:r>
              <w:rPr>
                <w:rFonts w:cs="Arial"/>
                <w:sz w:val="20"/>
                <w:szCs w:val="20"/>
              </w:rPr>
              <w:t>3,</w:t>
            </w:r>
            <w:r w:rsidR="0021660C" w:rsidRPr="009630B6">
              <w:rPr>
                <w:rFonts w:cs="Arial"/>
                <w:sz w:val="20"/>
                <w:szCs w:val="20"/>
              </w:rPr>
              <w:t>697</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r w:rsidRPr="009630B6">
              <w:rPr>
                <w:rFonts w:cs="Arial"/>
                <w:sz w:val="20"/>
                <w:szCs w:val="20"/>
              </w:rPr>
              <w:t>86</w:t>
            </w: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7,394</w:t>
            </w:r>
          </w:p>
        </w:tc>
      </w:tr>
      <w:tr w:rsidR="00AD06C5" w:rsidRPr="00991ACB" w:rsidTr="000D51DB">
        <w:trPr>
          <w:cantSplit/>
        </w:trPr>
        <w:tc>
          <w:tcPr>
            <w:tcW w:w="4698" w:type="dxa"/>
            <w:tcBorders>
              <w:top w:val="nil"/>
              <w:left w:val="single" w:sz="4" w:space="0" w:color="auto"/>
              <w:bottom w:val="single" w:sz="4" w:space="0" w:color="auto"/>
              <w:right w:val="single" w:sz="4" w:space="0" w:color="auto"/>
            </w:tcBorders>
            <w:shd w:val="clear" w:color="auto" w:fill="auto"/>
            <w:hideMark/>
          </w:tcPr>
          <w:p w:rsidR="0021660C" w:rsidRDefault="0021660C" w:rsidP="006E5058">
            <w:pPr>
              <w:keepNext/>
              <w:spacing w:after="0"/>
              <w:ind w:left="360" w:hanging="360"/>
              <w:rPr>
                <w:rFonts w:cs="Arial"/>
                <w:color w:val="000000"/>
                <w:sz w:val="20"/>
                <w:szCs w:val="20"/>
              </w:rPr>
            </w:pPr>
            <w:r w:rsidRPr="00A149F2">
              <w:rPr>
                <w:rFonts w:cs="Arial"/>
                <w:sz w:val="20"/>
                <w:szCs w:val="20"/>
              </w:rPr>
              <w:t>12)</w:t>
            </w:r>
            <w:r>
              <w:tab/>
            </w:r>
            <w:r w:rsidRPr="00A149F2">
              <w:rPr>
                <w:rFonts w:cs="Arial"/>
                <w:sz w:val="20"/>
                <w:szCs w:val="20"/>
              </w:rPr>
              <w:t xml:space="preserve">Delivery Costs </w:t>
            </w:r>
          </w:p>
        </w:tc>
        <w:tc>
          <w:tcPr>
            <w:tcW w:w="1260" w:type="dxa"/>
            <w:vMerge/>
            <w:tcBorders>
              <w:left w:val="nil"/>
              <w:bottom w:val="single" w:sz="4" w:space="0" w:color="auto"/>
              <w:right w:val="single" w:sz="4" w:space="0" w:color="auto"/>
            </w:tcBorders>
            <w:shd w:val="clear" w:color="auto" w:fill="auto"/>
            <w:hideMark/>
          </w:tcPr>
          <w:p w:rsidR="0021660C" w:rsidRPr="00A149F2" w:rsidRDefault="0021660C" w:rsidP="006E5058">
            <w:pPr>
              <w:keepNext/>
              <w:spacing w:after="0"/>
              <w:jc w:val="center"/>
              <w:rPr>
                <w:rFonts w:cs="Arial"/>
                <w:sz w:val="20"/>
                <w:szCs w:val="20"/>
              </w:rPr>
            </w:pPr>
          </w:p>
        </w:tc>
        <w:tc>
          <w:tcPr>
            <w:tcW w:w="990" w:type="dxa"/>
            <w:tcBorders>
              <w:top w:val="nil"/>
              <w:left w:val="nil"/>
              <w:bottom w:val="single" w:sz="4" w:space="0" w:color="auto"/>
              <w:right w:val="single" w:sz="4" w:space="0" w:color="auto"/>
            </w:tcBorders>
            <w:shd w:val="clear" w:color="auto" w:fill="auto"/>
            <w:hideMark/>
          </w:tcPr>
          <w:p w:rsidR="0021660C" w:rsidRPr="00A149F2" w:rsidRDefault="0021660C" w:rsidP="00AD06C5">
            <w:pPr>
              <w:keepNext/>
              <w:tabs>
                <w:tab w:val="decimal" w:pos="612"/>
              </w:tabs>
              <w:spacing w:after="0"/>
              <w:rPr>
                <w:rFonts w:cs="Arial"/>
                <w:sz w:val="20"/>
                <w:szCs w:val="20"/>
              </w:rPr>
            </w:pPr>
          </w:p>
        </w:tc>
        <w:tc>
          <w:tcPr>
            <w:tcW w:w="1170" w:type="dxa"/>
            <w:tcBorders>
              <w:top w:val="nil"/>
              <w:left w:val="nil"/>
              <w:bottom w:val="single" w:sz="4" w:space="0" w:color="auto"/>
              <w:right w:val="single" w:sz="4" w:space="0" w:color="auto"/>
            </w:tcBorders>
            <w:shd w:val="clear" w:color="auto" w:fill="auto"/>
            <w:hideMark/>
          </w:tcPr>
          <w:p w:rsidR="0021660C" w:rsidRPr="009630B6" w:rsidRDefault="00A540B8" w:rsidP="00A540B8">
            <w:pPr>
              <w:keepNext/>
              <w:tabs>
                <w:tab w:val="decimal" w:pos="792"/>
              </w:tabs>
              <w:spacing w:after="0"/>
              <w:rPr>
                <w:rFonts w:cs="Arial"/>
                <w:sz w:val="20"/>
                <w:szCs w:val="20"/>
              </w:rPr>
            </w:pPr>
            <w:r>
              <w:rPr>
                <w:rFonts w:cs="Arial"/>
                <w:sz w:val="20"/>
                <w:szCs w:val="20"/>
              </w:rPr>
              <w:t>11</w:t>
            </w:r>
          </w:p>
        </w:tc>
        <w:tc>
          <w:tcPr>
            <w:tcW w:w="990" w:type="dxa"/>
            <w:tcBorders>
              <w:top w:val="nil"/>
              <w:left w:val="nil"/>
              <w:bottom w:val="single" w:sz="4" w:space="0" w:color="auto"/>
              <w:right w:val="single" w:sz="4" w:space="0" w:color="auto"/>
            </w:tcBorders>
            <w:shd w:val="clear" w:color="000000" w:fill="B8CCE4"/>
            <w:hideMark/>
          </w:tcPr>
          <w:p w:rsidR="0021660C" w:rsidRPr="009630B6" w:rsidRDefault="0021660C" w:rsidP="006E5058">
            <w:pPr>
              <w:keepNext/>
              <w:tabs>
                <w:tab w:val="decimal" w:pos="650"/>
              </w:tabs>
              <w:spacing w:after="0"/>
              <w:rPr>
                <w:rFonts w:cs="Arial"/>
                <w:sz w:val="20"/>
                <w:szCs w:val="20"/>
              </w:rPr>
            </w:pPr>
          </w:p>
        </w:tc>
        <w:tc>
          <w:tcPr>
            <w:tcW w:w="1188" w:type="dxa"/>
            <w:tcBorders>
              <w:top w:val="nil"/>
              <w:left w:val="nil"/>
              <w:bottom w:val="single" w:sz="4" w:space="0" w:color="auto"/>
              <w:right w:val="single" w:sz="4" w:space="0" w:color="auto"/>
            </w:tcBorders>
            <w:shd w:val="clear" w:color="000000" w:fill="B8CCE4"/>
            <w:hideMark/>
          </w:tcPr>
          <w:p w:rsidR="0021660C" w:rsidRPr="009630B6" w:rsidRDefault="0021660C" w:rsidP="000D51DB">
            <w:pPr>
              <w:keepNext/>
              <w:tabs>
                <w:tab w:val="decimal" w:pos="792"/>
              </w:tabs>
              <w:spacing w:after="0"/>
              <w:rPr>
                <w:rFonts w:cs="Arial"/>
                <w:sz w:val="20"/>
                <w:szCs w:val="20"/>
              </w:rPr>
            </w:pPr>
            <w:r w:rsidRPr="009630B6">
              <w:rPr>
                <w:rFonts w:cs="Arial"/>
                <w:sz w:val="20"/>
                <w:szCs w:val="20"/>
              </w:rPr>
              <w:t>21</w:t>
            </w:r>
          </w:p>
        </w:tc>
      </w:tr>
      <w:tr w:rsidR="00DB16F5" w:rsidRPr="00A540B8" w:rsidTr="000D51DB">
        <w:trPr>
          <w:cantSplit/>
        </w:trPr>
        <w:tc>
          <w:tcPr>
            <w:tcW w:w="5958"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DB16F5" w:rsidRPr="00A540B8" w:rsidRDefault="00DB16F5" w:rsidP="0021660C">
            <w:pPr>
              <w:tabs>
                <w:tab w:val="decimal" w:pos="683"/>
                <w:tab w:val="decimal" w:pos="905"/>
              </w:tabs>
              <w:spacing w:after="0"/>
              <w:jc w:val="right"/>
              <w:rPr>
                <w:rFonts w:cs="Arial"/>
                <w:b/>
                <w:bCs/>
                <w:sz w:val="20"/>
                <w:szCs w:val="20"/>
              </w:rPr>
            </w:pPr>
            <w:r w:rsidRPr="00A540B8">
              <w:rPr>
                <w:rFonts w:cs="Arial"/>
                <w:b/>
                <w:bCs/>
                <w:sz w:val="20"/>
                <w:szCs w:val="20"/>
              </w:rPr>
              <w:t>Total:</w:t>
            </w:r>
          </w:p>
        </w:tc>
        <w:tc>
          <w:tcPr>
            <w:tcW w:w="990" w:type="dxa"/>
            <w:tcBorders>
              <w:top w:val="single" w:sz="4" w:space="0" w:color="auto"/>
              <w:left w:val="nil"/>
              <w:bottom w:val="single" w:sz="4" w:space="0" w:color="auto"/>
              <w:right w:val="single" w:sz="4" w:space="0" w:color="auto"/>
            </w:tcBorders>
            <w:shd w:val="clear" w:color="000000" w:fill="B8CCE4"/>
            <w:hideMark/>
          </w:tcPr>
          <w:p w:rsidR="00DB16F5" w:rsidRPr="00A540B8" w:rsidRDefault="00AD06C5" w:rsidP="00E6512C">
            <w:pPr>
              <w:keepNext/>
              <w:tabs>
                <w:tab w:val="decimal" w:pos="612"/>
              </w:tabs>
              <w:spacing w:after="0"/>
              <w:rPr>
                <w:rFonts w:cs="Arial"/>
                <w:b/>
                <w:bCs/>
                <w:sz w:val="20"/>
                <w:szCs w:val="20"/>
              </w:rPr>
            </w:pPr>
            <w:r w:rsidRPr="00A540B8">
              <w:rPr>
                <w:rFonts w:cs="Arial"/>
                <w:b/>
                <w:bCs/>
                <w:sz w:val="20"/>
                <w:szCs w:val="20"/>
              </w:rPr>
              <w:t>4,5</w:t>
            </w:r>
            <w:r w:rsidR="00E6512C">
              <w:rPr>
                <w:rFonts w:cs="Arial"/>
                <w:b/>
                <w:bCs/>
                <w:sz w:val="20"/>
                <w:szCs w:val="20"/>
              </w:rPr>
              <w:t>4</w:t>
            </w:r>
            <w:r w:rsidRPr="00A540B8">
              <w:rPr>
                <w:rFonts w:cs="Arial"/>
                <w:b/>
                <w:bCs/>
                <w:sz w:val="20"/>
                <w:szCs w:val="20"/>
              </w:rPr>
              <w:t>4</w:t>
            </w:r>
          </w:p>
        </w:tc>
        <w:tc>
          <w:tcPr>
            <w:tcW w:w="1170" w:type="dxa"/>
            <w:tcBorders>
              <w:top w:val="single" w:sz="4" w:space="0" w:color="auto"/>
              <w:left w:val="nil"/>
              <w:bottom w:val="single" w:sz="4" w:space="0" w:color="auto"/>
              <w:right w:val="single" w:sz="4" w:space="0" w:color="auto"/>
            </w:tcBorders>
            <w:shd w:val="clear" w:color="000000" w:fill="B8CCE4"/>
            <w:hideMark/>
          </w:tcPr>
          <w:p w:rsidR="00DB16F5" w:rsidRPr="00A540B8" w:rsidRDefault="00DB16F5" w:rsidP="00E6512C">
            <w:pPr>
              <w:keepNext/>
              <w:tabs>
                <w:tab w:val="decimal" w:pos="792"/>
              </w:tabs>
              <w:spacing w:after="0"/>
              <w:rPr>
                <w:rFonts w:cs="Arial"/>
                <w:b/>
                <w:sz w:val="20"/>
                <w:szCs w:val="20"/>
              </w:rPr>
            </w:pPr>
            <w:r w:rsidRPr="00A540B8">
              <w:rPr>
                <w:rFonts w:cs="Arial"/>
                <w:b/>
                <w:sz w:val="20"/>
                <w:szCs w:val="20"/>
              </w:rPr>
              <w:t>$28</w:t>
            </w:r>
            <w:r w:rsidR="00E6512C">
              <w:rPr>
                <w:rFonts w:cs="Arial"/>
                <w:b/>
                <w:sz w:val="20"/>
                <w:szCs w:val="20"/>
              </w:rPr>
              <w:t>0</w:t>
            </w:r>
            <w:r w:rsidRPr="00A540B8">
              <w:rPr>
                <w:rFonts w:cs="Arial"/>
                <w:b/>
                <w:sz w:val="20"/>
                <w:szCs w:val="20"/>
              </w:rPr>
              <w:t>,</w:t>
            </w:r>
            <w:r w:rsidR="00E6512C">
              <w:rPr>
                <w:rFonts w:cs="Arial"/>
                <w:b/>
                <w:sz w:val="20"/>
                <w:szCs w:val="20"/>
              </w:rPr>
              <w:t>397</w:t>
            </w:r>
          </w:p>
        </w:tc>
        <w:tc>
          <w:tcPr>
            <w:tcW w:w="990" w:type="dxa"/>
            <w:tcBorders>
              <w:top w:val="single" w:sz="4" w:space="0" w:color="auto"/>
              <w:left w:val="nil"/>
              <w:bottom w:val="single" w:sz="4" w:space="0" w:color="auto"/>
              <w:right w:val="single" w:sz="4" w:space="0" w:color="auto"/>
            </w:tcBorders>
            <w:shd w:val="clear" w:color="000000" w:fill="B8CCE4"/>
            <w:hideMark/>
          </w:tcPr>
          <w:p w:rsidR="00DB16F5" w:rsidRPr="00A540B8" w:rsidRDefault="00DB16F5" w:rsidP="00E6512C">
            <w:pPr>
              <w:tabs>
                <w:tab w:val="decimal" w:pos="650"/>
              </w:tabs>
              <w:spacing w:after="0"/>
              <w:rPr>
                <w:rFonts w:cs="Arial"/>
                <w:b/>
                <w:sz w:val="20"/>
                <w:szCs w:val="20"/>
              </w:rPr>
            </w:pPr>
            <w:r w:rsidRPr="00A540B8">
              <w:rPr>
                <w:rFonts w:cs="Arial"/>
                <w:b/>
                <w:sz w:val="20"/>
                <w:szCs w:val="20"/>
              </w:rPr>
              <w:t>9,</w:t>
            </w:r>
            <w:r w:rsidR="00E6512C">
              <w:rPr>
                <w:rFonts w:cs="Arial"/>
                <w:b/>
                <w:sz w:val="20"/>
                <w:szCs w:val="20"/>
              </w:rPr>
              <w:t>088</w:t>
            </w:r>
          </w:p>
        </w:tc>
        <w:tc>
          <w:tcPr>
            <w:tcW w:w="1188" w:type="dxa"/>
            <w:tcBorders>
              <w:top w:val="single" w:sz="4" w:space="0" w:color="auto"/>
              <w:left w:val="nil"/>
              <w:bottom w:val="single" w:sz="4" w:space="0" w:color="auto"/>
              <w:right w:val="single" w:sz="4" w:space="0" w:color="auto"/>
            </w:tcBorders>
            <w:shd w:val="clear" w:color="000000" w:fill="B8CCE4"/>
            <w:hideMark/>
          </w:tcPr>
          <w:p w:rsidR="00DB16F5" w:rsidRPr="00A540B8" w:rsidRDefault="00DB16F5" w:rsidP="00E6512C">
            <w:pPr>
              <w:keepNext/>
              <w:tabs>
                <w:tab w:val="decimal" w:pos="792"/>
              </w:tabs>
              <w:spacing w:after="0"/>
              <w:rPr>
                <w:rFonts w:cs="Arial"/>
                <w:b/>
                <w:sz w:val="20"/>
                <w:szCs w:val="20"/>
              </w:rPr>
            </w:pPr>
            <w:r w:rsidRPr="00A540B8">
              <w:rPr>
                <w:rFonts w:cs="Arial"/>
                <w:b/>
                <w:sz w:val="20"/>
                <w:szCs w:val="20"/>
              </w:rPr>
              <w:t>$56</w:t>
            </w:r>
            <w:r w:rsidR="00E6512C">
              <w:rPr>
                <w:rFonts w:cs="Arial"/>
                <w:b/>
                <w:sz w:val="20"/>
                <w:szCs w:val="20"/>
              </w:rPr>
              <w:t>0</w:t>
            </w:r>
            <w:r w:rsidRPr="00A540B8">
              <w:rPr>
                <w:rFonts w:cs="Arial"/>
                <w:b/>
                <w:sz w:val="20"/>
                <w:szCs w:val="20"/>
              </w:rPr>
              <w:t>,</w:t>
            </w:r>
            <w:r w:rsidR="00E6512C">
              <w:rPr>
                <w:rFonts w:cs="Arial"/>
                <w:b/>
                <w:sz w:val="20"/>
                <w:szCs w:val="20"/>
              </w:rPr>
              <w:t>793</w:t>
            </w:r>
          </w:p>
        </w:tc>
      </w:tr>
      <w:tr w:rsidR="00F35EDF" w:rsidRPr="00A149F2" w:rsidTr="00AD06C5">
        <w:trPr>
          <w:cantSplit/>
        </w:trPr>
        <w:tc>
          <w:tcPr>
            <w:tcW w:w="10296" w:type="dxa"/>
            <w:gridSpan w:val="6"/>
            <w:tcBorders>
              <w:top w:val="single" w:sz="4" w:space="0" w:color="auto"/>
            </w:tcBorders>
            <w:shd w:val="clear" w:color="auto" w:fill="auto"/>
          </w:tcPr>
          <w:p w:rsidR="00F35EDF" w:rsidRPr="00A149F2" w:rsidRDefault="00F35EDF" w:rsidP="002F5096">
            <w:pPr>
              <w:spacing w:after="0"/>
              <w:rPr>
                <w:rFonts w:cs="Arial"/>
                <w:bCs/>
                <w:sz w:val="18"/>
                <w:szCs w:val="18"/>
                <w:u w:val="single"/>
              </w:rPr>
            </w:pPr>
            <w:r w:rsidRPr="00A149F2">
              <w:rPr>
                <w:rFonts w:cs="Arial"/>
                <w:bCs/>
                <w:sz w:val="18"/>
                <w:szCs w:val="18"/>
                <w:u w:val="single"/>
              </w:rPr>
              <w:t>Key:</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 xml:space="preserve">(a) Activities are described in more detail in section 4(b) of this ICR. </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(b) From Table 1, includes catch-up orders.</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 xml:space="preserve">(c) See Activity listing in Table 6. </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(d) See Activity listing in Table 7.</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(e) Total = (b) x (c)</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(f) Total = (b) x (d)</w:t>
            </w:r>
          </w:p>
        </w:tc>
      </w:tr>
      <w:tr w:rsidR="00F35EDF" w:rsidRPr="00A149F2" w:rsidTr="00AD06C5">
        <w:trPr>
          <w:cantSplit/>
        </w:trPr>
        <w:tc>
          <w:tcPr>
            <w:tcW w:w="10296" w:type="dxa"/>
            <w:gridSpan w:val="6"/>
            <w:shd w:val="clear" w:color="auto" w:fill="auto"/>
          </w:tcPr>
          <w:p w:rsidR="00F35EDF" w:rsidRPr="00A149F2" w:rsidRDefault="00F35EDF" w:rsidP="002F5096">
            <w:pPr>
              <w:spacing w:after="0"/>
              <w:rPr>
                <w:rFonts w:cs="Arial"/>
                <w:sz w:val="18"/>
                <w:szCs w:val="18"/>
              </w:rPr>
            </w:pPr>
            <w:r w:rsidRPr="00A149F2">
              <w:rPr>
                <w:rFonts w:cs="Arial"/>
                <w:sz w:val="18"/>
                <w:szCs w:val="18"/>
              </w:rPr>
              <w:t>(g) Maintaining records of the initial Response is estimated to be ½ of the totals in Tables 6</w:t>
            </w:r>
            <w:r w:rsidR="00674E1C">
              <w:rPr>
                <w:rFonts w:cs="Arial"/>
                <w:sz w:val="18"/>
                <w:szCs w:val="18"/>
              </w:rPr>
              <w:t xml:space="preserve"> and </w:t>
            </w:r>
            <w:r w:rsidRPr="00A149F2">
              <w:rPr>
                <w:rFonts w:cs="Arial"/>
                <w:sz w:val="18"/>
                <w:szCs w:val="18"/>
              </w:rPr>
              <w:t xml:space="preserve">7. </w:t>
            </w:r>
          </w:p>
        </w:tc>
      </w:tr>
      <w:tr w:rsidR="00F35EDF" w:rsidRPr="00A149F2" w:rsidTr="00AD06C5">
        <w:trPr>
          <w:cantSplit/>
        </w:trPr>
        <w:tc>
          <w:tcPr>
            <w:tcW w:w="10296" w:type="dxa"/>
            <w:gridSpan w:val="6"/>
            <w:shd w:val="clear" w:color="auto" w:fill="auto"/>
          </w:tcPr>
          <w:p w:rsidR="00F35EDF" w:rsidRPr="00A149F2" w:rsidRDefault="00F35EDF" w:rsidP="0075056C">
            <w:pPr>
              <w:spacing w:after="0"/>
              <w:rPr>
                <w:rFonts w:cs="Arial"/>
                <w:sz w:val="18"/>
                <w:szCs w:val="18"/>
              </w:rPr>
            </w:pPr>
            <w:r w:rsidRPr="00A149F2">
              <w:rPr>
                <w:rFonts w:cs="Arial"/>
                <w:sz w:val="18"/>
                <w:szCs w:val="18"/>
              </w:rPr>
              <w:t>(h) Burden cost estimate is a percentage of the total test cost, which is calculat</w:t>
            </w:r>
            <w:r w:rsidR="0075056C">
              <w:rPr>
                <w:rFonts w:cs="Arial"/>
                <w:sz w:val="18"/>
                <w:szCs w:val="18"/>
              </w:rPr>
              <w:t>ed in Attachment F</w:t>
            </w:r>
            <w:r w:rsidRPr="00A149F2">
              <w:rPr>
                <w:rFonts w:cs="Arial"/>
                <w:sz w:val="18"/>
                <w:szCs w:val="18"/>
              </w:rPr>
              <w:t>.</w:t>
            </w:r>
          </w:p>
        </w:tc>
      </w:tr>
    </w:tbl>
    <w:p w:rsidR="006E5058" w:rsidRDefault="006E5058" w:rsidP="002F2414">
      <w:pPr>
        <w:spacing w:before="240"/>
      </w:pPr>
      <w:r w:rsidRPr="006E5058">
        <w:t xml:space="preserve">The total </w:t>
      </w:r>
      <w:r w:rsidR="00A31A91">
        <w:t>IC #</w:t>
      </w:r>
      <w:r w:rsidRPr="006E5058">
        <w:t xml:space="preserve">2 burden and costs is therefore a total of </w:t>
      </w:r>
      <w:r w:rsidR="00AA1FCC" w:rsidRPr="00AA1FCC">
        <w:t>23</w:t>
      </w:r>
      <w:r w:rsidR="00E6512C">
        <w:t>6</w:t>
      </w:r>
      <w:r w:rsidR="00AA1FCC" w:rsidRPr="00AA1FCC">
        <w:t>,</w:t>
      </w:r>
      <w:r w:rsidR="00E6512C">
        <w:t>288</w:t>
      </w:r>
      <w:r w:rsidR="00AA1FCC">
        <w:t xml:space="preserve"> </w:t>
      </w:r>
      <w:r w:rsidRPr="006E5058">
        <w:t>hours (22</w:t>
      </w:r>
      <w:r w:rsidR="00E6512C">
        <w:t>7</w:t>
      </w:r>
      <w:r w:rsidRPr="006E5058">
        <w:t>,200 hours + 9,</w:t>
      </w:r>
      <w:r w:rsidR="00E6512C">
        <w:t>088</w:t>
      </w:r>
      <w:r w:rsidRPr="006E5058">
        <w:t xml:space="preserve"> hours) and </w:t>
      </w:r>
      <w:r w:rsidR="00AA1FCC" w:rsidRPr="00AA1FCC">
        <w:t>$</w:t>
      </w:r>
      <w:r w:rsidR="007D3345">
        <w:t>14,</w:t>
      </w:r>
      <w:r w:rsidR="00E6512C">
        <w:t>580,621</w:t>
      </w:r>
      <w:r w:rsidR="007D3345">
        <w:t xml:space="preserve"> ($</w:t>
      </w:r>
      <w:r w:rsidR="007D3345" w:rsidRPr="00AA1FCC">
        <w:t>14,</w:t>
      </w:r>
      <w:r w:rsidR="00E6512C">
        <w:t>019,828</w:t>
      </w:r>
      <w:r w:rsidR="007D3345">
        <w:t xml:space="preserve"> + $</w:t>
      </w:r>
      <w:r w:rsidR="00AA1FCC" w:rsidRPr="00AA1FCC">
        <w:t>56</w:t>
      </w:r>
      <w:r w:rsidR="00E6512C">
        <w:t>0</w:t>
      </w:r>
      <w:r w:rsidR="00AA1FCC" w:rsidRPr="00AA1FCC">
        <w:t>,</w:t>
      </w:r>
      <w:r w:rsidR="00E6512C">
        <w:t>793</w:t>
      </w:r>
      <w:r w:rsidRPr="006E5058">
        <w:t>).</w:t>
      </w:r>
    </w:p>
    <w:p w:rsidR="000F0DF3" w:rsidRDefault="00A31A91" w:rsidP="00123223">
      <w:pPr>
        <w:pStyle w:val="Heading4"/>
      </w:pPr>
      <w:r>
        <w:lastRenderedPageBreak/>
        <w:t>IC #</w:t>
      </w:r>
      <w:r w:rsidR="001F435B">
        <w:t>3</w:t>
      </w:r>
      <w:r w:rsidR="000C6CB0">
        <w:t xml:space="preserve">:  </w:t>
      </w:r>
      <w:r w:rsidR="001F435B">
        <w:t>Consortium Participants</w:t>
      </w:r>
    </w:p>
    <w:p w:rsidR="0075056C" w:rsidRDefault="001F435B" w:rsidP="00F16932">
      <w:r>
        <w:t>This IC category is intended to capture the additional burden and costs expected for a subset of the order recipients who are participating in a consortium.</w:t>
      </w:r>
      <w:r w:rsidR="000C6CB0">
        <w:t xml:space="preserve"> </w:t>
      </w:r>
      <w:r>
        <w:t xml:space="preserve">As discussed previously, </w:t>
      </w:r>
      <w:r w:rsidR="002F2414">
        <w:t>the EPA</w:t>
      </w:r>
      <w:r>
        <w:t xml:space="preserve"> assumes that when there are more than one order recipients for a particular chemical, the recipients will join forces to generate and submit the data in response to the order.</w:t>
      </w:r>
      <w:r w:rsidR="000C6CB0">
        <w:t xml:space="preserve"> </w:t>
      </w:r>
      <w:r>
        <w:t>If the order recipient is not the lead, they are assumed to be participants in that effort.</w:t>
      </w:r>
      <w:r w:rsidR="000C6CB0">
        <w:t xml:space="preserve"> </w:t>
      </w:r>
      <w:r>
        <w:t xml:space="preserve">For this IC category, the </w:t>
      </w:r>
      <w:r w:rsidR="00CF1D4B">
        <w:t>agency</w:t>
      </w:r>
      <w:r>
        <w:t xml:space="preserve"> assumes that these respondents will also engage in the activities identified in Tables 6</w:t>
      </w:r>
      <w:r w:rsidR="00674E1C">
        <w:t xml:space="preserve"> and </w:t>
      </w:r>
      <w:r>
        <w:t>7 as activity 5, which is associated with participating in a consortium.</w:t>
      </w:r>
      <w:r w:rsidR="000C6CB0">
        <w:t xml:space="preserve"> </w:t>
      </w:r>
    </w:p>
    <w:p w:rsidR="000F0DF3" w:rsidRDefault="001F435B" w:rsidP="00F16932">
      <w:r w:rsidRPr="00674E1C">
        <w:t xml:space="preserve">Again, </w:t>
      </w:r>
      <w:r w:rsidR="002F2414" w:rsidRPr="00674E1C">
        <w:t>the EPA</w:t>
      </w:r>
      <w:r w:rsidRPr="00674E1C">
        <w:t xml:space="preserve"> has issued all orders for the 67 chemicals on the </w:t>
      </w:r>
      <w:r w:rsidR="00C90C7B">
        <w:t>initial list of chemicals</w:t>
      </w:r>
      <w:r w:rsidRPr="00674E1C">
        <w:t xml:space="preserve"> and is assuming that there will be no more new data generators or submitters (</w:t>
      </w:r>
      <w:r w:rsidRPr="00674E1C">
        <w:rPr>
          <w:i/>
        </w:rPr>
        <w:t>i.e.</w:t>
      </w:r>
      <w:r w:rsidRPr="00674E1C">
        <w:t>, no new consortium) for this IC category.</w:t>
      </w:r>
      <w:r w:rsidR="000C6CB0" w:rsidRPr="00674E1C">
        <w:t xml:space="preserve"> </w:t>
      </w:r>
      <w:r w:rsidRPr="00674E1C">
        <w:t xml:space="preserve">However, </w:t>
      </w:r>
      <w:r w:rsidR="002F2414" w:rsidRPr="00674E1C">
        <w:t>the EPA</w:t>
      </w:r>
      <w:r w:rsidRPr="00674E1C">
        <w:t xml:space="preserve"> is making the assumption that </w:t>
      </w:r>
      <w:r w:rsidR="00021B08" w:rsidRPr="00674E1C">
        <w:t>60</w:t>
      </w:r>
      <w:r w:rsidRPr="00674E1C">
        <w:t xml:space="preserve"> </w:t>
      </w:r>
      <w:r w:rsidR="00CF1D4B" w:rsidRPr="00674E1C">
        <w:t>"</w:t>
      </w:r>
      <w:r w:rsidRPr="00674E1C">
        <w:t>catch-up</w:t>
      </w:r>
      <w:r w:rsidR="00021B08" w:rsidRPr="00674E1C">
        <w:t>"</w:t>
      </w:r>
      <w:r w:rsidRPr="00674E1C">
        <w:t xml:space="preserve"> order recipients (</w:t>
      </w:r>
      <w:r w:rsidR="00021B08" w:rsidRPr="00674E1C">
        <w:t>45</w:t>
      </w:r>
      <w:r w:rsidRPr="00674E1C">
        <w:t xml:space="preserve"> pesticide active ingredients and </w:t>
      </w:r>
      <w:r w:rsidR="00021B08" w:rsidRPr="00674E1C">
        <w:t>1</w:t>
      </w:r>
      <w:r w:rsidRPr="00674E1C">
        <w:t>5 pesticide inert ingredients over a 3 year period) will join an existing consortium to generate data</w:t>
      </w:r>
      <w:r w:rsidR="002F5096" w:rsidRPr="00674E1C">
        <w:t>.</w:t>
      </w:r>
    </w:p>
    <w:p w:rsidR="001F435B" w:rsidRDefault="00F35EDF" w:rsidP="002F2414">
      <w:pPr>
        <w:pStyle w:val="TableCaption"/>
      </w:pPr>
      <w:r w:rsidRPr="00F35EDF">
        <w:t>Table 12 – IC #3</w:t>
      </w:r>
      <w:r w:rsidR="000C6CB0">
        <w:t xml:space="preserve">:  </w:t>
      </w:r>
      <w:r w:rsidRPr="00F35EDF">
        <w:t>Estimated Additional Burden</w:t>
      </w:r>
      <w:r w:rsidR="00674E1C">
        <w:t xml:space="preserve"> and </w:t>
      </w:r>
      <w:r w:rsidRPr="00F35EDF">
        <w:t xml:space="preserve">Costs for </w:t>
      </w:r>
      <w:r w:rsidRPr="00DC6A9C">
        <w:rPr>
          <w:color w:val="0000FF"/>
        </w:rPr>
        <w:t>Consortium Participants – Registrants of Pesticide Active Ingredients</w:t>
      </w:r>
    </w:p>
    <w:tbl>
      <w:tblPr>
        <w:tblW w:w="5000" w:type="pct"/>
        <w:tblLook w:val="04A0"/>
      </w:tblPr>
      <w:tblGrid>
        <w:gridCol w:w="3788"/>
        <w:gridCol w:w="1405"/>
        <w:gridCol w:w="1127"/>
        <w:gridCol w:w="1400"/>
        <w:gridCol w:w="1121"/>
        <w:gridCol w:w="1455"/>
      </w:tblGrid>
      <w:tr w:rsidR="00F35EDF" w:rsidRPr="007F41D7" w:rsidTr="007D3345">
        <w:trPr>
          <w:cantSplit/>
          <w:tblHeader/>
        </w:trPr>
        <w:tc>
          <w:tcPr>
            <w:tcW w:w="378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35EDF" w:rsidRPr="007F41D7" w:rsidRDefault="00F35EDF" w:rsidP="007D3345">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405"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Total # Responses</w:t>
            </w:r>
            <w:r w:rsidRPr="007F41D7">
              <w:rPr>
                <w:rFonts w:cs="Arial"/>
                <w:b/>
                <w:bCs/>
                <w:sz w:val="20"/>
                <w:szCs w:val="20"/>
                <w:vertAlign w:val="superscript"/>
              </w:rPr>
              <w:t>(b)</w:t>
            </w:r>
          </w:p>
        </w:tc>
        <w:tc>
          <w:tcPr>
            <w:tcW w:w="2527" w:type="dxa"/>
            <w:gridSpan w:val="2"/>
            <w:tcBorders>
              <w:top w:val="single" w:sz="4" w:space="0" w:color="auto"/>
              <w:left w:val="nil"/>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Per Response</w:t>
            </w:r>
          </w:p>
        </w:tc>
        <w:tc>
          <w:tcPr>
            <w:tcW w:w="2576" w:type="dxa"/>
            <w:gridSpan w:val="2"/>
            <w:tcBorders>
              <w:top w:val="single" w:sz="4" w:space="0" w:color="auto"/>
              <w:left w:val="nil"/>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Total</w:t>
            </w:r>
          </w:p>
        </w:tc>
      </w:tr>
      <w:tr w:rsidR="00F35EDF" w:rsidRPr="00991ACB" w:rsidTr="007D3345">
        <w:trPr>
          <w:cantSplit/>
          <w:trHeight w:val="230"/>
          <w:tblHeader/>
        </w:trPr>
        <w:tc>
          <w:tcPr>
            <w:tcW w:w="3788" w:type="dxa"/>
            <w:vMerge/>
            <w:tcBorders>
              <w:top w:val="single" w:sz="4" w:space="0" w:color="auto"/>
              <w:left w:val="single" w:sz="4" w:space="0" w:color="auto"/>
              <w:bottom w:val="single" w:sz="4" w:space="0" w:color="auto"/>
              <w:right w:val="single" w:sz="4" w:space="0" w:color="auto"/>
            </w:tcBorders>
            <w:vAlign w:val="bottom"/>
            <w:hideMark/>
          </w:tcPr>
          <w:p w:rsidR="00F35EDF" w:rsidRPr="007F41D7" w:rsidRDefault="00F35EDF" w:rsidP="007D3345">
            <w:pPr>
              <w:keepNext/>
              <w:spacing w:after="0"/>
              <w:rPr>
                <w:rFonts w:cs="Arial"/>
                <w:b/>
                <w:bCs/>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bottom"/>
            <w:hideMark/>
          </w:tcPr>
          <w:p w:rsidR="00F35EDF" w:rsidRPr="007F41D7" w:rsidRDefault="00F35EDF" w:rsidP="007D3345">
            <w:pPr>
              <w:keepNext/>
              <w:spacing w:after="0"/>
              <w:rPr>
                <w:rFonts w:cs="Arial"/>
                <w:b/>
                <w:bCs/>
                <w:sz w:val="20"/>
                <w:szCs w:val="20"/>
              </w:rPr>
            </w:pPr>
          </w:p>
        </w:tc>
        <w:tc>
          <w:tcPr>
            <w:tcW w:w="1127" w:type="dxa"/>
            <w:vMerge w:val="restart"/>
            <w:tcBorders>
              <w:top w:val="nil"/>
              <w:left w:val="single" w:sz="4" w:space="0" w:color="auto"/>
              <w:bottom w:val="single" w:sz="4" w:space="0" w:color="000000"/>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400"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1121"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455" w:type="dxa"/>
            <w:vMerge w:val="restart"/>
            <w:tcBorders>
              <w:top w:val="nil"/>
              <w:left w:val="single" w:sz="4" w:space="0" w:color="auto"/>
              <w:bottom w:val="single" w:sz="4" w:space="0" w:color="auto"/>
              <w:right w:val="single" w:sz="4" w:space="0" w:color="auto"/>
            </w:tcBorders>
            <w:shd w:val="clear" w:color="000000" w:fill="B8CCE4"/>
            <w:vAlign w:val="bottom"/>
            <w:hideMark/>
          </w:tcPr>
          <w:p w:rsidR="00F35EDF" w:rsidRPr="007F41D7" w:rsidRDefault="00F35EDF" w:rsidP="007D3345">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F35EDF" w:rsidRPr="007F41D7" w:rsidTr="007D3345">
        <w:trPr>
          <w:cantSplit/>
          <w:trHeight w:val="230"/>
          <w:tblHeader/>
        </w:trPr>
        <w:tc>
          <w:tcPr>
            <w:tcW w:w="3788" w:type="dxa"/>
            <w:vMerge/>
            <w:tcBorders>
              <w:top w:val="single" w:sz="4" w:space="0" w:color="auto"/>
              <w:left w:val="single" w:sz="4" w:space="0" w:color="auto"/>
              <w:bottom w:val="single" w:sz="4" w:space="0" w:color="auto"/>
              <w:right w:val="single" w:sz="4" w:space="0" w:color="auto"/>
            </w:tcBorders>
            <w:hideMark/>
          </w:tcPr>
          <w:p w:rsidR="00F35EDF" w:rsidRPr="007F41D7" w:rsidRDefault="00F35EDF" w:rsidP="007D3345">
            <w:pPr>
              <w:keepNext/>
              <w:spacing w:after="0"/>
              <w:rPr>
                <w:rFonts w:cs="Arial"/>
                <w:b/>
                <w:bCs/>
                <w:sz w:val="20"/>
                <w:szCs w:val="20"/>
              </w:rPr>
            </w:pPr>
          </w:p>
        </w:tc>
        <w:tc>
          <w:tcPr>
            <w:tcW w:w="1405" w:type="dxa"/>
            <w:vMerge/>
            <w:tcBorders>
              <w:top w:val="single" w:sz="4" w:space="0" w:color="auto"/>
              <w:left w:val="single" w:sz="4" w:space="0" w:color="auto"/>
              <w:bottom w:val="single" w:sz="4" w:space="0" w:color="auto"/>
              <w:right w:val="single" w:sz="4" w:space="0" w:color="auto"/>
            </w:tcBorders>
            <w:hideMark/>
          </w:tcPr>
          <w:p w:rsidR="00F35EDF" w:rsidRPr="007F41D7" w:rsidRDefault="00F35EDF" w:rsidP="007D3345">
            <w:pPr>
              <w:keepNext/>
              <w:spacing w:after="0"/>
              <w:rPr>
                <w:rFonts w:cs="Arial"/>
                <w:b/>
                <w:bCs/>
                <w:sz w:val="20"/>
                <w:szCs w:val="20"/>
              </w:rPr>
            </w:pPr>
          </w:p>
        </w:tc>
        <w:tc>
          <w:tcPr>
            <w:tcW w:w="1127" w:type="dxa"/>
            <w:vMerge/>
            <w:tcBorders>
              <w:top w:val="nil"/>
              <w:left w:val="single" w:sz="4" w:space="0" w:color="auto"/>
              <w:bottom w:val="single" w:sz="4" w:space="0" w:color="000000"/>
              <w:right w:val="single" w:sz="4" w:space="0" w:color="auto"/>
            </w:tcBorders>
            <w:hideMark/>
          </w:tcPr>
          <w:p w:rsidR="00F35EDF" w:rsidRPr="007F41D7" w:rsidRDefault="00F35EDF" w:rsidP="007D3345">
            <w:pPr>
              <w:keepNext/>
              <w:spacing w:after="0"/>
              <w:rPr>
                <w:rFonts w:cs="Arial"/>
                <w:b/>
                <w:bCs/>
                <w:sz w:val="20"/>
                <w:szCs w:val="20"/>
              </w:rPr>
            </w:pPr>
          </w:p>
        </w:tc>
        <w:tc>
          <w:tcPr>
            <w:tcW w:w="1400" w:type="dxa"/>
            <w:vMerge/>
            <w:tcBorders>
              <w:top w:val="nil"/>
              <w:left w:val="single" w:sz="4" w:space="0" w:color="auto"/>
              <w:bottom w:val="single" w:sz="4" w:space="0" w:color="auto"/>
              <w:right w:val="single" w:sz="4" w:space="0" w:color="auto"/>
            </w:tcBorders>
            <w:hideMark/>
          </w:tcPr>
          <w:p w:rsidR="00F35EDF" w:rsidRPr="007F41D7" w:rsidRDefault="00F35EDF" w:rsidP="007D3345">
            <w:pPr>
              <w:keepNext/>
              <w:spacing w:after="0"/>
              <w:rPr>
                <w:rFonts w:cs="Arial"/>
                <w:b/>
                <w:bCs/>
                <w:sz w:val="20"/>
                <w:szCs w:val="20"/>
              </w:rPr>
            </w:pPr>
          </w:p>
        </w:tc>
        <w:tc>
          <w:tcPr>
            <w:tcW w:w="1121" w:type="dxa"/>
            <w:vMerge/>
            <w:tcBorders>
              <w:top w:val="nil"/>
              <w:left w:val="single" w:sz="4" w:space="0" w:color="auto"/>
              <w:bottom w:val="single" w:sz="4" w:space="0" w:color="auto"/>
              <w:right w:val="single" w:sz="4" w:space="0" w:color="auto"/>
            </w:tcBorders>
            <w:hideMark/>
          </w:tcPr>
          <w:p w:rsidR="00F35EDF" w:rsidRPr="007F41D7" w:rsidRDefault="00F35EDF" w:rsidP="007D3345">
            <w:pPr>
              <w:keepNext/>
              <w:spacing w:after="0"/>
              <w:rPr>
                <w:rFonts w:cs="Arial"/>
                <w:b/>
                <w:bCs/>
                <w:sz w:val="20"/>
                <w:szCs w:val="20"/>
              </w:rPr>
            </w:pPr>
          </w:p>
        </w:tc>
        <w:tc>
          <w:tcPr>
            <w:tcW w:w="1455" w:type="dxa"/>
            <w:vMerge/>
            <w:tcBorders>
              <w:top w:val="nil"/>
              <w:left w:val="single" w:sz="4" w:space="0" w:color="auto"/>
              <w:bottom w:val="single" w:sz="4" w:space="0" w:color="auto"/>
              <w:right w:val="single" w:sz="4" w:space="0" w:color="auto"/>
            </w:tcBorders>
            <w:hideMark/>
          </w:tcPr>
          <w:p w:rsidR="00F35EDF" w:rsidRPr="007F41D7" w:rsidRDefault="00F35EDF" w:rsidP="007D3345">
            <w:pPr>
              <w:keepNext/>
              <w:spacing w:after="0"/>
              <w:rPr>
                <w:rFonts w:cs="Arial"/>
                <w:b/>
                <w:bCs/>
                <w:sz w:val="20"/>
                <w:szCs w:val="20"/>
              </w:rPr>
            </w:pPr>
          </w:p>
        </w:tc>
      </w:tr>
      <w:tr w:rsidR="00F35EDF" w:rsidRPr="00F35EDF" w:rsidTr="002F5096">
        <w:trPr>
          <w:cantSplit/>
        </w:trPr>
        <w:tc>
          <w:tcPr>
            <w:tcW w:w="3788" w:type="dxa"/>
            <w:tcBorders>
              <w:top w:val="nil"/>
              <w:left w:val="single" w:sz="4" w:space="0" w:color="auto"/>
              <w:bottom w:val="single" w:sz="4" w:space="0" w:color="auto"/>
              <w:right w:val="single" w:sz="4" w:space="0" w:color="auto"/>
            </w:tcBorders>
            <w:shd w:val="clear" w:color="auto" w:fill="auto"/>
            <w:hideMark/>
          </w:tcPr>
          <w:p w:rsidR="00F35EDF" w:rsidRPr="00F35EDF" w:rsidRDefault="00F35EDF" w:rsidP="007D3345">
            <w:pPr>
              <w:keepNext/>
              <w:spacing w:after="0"/>
              <w:ind w:left="360" w:hanging="360"/>
              <w:rPr>
                <w:rFonts w:cs="Arial"/>
                <w:color w:val="000000"/>
                <w:sz w:val="20"/>
                <w:szCs w:val="20"/>
              </w:rPr>
            </w:pPr>
            <w:r w:rsidRPr="00F35EDF">
              <w:rPr>
                <w:rFonts w:cs="Arial"/>
                <w:sz w:val="20"/>
                <w:szCs w:val="20"/>
              </w:rPr>
              <w:t>5)</w:t>
            </w:r>
            <w:r w:rsidRPr="00F35EDF">
              <w:rPr>
                <w:sz w:val="20"/>
                <w:szCs w:val="20"/>
              </w:rPr>
              <w:tab/>
              <w:t>Participate in Consortium</w:t>
            </w:r>
          </w:p>
        </w:tc>
        <w:tc>
          <w:tcPr>
            <w:tcW w:w="1405" w:type="dxa"/>
            <w:tcBorders>
              <w:top w:val="nil"/>
              <w:left w:val="nil"/>
              <w:bottom w:val="single" w:sz="4" w:space="0" w:color="auto"/>
              <w:right w:val="single" w:sz="4" w:space="0" w:color="auto"/>
            </w:tcBorders>
            <w:shd w:val="clear" w:color="auto" w:fill="auto"/>
            <w:hideMark/>
          </w:tcPr>
          <w:p w:rsidR="00F35EDF" w:rsidRPr="00F35EDF" w:rsidRDefault="009F27B5" w:rsidP="007D3345">
            <w:pPr>
              <w:keepNext/>
              <w:tabs>
                <w:tab w:val="decimal" w:pos="712"/>
              </w:tabs>
              <w:spacing w:after="0"/>
              <w:jc w:val="both"/>
              <w:rPr>
                <w:rFonts w:cs="Arial"/>
                <w:sz w:val="20"/>
                <w:szCs w:val="20"/>
              </w:rPr>
            </w:pPr>
            <w:r>
              <w:rPr>
                <w:rFonts w:cs="Arial"/>
                <w:sz w:val="20"/>
                <w:szCs w:val="20"/>
              </w:rPr>
              <w:t>252</w:t>
            </w:r>
          </w:p>
        </w:tc>
        <w:tc>
          <w:tcPr>
            <w:tcW w:w="1127" w:type="dxa"/>
            <w:tcBorders>
              <w:top w:val="nil"/>
              <w:left w:val="nil"/>
              <w:bottom w:val="single" w:sz="4" w:space="0" w:color="auto"/>
              <w:right w:val="single" w:sz="4" w:space="0" w:color="auto"/>
            </w:tcBorders>
            <w:shd w:val="clear" w:color="auto" w:fill="auto"/>
            <w:hideMark/>
          </w:tcPr>
          <w:p w:rsidR="00F35EDF" w:rsidRPr="00F35EDF" w:rsidRDefault="00F35EDF" w:rsidP="007D3345">
            <w:pPr>
              <w:keepNext/>
              <w:tabs>
                <w:tab w:val="decimal" w:pos="567"/>
              </w:tabs>
              <w:spacing w:after="0"/>
              <w:jc w:val="both"/>
              <w:rPr>
                <w:rFonts w:cs="Arial"/>
                <w:sz w:val="20"/>
                <w:szCs w:val="20"/>
              </w:rPr>
            </w:pPr>
            <w:r>
              <w:rPr>
                <w:rFonts w:cs="Arial"/>
                <w:sz w:val="20"/>
                <w:szCs w:val="20"/>
              </w:rPr>
              <w:t>171</w:t>
            </w:r>
          </w:p>
        </w:tc>
        <w:tc>
          <w:tcPr>
            <w:tcW w:w="1400" w:type="dxa"/>
            <w:tcBorders>
              <w:top w:val="nil"/>
              <w:left w:val="nil"/>
              <w:bottom w:val="single" w:sz="4" w:space="0" w:color="auto"/>
              <w:right w:val="single" w:sz="4" w:space="0" w:color="auto"/>
            </w:tcBorders>
            <w:shd w:val="clear" w:color="auto" w:fill="auto"/>
            <w:hideMark/>
          </w:tcPr>
          <w:p w:rsidR="00F35EDF" w:rsidRPr="00F35EDF" w:rsidRDefault="00F35EDF" w:rsidP="007D3345">
            <w:pPr>
              <w:keepNext/>
              <w:tabs>
                <w:tab w:val="decimal" w:pos="856"/>
              </w:tabs>
              <w:spacing w:after="0"/>
              <w:jc w:val="both"/>
              <w:rPr>
                <w:rFonts w:cs="Arial"/>
                <w:sz w:val="20"/>
                <w:szCs w:val="20"/>
              </w:rPr>
            </w:pPr>
            <w:r w:rsidRPr="00F35EDF">
              <w:rPr>
                <w:rFonts w:cs="Arial"/>
                <w:sz w:val="20"/>
                <w:szCs w:val="20"/>
              </w:rPr>
              <w:t>$</w:t>
            </w:r>
            <w:r w:rsidR="009F27B5">
              <w:rPr>
                <w:rFonts w:cs="Arial"/>
                <w:sz w:val="20"/>
                <w:szCs w:val="20"/>
              </w:rPr>
              <w:t>11,760</w:t>
            </w:r>
          </w:p>
        </w:tc>
        <w:tc>
          <w:tcPr>
            <w:tcW w:w="1121" w:type="dxa"/>
            <w:tcBorders>
              <w:top w:val="nil"/>
              <w:left w:val="nil"/>
              <w:bottom w:val="single" w:sz="4" w:space="0" w:color="auto"/>
              <w:right w:val="single" w:sz="4" w:space="0" w:color="auto"/>
            </w:tcBorders>
            <w:shd w:val="clear" w:color="000000" w:fill="B8CCE4"/>
            <w:hideMark/>
          </w:tcPr>
          <w:p w:rsidR="00F35EDF" w:rsidRPr="00F35EDF" w:rsidRDefault="009F27B5" w:rsidP="007D3345">
            <w:pPr>
              <w:keepNext/>
              <w:tabs>
                <w:tab w:val="decimal" w:pos="668"/>
              </w:tabs>
              <w:spacing w:after="0"/>
              <w:jc w:val="both"/>
              <w:rPr>
                <w:rFonts w:cs="Arial"/>
                <w:sz w:val="20"/>
                <w:szCs w:val="20"/>
              </w:rPr>
            </w:pPr>
            <w:r>
              <w:rPr>
                <w:rFonts w:cs="Arial"/>
                <w:sz w:val="20"/>
                <w:szCs w:val="20"/>
              </w:rPr>
              <w:t>43,092</w:t>
            </w:r>
          </w:p>
        </w:tc>
        <w:tc>
          <w:tcPr>
            <w:tcW w:w="1455" w:type="dxa"/>
            <w:tcBorders>
              <w:top w:val="nil"/>
              <w:left w:val="nil"/>
              <w:bottom w:val="single" w:sz="4" w:space="0" w:color="auto"/>
              <w:right w:val="single" w:sz="4" w:space="0" w:color="auto"/>
            </w:tcBorders>
            <w:shd w:val="clear" w:color="000000" w:fill="B8CCE4"/>
            <w:hideMark/>
          </w:tcPr>
          <w:p w:rsidR="00F35EDF" w:rsidRPr="00F35EDF" w:rsidRDefault="00F35EDF" w:rsidP="00AD06C5">
            <w:pPr>
              <w:keepNext/>
              <w:tabs>
                <w:tab w:val="decimal" w:pos="891"/>
              </w:tabs>
              <w:spacing w:after="0"/>
              <w:jc w:val="both"/>
              <w:rPr>
                <w:rFonts w:cs="Arial"/>
                <w:sz w:val="20"/>
                <w:szCs w:val="20"/>
              </w:rPr>
            </w:pPr>
            <w:r w:rsidRPr="00F35EDF">
              <w:rPr>
                <w:rFonts w:cs="Arial"/>
                <w:sz w:val="20"/>
                <w:szCs w:val="20"/>
              </w:rPr>
              <w:t>$</w:t>
            </w:r>
            <w:r w:rsidR="00021B08">
              <w:rPr>
                <w:rFonts w:cs="Arial"/>
                <w:sz w:val="20"/>
                <w:szCs w:val="20"/>
              </w:rPr>
              <w:t>2,963,520</w:t>
            </w:r>
          </w:p>
        </w:tc>
      </w:tr>
      <w:tr w:rsidR="00DB16F5" w:rsidRPr="00021B08" w:rsidTr="00BE31FE">
        <w:trPr>
          <w:cantSplit/>
        </w:trPr>
        <w:tc>
          <w:tcPr>
            <w:tcW w:w="5193"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DB16F5" w:rsidRPr="00021B08" w:rsidRDefault="00DB16F5" w:rsidP="00AA1FCC">
            <w:pPr>
              <w:tabs>
                <w:tab w:val="decimal" w:pos="712"/>
              </w:tabs>
              <w:spacing w:after="0"/>
              <w:jc w:val="right"/>
              <w:rPr>
                <w:rFonts w:cs="Arial"/>
                <w:b/>
                <w:sz w:val="20"/>
                <w:szCs w:val="20"/>
              </w:rPr>
            </w:pPr>
            <w:r w:rsidRPr="00021B08">
              <w:rPr>
                <w:rFonts w:cs="Arial"/>
                <w:b/>
                <w:bCs/>
                <w:sz w:val="20"/>
                <w:szCs w:val="20"/>
              </w:rPr>
              <w:t>Total:</w:t>
            </w:r>
          </w:p>
        </w:tc>
        <w:tc>
          <w:tcPr>
            <w:tcW w:w="1127" w:type="dxa"/>
            <w:tcBorders>
              <w:top w:val="single" w:sz="4" w:space="0" w:color="auto"/>
              <w:left w:val="nil"/>
              <w:bottom w:val="single" w:sz="4" w:space="0" w:color="auto"/>
              <w:right w:val="single" w:sz="4" w:space="0" w:color="auto"/>
            </w:tcBorders>
            <w:shd w:val="clear" w:color="000000" w:fill="B8CCE4"/>
            <w:hideMark/>
          </w:tcPr>
          <w:p w:rsidR="00DB16F5" w:rsidRPr="00021B08" w:rsidRDefault="00DB16F5" w:rsidP="009F27B5">
            <w:pPr>
              <w:tabs>
                <w:tab w:val="decimal" w:pos="567"/>
              </w:tabs>
              <w:spacing w:after="0"/>
              <w:jc w:val="both"/>
              <w:rPr>
                <w:rFonts w:cs="Arial"/>
                <w:b/>
                <w:sz w:val="20"/>
                <w:szCs w:val="20"/>
              </w:rPr>
            </w:pPr>
            <w:r w:rsidRPr="00021B08">
              <w:rPr>
                <w:rFonts w:cs="Arial"/>
                <w:b/>
                <w:sz w:val="20"/>
                <w:szCs w:val="20"/>
              </w:rPr>
              <w:t>171</w:t>
            </w:r>
          </w:p>
        </w:tc>
        <w:tc>
          <w:tcPr>
            <w:tcW w:w="1400" w:type="dxa"/>
            <w:tcBorders>
              <w:top w:val="single" w:sz="4" w:space="0" w:color="auto"/>
              <w:left w:val="nil"/>
              <w:bottom w:val="single" w:sz="4" w:space="0" w:color="auto"/>
              <w:right w:val="single" w:sz="4" w:space="0" w:color="auto"/>
            </w:tcBorders>
            <w:shd w:val="clear" w:color="000000" w:fill="B8CCE4"/>
            <w:hideMark/>
          </w:tcPr>
          <w:p w:rsidR="00DB16F5" w:rsidRPr="00021B08" w:rsidRDefault="00DB16F5" w:rsidP="009F27B5">
            <w:pPr>
              <w:tabs>
                <w:tab w:val="decimal" w:pos="856"/>
              </w:tabs>
              <w:spacing w:after="0"/>
              <w:jc w:val="both"/>
              <w:rPr>
                <w:rFonts w:cs="Arial"/>
                <w:b/>
                <w:sz w:val="20"/>
                <w:szCs w:val="20"/>
              </w:rPr>
            </w:pPr>
            <w:r w:rsidRPr="00021B08">
              <w:rPr>
                <w:rFonts w:cs="Arial"/>
                <w:b/>
                <w:sz w:val="20"/>
                <w:szCs w:val="20"/>
              </w:rPr>
              <w:t>$11,760</w:t>
            </w:r>
          </w:p>
        </w:tc>
        <w:tc>
          <w:tcPr>
            <w:tcW w:w="1121" w:type="dxa"/>
            <w:tcBorders>
              <w:top w:val="single" w:sz="4" w:space="0" w:color="auto"/>
              <w:left w:val="nil"/>
              <w:bottom w:val="single" w:sz="4" w:space="0" w:color="auto"/>
              <w:right w:val="single" w:sz="4" w:space="0" w:color="auto"/>
            </w:tcBorders>
            <w:shd w:val="clear" w:color="000000" w:fill="B8CCE4"/>
            <w:hideMark/>
          </w:tcPr>
          <w:p w:rsidR="00DB16F5" w:rsidRPr="00021B08" w:rsidRDefault="00DB16F5" w:rsidP="009F27B5">
            <w:pPr>
              <w:tabs>
                <w:tab w:val="decimal" w:pos="668"/>
              </w:tabs>
              <w:spacing w:after="0"/>
              <w:jc w:val="both"/>
              <w:rPr>
                <w:rFonts w:cs="Arial"/>
                <w:b/>
                <w:sz w:val="20"/>
                <w:szCs w:val="20"/>
              </w:rPr>
            </w:pPr>
            <w:r w:rsidRPr="00021B08">
              <w:rPr>
                <w:rFonts w:cs="Arial"/>
                <w:b/>
                <w:sz w:val="20"/>
                <w:szCs w:val="20"/>
              </w:rPr>
              <w:t>43,092</w:t>
            </w:r>
          </w:p>
        </w:tc>
        <w:tc>
          <w:tcPr>
            <w:tcW w:w="1455" w:type="dxa"/>
            <w:tcBorders>
              <w:top w:val="single" w:sz="4" w:space="0" w:color="auto"/>
              <w:left w:val="nil"/>
              <w:bottom w:val="single" w:sz="4" w:space="0" w:color="auto"/>
              <w:right w:val="single" w:sz="4" w:space="0" w:color="auto"/>
            </w:tcBorders>
            <w:shd w:val="clear" w:color="000000" w:fill="B8CCE4"/>
            <w:hideMark/>
          </w:tcPr>
          <w:p w:rsidR="00DB16F5" w:rsidRPr="00021B08" w:rsidRDefault="00DB16F5" w:rsidP="009F27B5">
            <w:pPr>
              <w:tabs>
                <w:tab w:val="decimal" w:pos="891"/>
              </w:tabs>
              <w:spacing w:after="0"/>
              <w:jc w:val="both"/>
              <w:rPr>
                <w:rFonts w:cs="Arial"/>
                <w:b/>
                <w:sz w:val="20"/>
                <w:szCs w:val="20"/>
              </w:rPr>
            </w:pPr>
            <w:r w:rsidRPr="00021B08">
              <w:rPr>
                <w:rFonts w:cs="Arial"/>
                <w:b/>
                <w:sz w:val="20"/>
                <w:szCs w:val="20"/>
              </w:rPr>
              <w:t>$2,963,520</w:t>
            </w:r>
          </w:p>
        </w:tc>
      </w:tr>
      <w:tr w:rsidR="00F35EDF" w:rsidRPr="00A149F2" w:rsidTr="004864EF">
        <w:trPr>
          <w:cantSplit/>
        </w:trPr>
        <w:tc>
          <w:tcPr>
            <w:tcW w:w="10296" w:type="dxa"/>
            <w:gridSpan w:val="6"/>
            <w:tcBorders>
              <w:top w:val="single" w:sz="4" w:space="0" w:color="auto"/>
            </w:tcBorders>
            <w:shd w:val="clear" w:color="auto" w:fill="auto"/>
          </w:tcPr>
          <w:p w:rsidR="00F35EDF" w:rsidRPr="00A149F2" w:rsidRDefault="00F35EDF" w:rsidP="002F5096">
            <w:pPr>
              <w:spacing w:after="0"/>
              <w:rPr>
                <w:rFonts w:cs="Arial"/>
                <w:bCs/>
                <w:sz w:val="18"/>
                <w:szCs w:val="18"/>
                <w:u w:val="single"/>
              </w:rPr>
            </w:pPr>
            <w:r w:rsidRPr="00A149F2">
              <w:rPr>
                <w:rFonts w:cs="Arial"/>
                <w:bCs/>
                <w:sz w:val="18"/>
                <w:szCs w:val="18"/>
                <w:u w:val="single"/>
              </w:rPr>
              <w:t>Key:</w:t>
            </w:r>
          </w:p>
        </w:tc>
      </w:tr>
      <w:tr w:rsidR="00F35EDF" w:rsidRPr="00F35EDF" w:rsidTr="004864EF">
        <w:trPr>
          <w:cantSplit/>
        </w:trPr>
        <w:tc>
          <w:tcPr>
            <w:tcW w:w="10296" w:type="dxa"/>
            <w:gridSpan w:val="6"/>
            <w:shd w:val="clear" w:color="auto" w:fill="auto"/>
          </w:tcPr>
          <w:p w:rsidR="00F35EDF" w:rsidRPr="00DA3466" w:rsidRDefault="00F35EDF" w:rsidP="00F35EDF">
            <w:pPr>
              <w:spacing w:after="0"/>
              <w:rPr>
                <w:rFonts w:cs="Arial"/>
                <w:sz w:val="18"/>
                <w:szCs w:val="18"/>
              </w:rPr>
            </w:pPr>
            <w:r w:rsidRPr="00DA3466">
              <w:rPr>
                <w:rFonts w:cs="Arial"/>
                <w:sz w:val="18"/>
                <w:szCs w:val="18"/>
              </w:rPr>
              <w:t xml:space="preserve">(a) Activities are described in more detail in section 4(b) of this ICR. </w:t>
            </w:r>
          </w:p>
        </w:tc>
      </w:tr>
      <w:tr w:rsidR="00F35EDF" w:rsidRPr="00F35EDF" w:rsidTr="004864EF">
        <w:trPr>
          <w:cantSplit/>
        </w:trPr>
        <w:tc>
          <w:tcPr>
            <w:tcW w:w="10296" w:type="dxa"/>
            <w:gridSpan w:val="6"/>
            <w:shd w:val="clear" w:color="auto" w:fill="auto"/>
          </w:tcPr>
          <w:p w:rsidR="00F35EDF" w:rsidRPr="00DA3466" w:rsidRDefault="00F35EDF" w:rsidP="00F35EDF">
            <w:pPr>
              <w:spacing w:after="0"/>
              <w:rPr>
                <w:rFonts w:cs="Arial"/>
                <w:sz w:val="18"/>
                <w:szCs w:val="18"/>
              </w:rPr>
            </w:pPr>
            <w:r w:rsidRPr="00DA3466">
              <w:rPr>
                <w:rFonts w:cs="Arial"/>
                <w:sz w:val="18"/>
                <w:szCs w:val="18"/>
              </w:rPr>
              <w:t>(b) From Table 1, includes catch-up orders.</w:t>
            </w:r>
          </w:p>
        </w:tc>
      </w:tr>
      <w:tr w:rsidR="00F35EDF" w:rsidRPr="00F35EDF" w:rsidTr="004864EF">
        <w:trPr>
          <w:cantSplit/>
        </w:trPr>
        <w:tc>
          <w:tcPr>
            <w:tcW w:w="10296" w:type="dxa"/>
            <w:gridSpan w:val="6"/>
            <w:shd w:val="clear" w:color="auto" w:fill="auto"/>
          </w:tcPr>
          <w:p w:rsidR="00F35EDF" w:rsidRPr="00DA3466" w:rsidRDefault="00F35EDF" w:rsidP="00F35EDF">
            <w:pPr>
              <w:spacing w:after="0"/>
              <w:rPr>
                <w:rFonts w:cs="Arial"/>
                <w:sz w:val="18"/>
                <w:szCs w:val="18"/>
              </w:rPr>
            </w:pPr>
            <w:r w:rsidRPr="00DA3466">
              <w:rPr>
                <w:rFonts w:cs="Arial"/>
                <w:sz w:val="18"/>
                <w:szCs w:val="18"/>
              </w:rPr>
              <w:t xml:space="preserve">(c) See Activity listing in Table 6. </w:t>
            </w:r>
          </w:p>
        </w:tc>
      </w:tr>
      <w:tr w:rsidR="00F35EDF" w:rsidRPr="00F35EDF" w:rsidTr="004864EF">
        <w:trPr>
          <w:cantSplit/>
        </w:trPr>
        <w:tc>
          <w:tcPr>
            <w:tcW w:w="10296" w:type="dxa"/>
            <w:gridSpan w:val="6"/>
            <w:shd w:val="clear" w:color="auto" w:fill="auto"/>
          </w:tcPr>
          <w:p w:rsidR="00F35EDF" w:rsidRPr="00DA3466" w:rsidRDefault="00F35EDF" w:rsidP="00F35EDF">
            <w:pPr>
              <w:spacing w:after="0"/>
              <w:rPr>
                <w:rFonts w:cs="Arial"/>
                <w:sz w:val="18"/>
                <w:szCs w:val="18"/>
              </w:rPr>
            </w:pPr>
            <w:r w:rsidRPr="00DA3466">
              <w:rPr>
                <w:rFonts w:cs="Arial"/>
                <w:sz w:val="18"/>
                <w:szCs w:val="18"/>
              </w:rPr>
              <w:t>(d) See Activity listing in Table 7.</w:t>
            </w:r>
          </w:p>
        </w:tc>
      </w:tr>
      <w:tr w:rsidR="00F35EDF" w:rsidRPr="00F35EDF" w:rsidTr="004864EF">
        <w:trPr>
          <w:cantSplit/>
        </w:trPr>
        <w:tc>
          <w:tcPr>
            <w:tcW w:w="10296" w:type="dxa"/>
            <w:gridSpan w:val="6"/>
            <w:shd w:val="clear" w:color="auto" w:fill="auto"/>
          </w:tcPr>
          <w:p w:rsidR="00F35EDF" w:rsidRPr="00DA3466" w:rsidRDefault="00F35EDF" w:rsidP="00F35EDF">
            <w:pPr>
              <w:spacing w:after="0"/>
              <w:rPr>
                <w:rFonts w:cs="Arial"/>
                <w:sz w:val="18"/>
                <w:szCs w:val="18"/>
              </w:rPr>
            </w:pPr>
            <w:r w:rsidRPr="00DA3466">
              <w:rPr>
                <w:rFonts w:cs="Arial"/>
                <w:sz w:val="18"/>
                <w:szCs w:val="18"/>
              </w:rPr>
              <w:t>(e) Total = (b) x (c)</w:t>
            </w:r>
          </w:p>
        </w:tc>
      </w:tr>
      <w:tr w:rsidR="00F35EDF" w:rsidRPr="00A149F2" w:rsidTr="004864EF">
        <w:trPr>
          <w:cantSplit/>
        </w:trPr>
        <w:tc>
          <w:tcPr>
            <w:tcW w:w="10296" w:type="dxa"/>
            <w:gridSpan w:val="6"/>
            <w:shd w:val="clear" w:color="auto" w:fill="auto"/>
          </w:tcPr>
          <w:p w:rsidR="00F35EDF" w:rsidRPr="00DA3466" w:rsidRDefault="00F35EDF" w:rsidP="002F5096">
            <w:pPr>
              <w:spacing w:after="0"/>
              <w:rPr>
                <w:rFonts w:cs="Arial"/>
                <w:sz w:val="18"/>
                <w:szCs w:val="18"/>
              </w:rPr>
            </w:pPr>
            <w:r w:rsidRPr="00DA3466">
              <w:rPr>
                <w:rFonts w:cs="Arial"/>
                <w:sz w:val="18"/>
                <w:szCs w:val="18"/>
              </w:rPr>
              <w:t>(f) Total = (b) x (d)</w:t>
            </w:r>
          </w:p>
        </w:tc>
      </w:tr>
    </w:tbl>
    <w:p w:rsidR="00DA3466" w:rsidRDefault="00DA3466" w:rsidP="002F2414">
      <w:pPr>
        <w:pStyle w:val="TableCaption"/>
      </w:pPr>
      <w:r w:rsidRPr="00DA3466">
        <w:t>Table 13 – IC #3</w:t>
      </w:r>
      <w:r w:rsidR="000C6CB0">
        <w:t xml:space="preserve">:  </w:t>
      </w:r>
      <w:r w:rsidRPr="00DA3466">
        <w:t>Estimated Additional Burden</w:t>
      </w:r>
      <w:r w:rsidR="00674E1C">
        <w:t xml:space="preserve"> and </w:t>
      </w:r>
      <w:r w:rsidRPr="00DA3466">
        <w:t xml:space="preserve">Costs for </w:t>
      </w:r>
      <w:r w:rsidRPr="00DC6A9C">
        <w:rPr>
          <w:color w:val="0000FF"/>
        </w:rPr>
        <w:t>Consortium Participants – Manufacturers and Importers of Pesticide Inert Ingredients</w:t>
      </w:r>
    </w:p>
    <w:tbl>
      <w:tblPr>
        <w:tblW w:w="5000" w:type="pct"/>
        <w:tblLook w:val="04A0"/>
      </w:tblPr>
      <w:tblGrid>
        <w:gridCol w:w="3788"/>
        <w:gridCol w:w="1405"/>
        <w:gridCol w:w="1127"/>
        <w:gridCol w:w="1400"/>
        <w:gridCol w:w="1121"/>
        <w:gridCol w:w="1455"/>
      </w:tblGrid>
      <w:tr w:rsidR="00DA3466" w:rsidRPr="007F41D7" w:rsidTr="002F5096">
        <w:trPr>
          <w:cantSplit/>
        </w:trPr>
        <w:tc>
          <w:tcPr>
            <w:tcW w:w="3788"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DA3466" w:rsidRPr="007F41D7" w:rsidRDefault="00DA3466" w:rsidP="00E6512C">
            <w:pPr>
              <w:keepNext/>
              <w:spacing w:after="0"/>
              <w:rPr>
                <w:rFonts w:cs="Arial"/>
                <w:b/>
                <w:bCs/>
                <w:sz w:val="20"/>
                <w:szCs w:val="20"/>
              </w:rPr>
            </w:pPr>
            <w:r w:rsidRPr="007F41D7">
              <w:rPr>
                <w:rFonts w:cs="Arial"/>
                <w:b/>
                <w:bCs/>
                <w:sz w:val="20"/>
                <w:szCs w:val="20"/>
              </w:rPr>
              <w:t>Activity</w:t>
            </w:r>
            <w:r w:rsidRPr="007F41D7">
              <w:rPr>
                <w:rFonts w:cs="Arial"/>
                <w:b/>
                <w:bCs/>
                <w:sz w:val="20"/>
                <w:szCs w:val="20"/>
                <w:vertAlign w:val="superscript"/>
              </w:rPr>
              <w:t>(a)</w:t>
            </w:r>
          </w:p>
        </w:tc>
        <w:tc>
          <w:tcPr>
            <w:tcW w:w="1405" w:type="dxa"/>
            <w:vMerge w:val="restart"/>
            <w:tcBorders>
              <w:top w:val="single" w:sz="4" w:space="0" w:color="auto"/>
              <w:left w:val="single" w:sz="4" w:space="0" w:color="auto"/>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 xml:space="preserve">Total # Responses </w:t>
            </w:r>
            <w:r w:rsidRPr="007F41D7">
              <w:rPr>
                <w:rFonts w:cs="Arial"/>
                <w:b/>
                <w:bCs/>
                <w:sz w:val="20"/>
                <w:szCs w:val="20"/>
                <w:vertAlign w:val="superscript"/>
              </w:rPr>
              <w:t>(b)</w:t>
            </w:r>
          </w:p>
        </w:tc>
        <w:tc>
          <w:tcPr>
            <w:tcW w:w="2527" w:type="dxa"/>
            <w:gridSpan w:val="2"/>
            <w:tcBorders>
              <w:top w:val="single" w:sz="4" w:space="0" w:color="auto"/>
              <w:left w:val="nil"/>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Per Response</w:t>
            </w:r>
          </w:p>
        </w:tc>
        <w:tc>
          <w:tcPr>
            <w:tcW w:w="2576" w:type="dxa"/>
            <w:gridSpan w:val="2"/>
            <w:tcBorders>
              <w:top w:val="single" w:sz="4" w:space="0" w:color="auto"/>
              <w:left w:val="nil"/>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Total</w:t>
            </w:r>
          </w:p>
        </w:tc>
      </w:tr>
      <w:tr w:rsidR="00DA3466" w:rsidRPr="00991ACB" w:rsidTr="002F5096">
        <w:trPr>
          <w:cantSplit/>
          <w:trHeight w:val="230"/>
        </w:trPr>
        <w:tc>
          <w:tcPr>
            <w:tcW w:w="3788" w:type="dxa"/>
            <w:vMerge/>
            <w:tcBorders>
              <w:top w:val="single" w:sz="4" w:space="0" w:color="auto"/>
              <w:left w:val="single" w:sz="4" w:space="0" w:color="auto"/>
              <w:bottom w:val="single" w:sz="4" w:space="0" w:color="auto"/>
              <w:right w:val="single" w:sz="4" w:space="0" w:color="auto"/>
            </w:tcBorders>
            <w:vAlign w:val="bottom"/>
            <w:hideMark/>
          </w:tcPr>
          <w:p w:rsidR="00DA3466" w:rsidRPr="007F41D7" w:rsidRDefault="00DA3466" w:rsidP="00E6512C">
            <w:pPr>
              <w:keepNext/>
              <w:spacing w:after="0"/>
              <w:rPr>
                <w:rFonts w:cs="Arial"/>
                <w:b/>
                <w:bCs/>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bottom"/>
            <w:hideMark/>
          </w:tcPr>
          <w:p w:rsidR="00DA3466" w:rsidRPr="007F41D7" w:rsidRDefault="00DA3466" w:rsidP="00E6512C">
            <w:pPr>
              <w:keepNext/>
              <w:spacing w:after="0"/>
              <w:rPr>
                <w:rFonts w:cs="Arial"/>
                <w:b/>
                <w:bCs/>
                <w:sz w:val="20"/>
                <w:szCs w:val="20"/>
              </w:rPr>
            </w:pPr>
          </w:p>
        </w:tc>
        <w:tc>
          <w:tcPr>
            <w:tcW w:w="1127" w:type="dxa"/>
            <w:vMerge w:val="restart"/>
            <w:tcBorders>
              <w:top w:val="nil"/>
              <w:left w:val="single" w:sz="4" w:space="0" w:color="auto"/>
              <w:bottom w:val="single" w:sz="4" w:space="0" w:color="000000"/>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Burden</w:t>
            </w:r>
            <w:r w:rsidRPr="007F41D7">
              <w:rPr>
                <w:rFonts w:cs="Arial"/>
                <w:b/>
                <w:bCs/>
                <w:sz w:val="20"/>
                <w:szCs w:val="20"/>
              </w:rPr>
              <w:br/>
              <w:t>(hrs)</w:t>
            </w:r>
            <w:r w:rsidRPr="007F41D7">
              <w:rPr>
                <w:rFonts w:cs="Arial"/>
                <w:b/>
                <w:bCs/>
                <w:sz w:val="20"/>
                <w:szCs w:val="20"/>
                <w:vertAlign w:val="superscript"/>
              </w:rPr>
              <w:t>(c)</w:t>
            </w:r>
          </w:p>
        </w:tc>
        <w:tc>
          <w:tcPr>
            <w:tcW w:w="1400" w:type="dxa"/>
            <w:vMerge w:val="restart"/>
            <w:tcBorders>
              <w:top w:val="nil"/>
              <w:left w:val="single" w:sz="4" w:space="0" w:color="auto"/>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Cost ($)</w:t>
            </w:r>
            <w:r w:rsidRPr="007F41D7">
              <w:rPr>
                <w:rFonts w:cs="Arial"/>
                <w:b/>
                <w:bCs/>
                <w:sz w:val="20"/>
                <w:szCs w:val="20"/>
                <w:vertAlign w:val="superscript"/>
              </w:rPr>
              <w:t>(d)</w:t>
            </w:r>
          </w:p>
        </w:tc>
        <w:tc>
          <w:tcPr>
            <w:tcW w:w="1121" w:type="dxa"/>
            <w:vMerge w:val="restart"/>
            <w:tcBorders>
              <w:top w:val="nil"/>
              <w:left w:val="single" w:sz="4" w:space="0" w:color="auto"/>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proofErr w:type="gramStart"/>
            <w:r w:rsidRPr="007F41D7">
              <w:rPr>
                <w:rFonts w:cs="Arial"/>
                <w:b/>
                <w:bCs/>
                <w:sz w:val="20"/>
                <w:szCs w:val="20"/>
              </w:rPr>
              <w:t>Burden</w:t>
            </w:r>
            <w:proofErr w:type="gramEnd"/>
            <w:r w:rsidRPr="007F41D7">
              <w:rPr>
                <w:rFonts w:cs="Arial"/>
                <w:b/>
                <w:bCs/>
                <w:sz w:val="20"/>
                <w:szCs w:val="20"/>
              </w:rPr>
              <w:br/>
              <w:t>(hrs.)</w:t>
            </w:r>
            <w:r w:rsidRPr="007F41D7">
              <w:rPr>
                <w:rFonts w:cs="Arial"/>
                <w:b/>
                <w:bCs/>
                <w:sz w:val="20"/>
                <w:szCs w:val="20"/>
                <w:vertAlign w:val="superscript"/>
              </w:rPr>
              <w:t>(e)</w:t>
            </w:r>
          </w:p>
        </w:tc>
        <w:tc>
          <w:tcPr>
            <w:tcW w:w="1455" w:type="dxa"/>
            <w:vMerge w:val="restart"/>
            <w:tcBorders>
              <w:top w:val="nil"/>
              <w:left w:val="single" w:sz="4" w:space="0" w:color="auto"/>
              <w:bottom w:val="single" w:sz="4" w:space="0" w:color="auto"/>
              <w:right w:val="single" w:sz="4" w:space="0" w:color="auto"/>
            </w:tcBorders>
            <w:shd w:val="clear" w:color="000000" w:fill="B8CCE4"/>
            <w:vAlign w:val="bottom"/>
            <w:hideMark/>
          </w:tcPr>
          <w:p w:rsidR="00DA3466" w:rsidRPr="007F41D7" w:rsidRDefault="00DA3466" w:rsidP="00E6512C">
            <w:pPr>
              <w:keepNext/>
              <w:spacing w:after="0"/>
              <w:jc w:val="center"/>
              <w:rPr>
                <w:rFonts w:cs="Arial"/>
                <w:b/>
                <w:bCs/>
                <w:sz w:val="20"/>
                <w:szCs w:val="20"/>
              </w:rPr>
            </w:pPr>
            <w:r w:rsidRPr="007F41D7">
              <w:rPr>
                <w:rFonts w:cs="Arial"/>
                <w:b/>
                <w:bCs/>
                <w:sz w:val="20"/>
                <w:szCs w:val="20"/>
              </w:rPr>
              <w:t>Costs ($)</w:t>
            </w:r>
            <w:r w:rsidRPr="007F41D7">
              <w:rPr>
                <w:rFonts w:cs="Arial"/>
                <w:b/>
                <w:bCs/>
                <w:sz w:val="20"/>
                <w:szCs w:val="20"/>
                <w:vertAlign w:val="superscript"/>
              </w:rPr>
              <w:t>(f)</w:t>
            </w:r>
          </w:p>
        </w:tc>
      </w:tr>
      <w:tr w:rsidR="00DA3466" w:rsidRPr="007F41D7" w:rsidTr="002F5096">
        <w:trPr>
          <w:cantSplit/>
          <w:trHeight w:val="230"/>
        </w:trPr>
        <w:tc>
          <w:tcPr>
            <w:tcW w:w="3788" w:type="dxa"/>
            <w:vMerge/>
            <w:tcBorders>
              <w:top w:val="single" w:sz="4" w:space="0" w:color="auto"/>
              <w:left w:val="single" w:sz="4" w:space="0" w:color="auto"/>
              <w:bottom w:val="single" w:sz="4" w:space="0" w:color="auto"/>
              <w:right w:val="single" w:sz="4" w:space="0" w:color="auto"/>
            </w:tcBorders>
            <w:hideMark/>
          </w:tcPr>
          <w:p w:rsidR="00DA3466" w:rsidRPr="007F41D7" w:rsidRDefault="00DA3466" w:rsidP="00E6512C">
            <w:pPr>
              <w:keepNext/>
              <w:spacing w:after="0"/>
              <w:rPr>
                <w:rFonts w:cs="Arial"/>
                <w:b/>
                <w:bCs/>
                <w:sz w:val="20"/>
                <w:szCs w:val="20"/>
              </w:rPr>
            </w:pPr>
          </w:p>
        </w:tc>
        <w:tc>
          <w:tcPr>
            <w:tcW w:w="1405" w:type="dxa"/>
            <w:vMerge/>
            <w:tcBorders>
              <w:top w:val="single" w:sz="4" w:space="0" w:color="auto"/>
              <w:left w:val="single" w:sz="4" w:space="0" w:color="auto"/>
              <w:bottom w:val="single" w:sz="4" w:space="0" w:color="auto"/>
              <w:right w:val="single" w:sz="4" w:space="0" w:color="auto"/>
            </w:tcBorders>
            <w:hideMark/>
          </w:tcPr>
          <w:p w:rsidR="00DA3466" w:rsidRPr="007F41D7" w:rsidRDefault="00DA3466" w:rsidP="00E6512C">
            <w:pPr>
              <w:keepNext/>
              <w:spacing w:after="0"/>
              <w:rPr>
                <w:rFonts w:cs="Arial"/>
                <w:b/>
                <w:bCs/>
                <w:sz w:val="20"/>
                <w:szCs w:val="20"/>
              </w:rPr>
            </w:pPr>
          </w:p>
        </w:tc>
        <w:tc>
          <w:tcPr>
            <w:tcW w:w="1127" w:type="dxa"/>
            <w:vMerge/>
            <w:tcBorders>
              <w:top w:val="nil"/>
              <w:left w:val="single" w:sz="4" w:space="0" w:color="auto"/>
              <w:bottom w:val="single" w:sz="4" w:space="0" w:color="000000"/>
              <w:right w:val="single" w:sz="4" w:space="0" w:color="auto"/>
            </w:tcBorders>
            <w:hideMark/>
          </w:tcPr>
          <w:p w:rsidR="00DA3466" w:rsidRPr="007F41D7" w:rsidRDefault="00DA3466" w:rsidP="00E6512C">
            <w:pPr>
              <w:keepNext/>
              <w:spacing w:after="0"/>
              <w:rPr>
                <w:rFonts w:cs="Arial"/>
                <w:b/>
                <w:bCs/>
                <w:sz w:val="20"/>
                <w:szCs w:val="20"/>
              </w:rPr>
            </w:pPr>
          </w:p>
        </w:tc>
        <w:tc>
          <w:tcPr>
            <w:tcW w:w="1400" w:type="dxa"/>
            <w:vMerge/>
            <w:tcBorders>
              <w:top w:val="nil"/>
              <w:left w:val="single" w:sz="4" w:space="0" w:color="auto"/>
              <w:bottom w:val="single" w:sz="4" w:space="0" w:color="auto"/>
              <w:right w:val="single" w:sz="4" w:space="0" w:color="auto"/>
            </w:tcBorders>
            <w:hideMark/>
          </w:tcPr>
          <w:p w:rsidR="00DA3466" w:rsidRPr="007F41D7" w:rsidRDefault="00DA3466" w:rsidP="00E6512C">
            <w:pPr>
              <w:keepNext/>
              <w:spacing w:after="0"/>
              <w:rPr>
                <w:rFonts w:cs="Arial"/>
                <w:b/>
                <w:bCs/>
                <w:sz w:val="20"/>
                <w:szCs w:val="20"/>
              </w:rPr>
            </w:pPr>
          </w:p>
        </w:tc>
        <w:tc>
          <w:tcPr>
            <w:tcW w:w="1121" w:type="dxa"/>
            <w:vMerge/>
            <w:tcBorders>
              <w:top w:val="nil"/>
              <w:left w:val="single" w:sz="4" w:space="0" w:color="auto"/>
              <w:bottom w:val="single" w:sz="4" w:space="0" w:color="auto"/>
              <w:right w:val="single" w:sz="4" w:space="0" w:color="auto"/>
            </w:tcBorders>
            <w:hideMark/>
          </w:tcPr>
          <w:p w:rsidR="00DA3466" w:rsidRPr="007F41D7" w:rsidRDefault="00DA3466" w:rsidP="00E6512C">
            <w:pPr>
              <w:keepNext/>
              <w:spacing w:after="0"/>
              <w:rPr>
                <w:rFonts w:cs="Arial"/>
                <w:b/>
                <w:bCs/>
                <w:sz w:val="20"/>
                <w:szCs w:val="20"/>
              </w:rPr>
            </w:pPr>
          </w:p>
        </w:tc>
        <w:tc>
          <w:tcPr>
            <w:tcW w:w="1455" w:type="dxa"/>
            <w:vMerge/>
            <w:tcBorders>
              <w:top w:val="nil"/>
              <w:left w:val="single" w:sz="4" w:space="0" w:color="auto"/>
              <w:bottom w:val="single" w:sz="4" w:space="0" w:color="auto"/>
              <w:right w:val="single" w:sz="4" w:space="0" w:color="auto"/>
            </w:tcBorders>
            <w:hideMark/>
          </w:tcPr>
          <w:p w:rsidR="00DA3466" w:rsidRPr="007F41D7" w:rsidRDefault="00DA3466" w:rsidP="00E6512C">
            <w:pPr>
              <w:keepNext/>
              <w:spacing w:after="0"/>
              <w:rPr>
                <w:rFonts w:cs="Arial"/>
                <w:b/>
                <w:bCs/>
                <w:sz w:val="20"/>
                <w:szCs w:val="20"/>
              </w:rPr>
            </w:pPr>
          </w:p>
        </w:tc>
      </w:tr>
      <w:tr w:rsidR="007D3345" w:rsidRPr="00F35EDF" w:rsidTr="005826AF">
        <w:trPr>
          <w:cantSplit/>
        </w:trPr>
        <w:tc>
          <w:tcPr>
            <w:tcW w:w="3788" w:type="dxa"/>
            <w:tcBorders>
              <w:top w:val="nil"/>
              <w:left w:val="single" w:sz="4" w:space="0" w:color="auto"/>
              <w:bottom w:val="single" w:sz="4" w:space="0" w:color="auto"/>
              <w:right w:val="single" w:sz="4" w:space="0" w:color="auto"/>
            </w:tcBorders>
            <w:shd w:val="clear" w:color="auto" w:fill="auto"/>
            <w:hideMark/>
          </w:tcPr>
          <w:p w:rsidR="007D3345" w:rsidRPr="00F35EDF" w:rsidRDefault="007D3345" w:rsidP="00E6512C">
            <w:pPr>
              <w:keepNext/>
              <w:spacing w:after="0"/>
              <w:ind w:left="360" w:hanging="360"/>
              <w:rPr>
                <w:rFonts w:cs="Arial"/>
                <w:color w:val="000000"/>
                <w:sz w:val="20"/>
                <w:szCs w:val="20"/>
              </w:rPr>
            </w:pPr>
            <w:r w:rsidRPr="00F35EDF">
              <w:rPr>
                <w:rFonts w:cs="Arial"/>
                <w:sz w:val="20"/>
                <w:szCs w:val="20"/>
              </w:rPr>
              <w:t>5)</w:t>
            </w:r>
            <w:r w:rsidRPr="00F35EDF">
              <w:rPr>
                <w:sz w:val="20"/>
                <w:szCs w:val="20"/>
              </w:rPr>
              <w:tab/>
              <w:t>Participate in Consortium</w:t>
            </w:r>
          </w:p>
        </w:tc>
        <w:tc>
          <w:tcPr>
            <w:tcW w:w="1405" w:type="dxa"/>
            <w:tcBorders>
              <w:top w:val="nil"/>
              <w:left w:val="nil"/>
              <w:bottom w:val="single" w:sz="4" w:space="0" w:color="auto"/>
              <w:right w:val="single" w:sz="4" w:space="0" w:color="auto"/>
            </w:tcBorders>
            <w:shd w:val="clear" w:color="auto" w:fill="auto"/>
            <w:hideMark/>
          </w:tcPr>
          <w:p w:rsidR="007D3345" w:rsidRPr="00F35EDF" w:rsidRDefault="00AD06C5" w:rsidP="00E6512C">
            <w:pPr>
              <w:keepNext/>
              <w:tabs>
                <w:tab w:val="decimal" w:pos="622"/>
              </w:tabs>
              <w:spacing w:after="0"/>
              <w:rPr>
                <w:rFonts w:cs="Arial"/>
                <w:sz w:val="20"/>
                <w:szCs w:val="20"/>
              </w:rPr>
            </w:pPr>
            <w:r>
              <w:rPr>
                <w:rFonts w:cs="Arial"/>
                <w:sz w:val="20"/>
                <w:szCs w:val="20"/>
              </w:rPr>
              <w:t>21</w:t>
            </w:r>
          </w:p>
        </w:tc>
        <w:tc>
          <w:tcPr>
            <w:tcW w:w="1127" w:type="dxa"/>
            <w:tcBorders>
              <w:top w:val="nil"/>
              <w:left w:val="nil"/>
              <w:bottom w:val="single" w:sz="4" w:space="0" w:color="auto"/>
              <w:right w:val="single" w:sz="4" w:space="0" w:color="auto"/>
            </w:tcBorders>
            <w:shd w:val="clear" w:color="auto" w:fill="auto"/>
            <w:hideMark/>
          </w:tcPr>
          <w:p w:rsidR="007D3345" w:rsidRPr="00F35EDF" w:rsidRDefault="007D3345" w:rsidP="00E6512C">
            <w:pPr>
              <w:keepNext/>
              <w:tabs>
                <w:tab w:val="decimal" w:pos="747"/>
              </w:tabs>
              <w:spacing w:after="0"/>
              <w:rPr>
                <w:rFonts w:cs="Arial"/>
                <w:sz w:val="20"/>
                <w:szCs w:val="20"/>
              </w:rPr>
            </w:pPr>
            <w:r>
              <w:rPr>
                <w:rFonts w:cs="Arial"/>
                <w:sz w:val="20"/>
                <w:szCs w:val="20"/>
              </w:rPr>
              <w:t>171</w:t>
            </w:r>
          </w:p>
        </w:tc>
        <w:tc>
          <w:tcPr>
            <w:tcW w:w="1400" w:type="dxa"/>
            <w:tcBorders>
              <w:top w:val="nil"/>
              <w:left w:val="nil"/>
              <w:bottom w:val="single" w:sz="4" w:space="0" w:color="auto"/>
              <w:right w:val="single" w:sz="4" w:space="0" w:color="auto"/>
            </w:tcBorders>
            <w:shd w:val="clear" w:color="auto" w:fill="auto"/>
            <w:hideMark/>
          </w:tcPr>
          <w:p w:rsidR="007D3345" w:rsidRPr="00F35EDF" w:rsidRDefault="007D3345" w:rsidP="00E6512C">
            <w:pPr>
              <w:keepNext/>
              <w:tabs>
                <w:tab w:val="decimal" w:pos="905"/>
              </w:tabs>
              <w:spacing w:after="0"/>
              <w:rPr>
                <w:rFonts w:cs="Arial"/>
                <w:sz w:val="20"/>
                <w:szCs w:val="20"/>
              </w:rPr>
            </w:pPr>
            <w:r w:rsidRPr="00F35EDF">
              <w:rPr>
                <w:rFonts w:cs="Arial"/>
                <w:sz w:val="20"/>
                <w:szCs w:val="20"/>
              </w:rPr>
              <w:t>$</w:t>
            </w:r>
            <w:r w:rsidR="00AD06C5">
              <w:rPr>
                <w:rFonts w:cs="Arial"/>
                <w:sz w:val="20"/>
                <w:szCs w:val="20"/>
              </w:rPr>
              <w:t>11,760</w:t>
            </w:r>
          </w:p>
        </w:tc>
        <w:tc>
          <w:tcPr>
            <w:tcW w:w="1121" w:type="dxa"/>
            <w:tcBorders>
              <w:top w:val="nil"/>
              <w:left w:val="nil"/>
              <w:bottom w:val="single" w:sz="4" w:space="0" w:color="auto"/>
              <w:right w:val="single" w:sz="4" w:space="0" w:color="auto"/>
            </w:tcBorders>
            <w:shd w:val="clear" w:color="000000" w:fill="B8CCE4"/>
            <w:hideMark/>
          </w:tcPr>
          <w:p w:rsidR="007D3345" w:rsidRPr="00F35EDF" w:rsidRDefault="00AD06C5" w:rsidP="00E6512C">
            <w:pPr>
              <w:keepNext/>
              <w:tabs>
                <w:tab w:val="decimal" w:pos="560"/>
              </w:tabs>
              <w:spacing w:after="0"/>
              <w:rPr>
                <w:rFonts w:cs="Arial"/>
                <w:sz w:val="20"/>
                <w:szCs w:val="20"/>
              </w:rPr>
            </w:pPr>
            <w:r>
              <w:rPr>
                <w:rFonts w:cs="Arial"/>
                <w:sz w:val="20"/>
                <w:szCs w:val="20"/>
              </w:rPr>
              <w:t>3,591</w:t>
            </w:r>
          </w:p>
        </w:tc>
        <w:tc>
          <w:tcPr>
            <w:tcW w:w="1455" w:type="dxa"/>
            <w:tcBorders>
              <w:top w:val="nil"/>
              <w:left w:val="nil"/>
              <w:bottom w:val="single" w:sz="4" w:space="0" w:color="auto"/>
              <w:right w:val="single" w:sz="4" w:space="0" w:color="auto"/>
            </w:tcBorders>
            <w:shd w:val="clear" w:color="000000" w:fill="B8CCE4"/>
            <w:hideMark/>
          </w:tcPr>
          <w:p w:rsidR="007D3345" w:rsidRPr="00F35EDF" w:rsidRDefault="007D3345" w:rsidP="00E6512C">
            <w:pPr>
              <w:keepNext/>
              <w:tabs>
                <w:tab w:val="decimal" w:pos="879"/>
              </w:tabs>
              <w:spacing w:after="0"/>
              <w:rPr>
                <w:rFonts w:cs="Arial"/>
                <w:sz w:val="20"/>
                <w:szCs w:val="20"/>
              </w:rPr>
            </w:pPr>
            <w:r w:rsidRPr="00F35EDF">
              <w:rPr>
                <w:rFonts w:cs="Arial"/>
                <w:sz w:val="20"/>
                <w:szCs w:val="20"/>
              </w:rPr>
              <w:t>$</w:t>
            </w:r>
            <w:r w:rsidR="00AD06C5">
              <w:rPr>
                <w:rFonts w:cs="Arial"/>
                <w:sz w:val="20"/>
                <w:szCs w:val="20"/>
              </w:rPr>
              <w:t>246,960</w:t>
            </w:r>
          </w:p>
        </w:tc>
      </w:tr>
      <w:tr w:rsidR="00AD06C5" w:rsidRPr="00AD06C5" w:rsidTr="005826AF">
        <w:trPr>
          <w:cantSplit/>
        </w:trPr>
        <w:tc>
          <w:tcPr>
            <w:tcW w:w="5193" w:type="dxa"/>
            <w:gridSpan w:val="2"/>
            <w:tcBorders>
              <w:top w:val="single" w:sz="4" w:space="0" w:color="auto"/>
              <w:left w:val="single" w:sz="4" w:space="0" w:color="auto"/>
              <w:bottom w:val="single" w:sz="4" w:space="0" w:color="auto"/>
              <w:right w:val="single" w:sz="4" w:space="0" w:color="auto"/>
            </w:tcBorders>
            <w:shd w:val="clear" w:color="000000" w:fill="B8CCE4"/>
            <w:hideMark/>
          </w:tcPr>
          <w:p w:rsidR="00AD06C5" w:rsidRPr="00AD06C5" w:rsidRDefault="00AD06C5" w:rsidP="00AD06C5">
            <w:pPr>
              <w:tabs>
                <w:tab w:val="decimal" w:pos="622"/>
              </w:tabs>
              <w:spacing w:after="0"/>
              <w:jc w:val="right"/>
              <w:rPr>
                <w:rFonts w:cs="Arial"/>
                <w:b/>
                <w:sz w:val="20"/>
                <w:szCs w:val="20"/>
              </w:rPr>
            </w:pPr>
            <w:r w:rsidRPr="00AD06C5">
              <w:rPr>
                <w:rFonts w:cs="Arial"/>
                <w:b/>
                <w:bCs/>
                <w:sz w:val="20"/>
                <w:szCs w:val="20"/>
              </w:rPr>
              <w:t>Total:</w:t>
            </w:r>
          </w:p>
        </w:tc>
        <w:tc>
          <w:tcPr>
            <w:tcW w:w="1127" w:type="dxa"/>
            <w:tcBorders>
              <w:top w:val="single" w:sz="4" w:space="0" w:color="auto"/>
              <w:left w:val="nil"/>
              <w:bottom w:val="single" w:sz="4" w:space="0" w:color="auto"/>
              <w:right w:val="single" w:sz="4" w:space="0" w:color="auto"/>
            </w:tcBorders>
            <w:shd w:val="clear" w:color="000000" w:fill="B8CCE4"/>
            <w:hideMark/>
          </w:tcPr>
          <w:p w:rsidR="00AD06C5" w:rsidRPr="00AD06C5" w:rsidRDefault="00AD06C5" w:rsidP="005826AF">
            <w:pPr>
              <w:tabs>
                <w:tab w:val="decimal" w:pos="747"/>
              </w:tabs>
              <w:spacing w:after="0"/>
              <w:rPr>
                <w:rFonts w:cs="Arial"/>
                <w:b/>
                <w:sz w:val="20"/>
                <w:szCs w:val="20"/>
              </w:rPr>
            </w:pPr>
            <w:r w:rsidRPr="00AD06C5">
              <w:rPr>
                <w:rFonts w:cs="Arial"/>
                <w:b/>
                <w:sz w:val="20"/>
                <w:szCs w:val="20"/>
              </w:rPr>
              <w:t>171</w:t>
            </w:r>
          </w:p>
        </w:tc>
        <w:tc>
          <w:tcPr>
            <w:tcW w:w="1400" w:type="dxa"/>
            <w:tcBorders>
              <w:top w:val="single" w:sz="4" w:space="0" w:color="auto"/>
              <w:left w:val="nil"/>
              <w:bottom w:val="single" w:sz="4" w:space="0" w:color="auto"/>
              <w:right w:val="single" w:sz="4" w:space="0" w:color="auto"/>
            </w:tcBorders>
            <w:shd w:val="clear" w:color="000000" w:fill="B8CCE4"/>
            <w:hideMark/>
          </w:tcPr>
          <w:p w:rsidR="00AD06C5" w:rsidRPr="00AD06C5" w:rsidRDefault="00AD06C5" w:rsidP="00AD06C5">
            <w:pPr>
              <w:tabs>
                <w:tab w:val="decimal" w:pos="905"/>
              </w:tabs>
              <w:spacing w:after="0"/>
              <w:rPr>
                <w:rFonts w:cs="Arial"/>
                <w:b/>
                <w:sz w:val="20"/>
                <w:szCs w:val="20"/>
              </w:rPr>
            </w:pPr>
            <w:r w:rsidRPr="00AD06C5">
              <w:rPr>
                <w:rFonts w:cs="Arial"/>
                <w:b/>
                <w:sz w:val="20"/>
                <w:szCs w:val="20"/>
              </w:rPr>
              <w:t>$11,760</w:t>
            </w:r>
          </w:p>
        </w:tc>
        <w:tc>
          <w:tcPr>
            <w:tcW w:w="1121" w:type="dxa"/>
            <w:tcBorders>
              <w:top w:val="single" w:sz="4" w:space="0" w:color="auto"/>
              <w:left w:val="nil"/>
              <w:bottom w:val="single" w:sz="4" w:space="0" w:color="auto"/>
              <w:right w:val="single" w:sz="4" w:space="0" w:color="auto"/>
            </w:tcBorders>
            <w:shd w:val="clear" w:color="000000" w:fill="B8CCE4"/>
            <w:hideMark/>
          </w:tcPr>
          <w:p w:rsidR="00AD06C5" w:rsidRPr="00AD06C5" w:rsidRDefault="00AD06C5" w:rsidP="005826AF">
            <w:pPr>
              <w:tabs>
                <w:tab w:val="decimal" w:pos="560"/>
              </w:tabs>
              <w:spacing w:after="0"/>
              <w:rPr>
                <w:rFonts w:cs="Arial"/>
                <w:b/>
                <w:sz w:val="20"/>
                <w:szCs w:val="20"/>
              </w:rPr>
            </w:pPr>
            <w:r w:rsidRPr="00AD06C5">
              <w:rPr>
                <w:rFonts w:cs="Arial"/>
                <w:b/>
                <w:sz w:val="20"/>
                <w:szCs w:val="20"/>
              </w:rPr>
              <w:t>3,591</w:t>
            </w:r>
          </w:p>
        </w:tc>
        <w:tc>
          <w:tcPr>
            <w:tcW w:w="1455" w:type="dxa"/>
            <w:tcBorders>
              <w:top w:val="single" w:sz="4" w:space="0" w:color="auto"/>
              <w:left w:val="nil"/>
              <w:bottom w:val="single" w:sz="4" w:space="0" w:color="auto"/>
              <w:right w:val="single" w:sz="4" w:space="0" w:color="auto"/>
            </w:tcBorders>
            <w:shd w:val="clear" w:color="000000" w:fill="B8CCE4"/>
            <w:hideMark/>
          </w:tcPr>
          <w:p w:rsidR="00AD06C5" w:rsidRPr="00AD06C5" w:rsidRDefault="00AD06C5" w:rsidP="00AD06C5">
            <w:pPr>
              <w:tabs>
                <w:tab w:val="decimal" w:pos="879"/>
              </w:tabs>
              <w:spacing w:after="0"/>
              <w:rPr>
                <w:rFonts w:cs="Arial"/>
                <w:b/>
                <w:sz w:val="20"/>
                <w:szCs w:val="20"/>
              </w:rPr>
            </w:pPr>
            <w:r w:rsidRPr="00AD06C5">
              <w:rPr>
                <w:rFonts w:cs="Arial"/>
                <w:b/>
                <w:sz w:val="20"/>
                <w:szCs w:val="20"/>
              </w:rPr>
              <w:t>$246,960</w:t>
            </w:r>
          </w:p>
        </w:tc>
      </w:tr>
      <w:tr w:rsidR="00DA3466" w:rsidRPr="00A149F2" w:rsidTr="004864EF">
        <w:trPr>
          <w:cantSplit/>
        </w:trPr>
        <w:tc>
          <w:tcPr>
            <w:tcW w:w="10296" w:type="dxa"/>
            <w:gridSpan w:val="6"/>
            <w:tcBorders>
              <w:top w:val="single" w:sz="4" w:space="0" w:color="auto"/>
            </w:tcBorders>
            <w:shd w:val="clear" w:color="auto" w:fill="auto"/>
          </w:tcPr>
          <w:p w:rsidR="00DA3466" w:rsidRPr="00DA3466" w:rsidRDefault="00DA3466" w:rsidP="002F5096">
            <w:pPr>
              <w:spacing w:after="0"/>
              <w:rPr>
                <w:rFonts w:cs="Arial"/>
                <w:bCs/>
                <w:sz w:val="18"/>
                <w:szCs w:val="18"/>
                <w:u w:val="single"/>
              </w:rPr>
            </w:pPr>
            <w:r w:rsidRPr="00DA3466">
              <w:rPr>
                <w:rFonts w:cs="Arial"/>
                <w:bCs/>
                <w:sz w:val="18"/>
                <w:szCs w:val="18"/>
                <w:u w:val="single"/>
              </w:rPr>
              <w:t>Key:</w:t>
            </w:r>
          </w:p>
        </w:tc>
      </w:tr>
      <w:tr w:rsidR="00DA3466" w:rsidRPr="00F35EDF"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 xml:space="preserve">(a) Activities are described in more detail in section 4(b) of this ICR. </w:t>
            </w:r>
          </w:p>
        </w:tc>
      </w:tr>
      <w:tr w:rsidR="00DA3466" w:rsidRPr="00F35EDF"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(b) From Table 1, includes catch-up orders.</w:t>
            </w:r>
          </w:p>
        </w:tc>
      </w:tr>
      <w:tr w:rsidR="00DA3466" w:rsidRPr="00F35EDF"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 xml:space="preserve">(c) See Activity listing in Table 6. </w:t>
            </w:r>
          </w:p>
        </w:tc>
      </w:tr>
      <w:tr w:rsidR="00DA3466" w:rsidRPr="00F35EDF"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(d) See Activity listing in Table 7.</w:t>
            </w:r>
          </w:p>
        </w:tc>
      </w:tr>
      <w:tr w:rsidR="00DA3466" w:rsidRPr="00F35EDF"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(e) Total = (b) x (c)</w:t>
            </w:r>
          </w:p>
        </w:tc>
      </w:tr>
      <w:tr w:rsidR="00DA3466" w:rsidRPr="00A149F2" w:rsidTr="004864EF">
        <w:trPr>
          <w:cantSplit/>
        </w:trPr>
        <w:tc>
          <w:tcPr>
            <w:tcW w:w="10296" w:type="dxa"/>
            <w:gridSpan w:val="6"/>
            <w:shd w:val="clear" w:color="auto" w:fill="auto"/>
          </w:tcPr>
          <w:p w:rsidR="00DA3466" w:rsidRPr="00DA3466" w:rsidRDefault="00DA3466" w:rsidP="002F5096">
            <w:pPr>
              <w:spacing w:after="0"/>
              <w:rPr>
                <w:rFonts w:cs="Arial"/>
                <w:sz w:val="18"/>
                <w:szCs w:val="18"/>
              </w:rPr>
            </w:pPr>
            <w:r w:rsidRPr="00DA3466">
              <w:rPr>
                <w:rFonts w:cs="Arial"/>
                <w:sz w:val="18"/>
                <w:szCs w:val="18"/>
              </w:rPr>
              <w:t>(f) Total = (b) x (d)</w:t>
            </w:r>
          </w:p>
        </w:tc>
      </w:tr>
    </w:tbl>
    <w:p w:rsidR="005B4EA1" w:rsidRDefault="005B4EA1" w:rsidP="002F2414">
      <w:pPr>
        <w:spacing w:before="240"/>
      </w:pPr>
      <w:r w:rsidRPr="005B4EA1">
        <w:t>The total IC #3 burden and costs is therefore a total of 46,683 hours (43,092 hrs + 3,591 hrs) and $</w:t>
      </w:r>
      <w:r w:rsidR="007D3345" w:rsidRPr="005B4EA1">
        <w:t>3,210,480</w:t>
      </w:r>
      <w:r w:rsidR="007D3345">
        <w:t xml:space="preserve"> </w:t>
      </w:r>
      <w:r w:rsidR="001F435B">
        <w:t>($</w:t>
      </w:r>
      <w:r w:rsidR="007D3345" w:rsidRPr="005B4EA1">
        <w:t>2,963,520</w:t>
      </w:r>
      <w:r w:rsidR="007D3345">
        <w:t xml:space="preserve"> </w:t>
      </w:r>
      <w:r w:rsidR="007D3345">
        <w:rPr>
          <w:vertAlign w:val="superscript"/>
        </w:rPr>
        <w:t xml:space="preserve">+ </w:t>
      </w:r>
      <w:r w:rsidR="001F435B">
        <w:t>$</w:t>
      </w:r>
      <w:r w:rsidRPr="005B4EA1">
        <w:t>246,960).</w:t>
      </w:r>
    </w:p>
    <w:p w:rsidR="00733994" w:rsidRDefault="001F435B" w:rsidP="002F2414">
      <w:pPr>
        <w:pStyle w:val="Heading2"/>
      </w:pPr>
      <w:r>
        <w:lastRenderedPageBreak/>
        <w:t>6(c)</w:t>
      </w:r>
      <w:r w:rsidR="00123223">
        <w:tab/>
      </w:r>
      <w:r>
        <w:t>Estimating Agency Burden and Cost</w:t>
      </w:r>
    </w:p>
    <w:p w:rsidR="00E35878" w:rsidRDefault="00E35878" w:rsidP="00F16932">
      <w:r>
        <w:t xml:space="preserve">For the </w:t>
      </w:r>
      <w:r w:rsidR="00CF1D4B">
        <w:t>agency</w:t>
      </w:r>
      <w:r>
        <w:t xml:space="preserve"> activities, </w:t>
      </w:r>
      <w:r w:rsidR="002F2414">
        <w:t>the EPA</w:t>
      </w:r>
      <w:r>
        <w:t xml:space="preserve"> estimated the burden hours by considering the activities themselves and the expected amount of time that the activity may involve on average.</w:t>
      </w:r>
      <w:r w:rsidR="000C6CB0">
        <w:t xml:space="preserve"> </w:t>
      </w:r>
      <w:r>
        <w:t xml:space="preserve">These estimates consider the </w:t>
      </w:r>
      <w:r w:rsidR="00CF1D4B">
        <w:t>agency'</w:t>
      </w:r>
      <w:r>
        <w:t>s experience with similar data collection activities.</w:t>
      </w:r>
      <w:r w:rsidR="000C6CB0">
        <w:t xml:space="preserve"> </w:t>
      </w:r>
      <w:r>
        <w:t xml:space="preserve">The estimated per chemical/respondent burden hours for the </w:t>
      </w:r>
      <w:r w:rsidR="00CF1D4B">
        <w:t>agency</w:t>
      </w:r>
      <w:r>
        <w:t xml:space="preserve"> are presented in Table 1</w:t>
      </w:r>
      <w:r w:rsidR="008F07BA">
        <w:t>4</w:t>
      </w:r>
      <w:r>
        <w:t>.</w:t>
      </w:r>
      <w:r w:rsidR="000C6CB0">
        <w:t xml:space="preserve"> </w:t>
      </w:r>
      <w:r>
        <w:t xml:space="preserve">To calculate the total potential </w:t>
      </w:r>
      <w:r w:rsidR="00CF1D4B">
        <w:t>agency</w:t>
      </w:r>
      <w:r>
        <w:t xml:space="preserve"> burden </w:t>
      </w:r>
      <w:r w:rsidRPr="00674E1C">
        <w:t xml:space="preserve">over the three years, </w:t>
      </w:r>
      <w:r w:rsidR="002F2414" w:rsidRPr="00674E1C">
        <w:t>the EPA</w:t>
      </w:r>
      <w:r w:rsidRPr="00674E1C">
        <w:t xml:space="preserve"> has multiplied this burden by the total number of chemicals (</w:t>
      </w:r>
      <w:r w:rsidR="009F263B" w:rsidRPr="00674E1C">
        <w:t>667</w:t>
      </w:r>
      <w:r w:rsidRPr="00674E1C">
        <w:t xml:space="preserve"> hours x </w:t>
      </w:r>
      <w:r w:rsidR="00C10AA0">
        <w:t>52</w:t>
      </w:r>
      <w:r w:rsidR="009F263B" w:rsidRPr="00674E1C">
        <w:t xml:space="preserve"> </w:t>
      </w:r>
      <w:r w:rsidRPr="00674E1C">
        <w:t xml:space="preserve">chemicals = </w:t>
      </w:r>
      <w:r w:rsidR="00B24D1E">
        <w:t>35</w:t>
      </w:r>
      <w:r w:rsidR="003C06EF" w:rsidRPr="00674E1C">
        <w:t>,</w:t>
      </w:r>
      <w:r w:rsidR="00B24D1E">
        <w:t>204</w:t>
      </w:r>
      <w:r w:rsidR="009F263B" w:rsidRPr="00674E1C">
        <w:t xml:space="preserve"> </w:t>
      </w:r>
      <w:r w:rsidRPr="00674E1C">
        <w:t>hours).</w:t>
      </w:r>
    </w:p>
    <w:p w:rsidR="008F07BA" w:rsidRPr="00ED79B3" w:rsidRDefault="008F07BA" w:rsidP="002F2414">
      <w:pPr>
        <w:pStyle w:val="TableCaption"/>
      </w:pPr>
      <w:r w:rsidRPr="00ED79B3">
        <w:t>Table 14 – Estimated Agency per Chemical Burden Hours</w:t>
      </w:r>
    </w:p>
    <w:tbl>
      <w:tblPr>
        <w:tblStyle w:val="TableGrid"/>
        <w:tblW w:w="5000" w:type="pct"/>
        <w:tblLook w:val="01E0"/>
      </w:tblPr>
      <w:tblGrid>
        <w:gridCol w:w="4858"/>
        <w:gridCol w:w="1359"/>
        <w:gridCol w:w="1360"/>
        <w:gridCol w:w="1359"/>
        <w:gridCol w:w="1360"/>
      </w:tblGrid>
      <w:tr w:rsidR="00E35878" w:rsidTr="00ED79B3">
        <w:trPr>
          <w:tblHeader/>
        </w:trPr>
        <w:tc>
          <w:tcPr>
            <w:tcW w:w="4858" w:type="dxa"/>
            <w:shd w:val="clear" w:color="auto" w:fill="95B3D7" w:themeFill="accent1" w:themeFillTint="99"/>
            <w:vAlign w:val="center"/>
          </w:tcPr>
          <w:p w:rsidR="00E35878" w:rsidRPr="00E35878" w:rsidRDefault="00E35878" w:rsidP="00970C53">
            <w:pPr>
              <w:keepNext/>
              <w:spacing w:after="0"/>
              <w:jc w:val="center"/>
              <w:rPr>
                <w:rFonts w:cs="Arial"/>
                <w:b/>
                <w:sz w:val="20"/>
                <w:szCs w:val="20"/>
              </w:rPr>
            </w:pPr>
            <w:r w:rsidRPr="00E35878">
              <w:rPr>
                <w:rFonts w:cs="Arial"/>
                <w:b/>
                <w:sz w:val="20"/>
                <w:szCs w:val="20"/>
              </w:rPr>
              <w:t>Activity</w:t>
            </w:r>
            <w:r w:rsidRPr="00ED79B3">
              <w:rPr>
                <w:rFonts w:cs="Arial"/>
                <w:b/>
                <w:sz w:val="20"/>
                <w:szCs w:val="20"/>
                <w:vertAlign w:val="superscript"/>
              </w:rPr>
              <w:t>(a)</w:t>
            </w:r>
          </w:p>
        </w:tc>
        <w:tc>
          <w:tcPr>
            <w:tcW w:w="1359" w:type="dxa"/>
            <w:shd w:val="clear" w:color="auto" w:fill="95B3D7" w:themeFill="accent1" w:themeFillTint="99"/>
            <w:vAlign w:val="center"/>
          </w:tcPr>
          <w:p w:rsidR="00E35878" w:rsidRPr="00E35878" w:rsidRDefault="00E35878" w:rsidP="00970C53">
            <w:pPr>
              <w:keepNext/>
              <w:spacing w:after="0"/>
              <w:jc w:val="center"/>
              <w:rPr>
                <w:rFonts w:cs="Arial"/>
                <w:b/>
                <w:sz w:val="20"/>
                <w:szCs w:val="20"/>
              </w:rPr>
            </w:pPr>
            <w:r w:rsidRPr="00E35878">
              <w:rPr>
                <w:rFonts w:cs="Arial"/>
                <w:b/>
                <w:sz w:val="20"/>
                <w:szCs w:val="20"/>
              </w:rPr>
              <w:t>Managerial</w:t>
            </w:r>
          </w:p>
        </w:tc>
        <w:tc>
          <w:tcPr>
            <w:tcW w:w="1360" w:type="dxa"/>
            <w:shd w:val="clear" w:color="auto" w:fill="95B3D7" w:themeFill="accent1" w:themeFillTint="99"/>
            <w:vAlign w:val="center"/>
          </w:tcPr>
          <w:p w:rsidR="00E35878" w:rsidRPr="00E35878" w:rsidRDefault="00E35878" w:rsidP="00970C53">
            <w:pPr>
              <w:keepNext/>
              <w:spacing w:after="0"/>
              <w:jc w:val="center"/>
              <w:rPr>
                <w:rFonts w:cs="Arial"/>
                <w:b/>
                <w:sz w:val="20"/>
                <w:szCs w:val="20"/>
              </w:rPr>
            </w:pPr>
            <w:r w:rsidRPr="00E35878">
              <w:rPr>
                <w:rFonts w:cs="Arial"/>
                <w:b/>
                <w:sz w:val="20"/>
                <w:szCs w:val="20"/>
              </w:rPr>
              <w:t>Technical</w:t>
            </w:r>
          </w:p>
        </w:tc>
        <w:tc>
          <w:tcPr>
            <w:tcW w:w="1359" w:type="dxa"/>
            <w:shd w:val="clear" w:color="auto" w:fill="95B3D7" w:themeFill="accent1" w:themeFillTint="99"/>
            <w:vAlign w:val="center"/>
          </w:tcPr>
          <w:p w:rsidR="00E35878" w:rsidRPr="00E35878" w:rsidRDefault="00E35878" w:rsidP="00970C53">
            <w:pPr>
              <w:keepNext/>
              <w:spacing w:after="0"/>
              <w:jc w:val="center"/>
              <w:rPr>
                <w:rFonts w:cs="Arial"/>
                <w:b/>
                <w:sz w:val="20"/>
                <w:szCs w:val="20"/>
              </w:rPr>
            </w:pPr>
            <w:r w:rsidRPr="00E35878">
              <w:rPr>
                <w:rFonts w:cs="Arial"/>
                <w:b/>
                <w:sz w:val="20"/>
                <w:szCs w:val="20"/>
              </w:rPr>
              <w:t>Clerical</w:t>
            </w:r>
          </w:p>
        </w:tc>
        <w:tc>
          <w:tcPr>
            <w:tcW w:w="1360" w:type="dxa"/>
            <w:shd w:val="clear" w:color="auto" w:fill="95B3D7" w:themeFill="accent1" w:themeFillTint="99"/>
            <w:vAlign w:val="center"/>
          </w:tcPr>
          <w:p w:rsidR="00E35878" w:rsidRPr="00E35878" w:rsidRDefault="00E35878" w:rsidP="00970C53">
            <w:pPr>
              <w:keepNext/>
              <w:spacing w:after="0"/>
              <w:jc w:val="center"/>
              <w:rPr>
                <w:rFonts w:cs="Arial"/>
                <w:b/>
                <w:sz w:val="20"/>
                <w:szCs w:val="20"/>
              </w:rPr>
            </w:pPr>
            <w:r w:rsidRPr="00E35878">
              <w:rPr>
                <w:rFonts w:cs="Arial"/>
                <w:b/>
                <w:sz w:val="20"/>
                <w:szCs w:val="20"/>
              </w:rPr>
              <w:t>Total</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1) Prepare instructions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12</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16</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2) Identify chemicals to be screened</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21</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25</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3) Identify recipients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16</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18</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 xml:space="preserve">4) Prepare the 408(p) </w:t>
            </w:r>
            <w:r w:rsidR="00D70092" w:rsidRPr="00E35878">
              <w:rPr>
                <w:rFonts w:cs="Arial"/>
                <w:sz w:val="20"/>
                <w:szCs w:val="20"/>
              </w:rPr>
              <w:t>order packages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4</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10</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14</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5) Review</w:t>
            </w:r>
            <w:r w:rsidR="00674E1C">
              <w:rPr>
                <w:rFonts w:cs="Arial"/>
                <w:sz w:val="20"/>
                <w:szCs w:val="20"/>
              </w:rPr>
              <w:t xml:space="preserve"> and </w:t>
            </w:r>
            <w:r w:rsidRPr="00E35878">
              <w:rPr>
                <w:rFonts w:cs="Arial"/>
                <w:sz w:val="20"/>
                <w:szCs w:val="20"/>
              </w:rPr>
              <w:t>approve the orders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2</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4</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6</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6) Issue the orders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6</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6</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7) Process initial responses</w:t>
            </w:r>
            <w:r w:rsidRPr="00ED79B3">
              <w:rPr>
                <w:rFonts w:cs="Arial"/>
                <w:sz w:val="20"/>
                <w:szCs w:val="20"/>
                <w:vertAlign w:val="superscript"/>
              </w:rPr>
              <w:t>(b)</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4</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6</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8) Provide assistance</w:t>
            </w:r>
            <w:r w:rsidR="00674E1C">
              <w:rPr>
                <w:rFonts w:cs="Arial"/>
                <w:sz w:val="20"/>
                <w:szCs w:val="20"/>
              </w:rPr>
              <w:t xml:space="preserve"> and </w:t>
            </w:r>
            <w:r w:rsidRPr="00E35878">
              <w:rPr>
                <w:rFonts w:cs="Arial"/>
                <w:sz w:val="20"/>
                <w:szCs w:val="20"/>
              </w:rPr>
              <w:t>follow-up, as needed</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36</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36</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9) Identify non-responders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1</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10) Process Data Submissions</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8</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1</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9</w:t>
            </w:r>
          </w:p>
        </w:tc>
      </w:tr>
      <w:tr w:rsidR="009F263B" w:rsidTr="005B4EA1">
        <w:tc>
          <w:tcPr>
            <w:tcW w:w="4858" w:type="dxa"/>
            <w:vAlign w:val="center"/>
          </w:tcPr>
          <w:p w:rsidR="009F263B" w:rsidRPr="00E35878" w:rsidRDefault="009F263B" w:rsidP="00970C53">
            <w:pPr>
              <w:keepNext/>
              <w:spacing w:after="0"/>
              <w:rPr>
                <w:rFonts w:cs="Arial"/>
                <w:sz w:val="20"/>
                <w:szCs w:val="20"/>
              </w:rPr>
            </w:pPr>
            <w:r w:rsidRPr="00E35878">
              <w:rPr>
                <w:rFonts w:cs="Arial"/>
                <w:sz w:val="20"/>
                <w:szCs w:val="20"/>
              </w:rPr>
              <w:t>11) Analyze data</w:t>
            </w:r>
            <w:r w:rsidRPr="00ED79B3">
              <w:rPr>
                <w:rFonts w:cs="Arial"/>
                <w:sz w:val="20"/>
                <w:szCs w:val="20"/>
                <w:vertAlign w:val="superscript"/>
              </w:rPr>
              <w:t>(c)</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440</w:t>
            </w:r>
          </w:p>
        </w:tc>
        <w:tc>
          <w:tcPr>
            <w:tcW w:w="1359" w:type="dxa"/>
            <w:vAlign w:val="bottom"/>
          </w:tcPr>
          <w:p w:rsidR="009F263B" w:rsidRPr="00CF1D4B" w:rsidRDefault="009F263B" w:rsidP="00970C53">
            <w:pPr>
              <w:keepNext/>
              <w:tabs>
                <w:tab w:val="decimal" w:pos="674"/>
              </w:tabs>
              <w:spacing w:after="0"/>
              <w:rPr>
                <w:rFonts w:cs="Arial"/>
                <w:sz w:val="20"/>
                <w:szCs w:val="20"/>
              </w:rPr>
            </w:pPr>
            <w:r w:rsidRPr="00CF1D4B">
              <w:rPr>
                <w:rFonts w:cs="Arial"/>
                <w:sz w:val="20"/>
                <w:szCs w:val="20"/>
              </w:rPr>
              <w:t>0</w:t>
            </w:r>
          </w:p>
        </w:tc>
        <w:tc>
          <w:tcPr>
            <w:tcW w:w="1360" w:type="dxa"/>
            <w:shd w:val="clear" w:color="auto" w:fill="95B3D7" w:themeFill="accent1" w:themeFillTint="99"/>
            <w:vAlign w:val="bottom"/>
          </w:tcPr>
          <w:p w:rsidR="009F263B" w:rsidRPr="005B4EA1" w:rsidRDefault="009F263B" w:rsidP="00970C53">
            <w:pPr>
              <w:keepNext/>
              <w:tabs>
                <w:tab w:val="decimal" w:pos="674"/>
              </w:tabs>
              <w:spacing w:after="0"/>
              <w:rPr>
                <w:rFonts w:cs="Arial"/>
                <w:b/>
                <w:sz w:val="20"/>
                <w:szCs w:val="20"/>
              </w:rPr>
            </w:pPr>
            <w:r w:rsidRPr="005B4EA1">
              <w:rPr>
                <w:rFonts w:cs="Arial"/>
                <w:b/>
                <w:sz w:val="20"/>
                <w:szCs w:val="20"/>
              </w:rPr>
              <w:t>440</w:t>
            </w:r>
          </w:p>
        </w:tc>
      </w:tr>
      <w:tr w:rsidR="009F263B" w:rsidTr="005B4EA1">
        <w:tc>
          <w:tcPr>
            <w:tcW w:w="4858" w:type="dxa"/>
            <w:vAlign w:val="center"/>
          </w:tcPr>
          <w:p w:rsidR="009F263B" w:rsidRPr="00E35878" w:rsidRDefault="009F263B" w:rsidP="00AD2C69">
            <w:pPr>
              <w:keepNext/>
              <w:spacing w:after="0"/>
              <w:rPr>
                <w:rFonts w:cs="Arial"/>
                <w:sz w:val="20"/>
                <w:szCs w:val="20"/>
              </w:rPr>
            </w:pPr>
            <w:r w:rsidRPr="00E35878">
              <w:rPr>
                <w:rFonts w:cs="Arial"/>
                <w:sz w:val="20"/>
                <w:szCs w:val="20"/>
              </w:rPr>
              <w:t>12) Incorporate data into risk assessments</w:t>
            </w:r>
            <w:r w:rsidRPr="00ED79B3">
              <w:rPr>
                <w:rFonts w:cs="Arial"/>
                <w:sz w:val="20"/>
                <w:szCs w:val="20"/>
                <w:vertAlign w:val="superscript"/>
              </w:rPr>
              <w:t>(d)</w:t>
            </w:r>
          </w:p>
        </w:tc>
        <w:tc>
          <w:tcPr>
            <w:tcW w:w="1359"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88</w:t>
            </w:r>
          </w:p>
        </w:tc>
        <w:tc>
          <w:tcPr>
            <w:tcW w:w="1359"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0</w:t>
            </w:r>
          </w:p>
        </w:tc>
        <w:tc>
          <w:tcPr>
            <w:tcW w:w="1360" w:type="dxa"/>
            <w:shd w:val="clear" w:color="auto" w:fill="95B3D7" w:themeFill="accent1" w:themeFillTint="99"/>
            <w:vAlign w:val="bottom"/>
          </w:tcPr>
          <w:p w:rsidR="009F263B" w:rsidRPr="005B4EA1" w:rsidRDefault="009F263B" w:rsidP="00AD2C69">
            <w:pPr>
              <w:keepNext/>
              <w:tabs>
                <w:tab w:val="decimal" w:pos="674"/>
              </w:tabs>
              <w:spacing w:after="0"/>
              <w:rPr>
                <w:rFonts w:cs="Arial"/>
                <w:b/>
                <w:sz w:val="20"/>
                <w:szCs w:val="20"/>
              </w:rPr>
            </w:pPr>
            <w:r w:rsidRPr="005B4EA1">
              <w:rPr>
                <w:rFonts w:cs="Arial"/>
                <w:b/>
                <w:sz w:val="20"/>
                <w:szCs w:val="20"/>
              </w:rPr>
              <w:t>88</w:t>
            </w:r>
          </w:p>
        </w:tc>
      </w:tr>
      <w:tr w:rsidR="009F263B" w:rsidTr="005B4EA1">
        <w:tc>
          <w:tcPr>
            <w:tcW w:w="4858" w:type="dxa"/>
            <w:vAlign w:val="center"/>
          </w:tcPr>
          <w:p w:rsidR="009F263B" w:rsidRPr="00E35878" w:rsidRDefault="009F263B" w:rsidP="00AD2C69">
            <w:pPr>
              <w:keepNext/>
              <w:spacing w:after="0"/>
              <w:rPr>
                <w:rFonts w:cs="Arial"/>
                <w:sz w:val="20"/>
                <w:szCs w:val="20"/>
              </w:rPr>
            </w:pPr>
            <w:r w:rsidRPr="00E35878">
              <w:rPr>
                <w:rFonts w:cs="Arial"/>
                <w:sz w:val="20"/>
                <w:szCs w:val="20"/>
              </w:rPr>
              <w:t xml:space="preserve">13) </w:t>
            </w:r>
            <w:r w:rsidRPr="00CF1D4B">
              <w:rPr>
                <w:rFonts w:cs="Arial"/>
                <w:sz w:val="20"/>
                <w:szCs w:val="20"/>
              </w:rPr>
              <w:t>Store data in retrievable system</w:t>
            </w:r>
          </w:p>
        </w:tc>
        <w:tc>
          <w:tcPr>
            <w:tcW w:w="1359"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0</w:t>
            </w:r>
          </w:p>
        </w:tc>
        <w:tc>
          <w:tcPr>
            <w:tcW w:w="1360"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4</w:t>
            </w:r>
          </w:p>
        </w:tc>
        <w:tc>
          <w:tcPr>
            <w:tcW w:w="1359" w:type="dxa"/>
            <w:vAlign w:val="bottom"/>
          </w:tcPr>
          <w:p w:rsidR="009F263B" w:rsidRPr="00CF1D4B" w:rsidRDefault="009F263B" w:rsidP="00AD2C69">
            <w:pPr>
              <w:keepNext/>
              <w:tabs>
                <w:tab w:val="decimal" w:pos="674"/>
              </w:tabs>
              <w:spacing w:after="0"/>
              <w:rPr>
                <w:rFonts w:cs="Arial"/>
                <w:sz w:val="20"/>
                <w:szCs w:val="20"/>
              </w:rPr>
            </w:pPr>
            <w:r w:rsidRPr="00CF1D4B">
              <w:rPr>
                <w:rFonts w:cs="Arial"/>
                <w:sz w:val="20"/>
                <w:szCs w:val="20"/>
              </w:rPr>
              <w:t>8</w:t>
            </w:r>
          </w:p>
        </w:tc>
        <w:tc>
          <w:tcPr>
            <w:tcW w:w="1360" w:type="dxa"/>
            <w:shd w:val="clear" w:color="auto" w:fill="95B3D7" w:themeFill="accent1" w:themeFillTint="99"/>
            <w:vAlign w:val="bottom"/>
          </w:tcPr>
          <w:p w:rsidR="009F263B" w:rsidRPr="005B4EA1" w:rsidRDefault="009F263B" w:rsidP="00AD2C69">
            <w:pPr>
              <w:keepNext/>
              <w:tabs>
                <w:tab w:val="decimal" w:pos="674"/>
              </w:tabs>
              <w:spacing w:after="0"/>
              <w:rPr>
                <w:rFonts w:cs="Arial"/>
                <w:b/>
                <w:sz w:val="20"/>
                <w:szCs w:val="20"/>
              </w:rPr>
            </w:pPr>
            <w:r w:rsidRPr="005B4EA1">
              <w:rPr>
                <w:rFonts w:cs="Arial"/>
                <w:b/>
                <w:sz w:val="20"/>
                <w:szCs w:val="20"/>
              </w:rPr>
              <w:t>12</w:t>
            </w:r>
          </w:p>
        </w:tc>
      </w:tr>
      <w:tr w:rsidR="009F263B" w:rsidRPr="005B4EA1" w:rsidTr="005B4EA1">
        <w:tc>
          <w:tcPr>
            <w:tcW w:w="4858" w:type="dxa"/>
            <w:tcBorders>
              <w:bottom w:val="single" w:sz="4" w:space="0" w:color="auto"/>
            </w:tcBorders>
            <w:shd w:val="clear" w:color="auto" w:fill="95B3D7" w:themeFill="accent1" w:themeFillTint="99"/>
            <w:vAlign w:val="center"/>
          </w:tcPr>
          <w:p w:rsidR="009F263B" w:rsidRPr="005B4EA1" w:rsidRDefault="005B4EA1" w:rsidP="005B4EA1">
            <w:pPr>
              <w:spacing w:after="0"/>
              <w:jc w:val="right"/>
              <w:rPr>
                <w:rFonts w:cs="Arial"/>
                <w:b/>
                <w:sz w:val="20"/>
                <w:szCs w:val="20"/>
              </w:rPr>
            </w:pPr>
            <w:r>
              <w:rPr>
                <w:rFonts w:cs="Arial"/>
                <w:b/>
                <w:sz w:val="20"/>
                <w:szCs w:val="20"/>
              </w:rPr>
              <w:t>Total B</w:t>
            </w:r>
            <w:r w:rsidR="009F263B" w:rsidRPr="005B4EA1">
              <w:rPr>
                <w:rFonts w:cs="Arial"/>
                <w:b/>
                <w:sz w:val="20"/>
                <w:szCs w:val="20"/>
              </w:rPr>
              <w:t>urden:</w:t>
            </w:r>
          </w:p>
        </w:tc>
        <w:tc>
          <w:tcPr>
            <w:tcW w:w="1359" w:type="dxa"/>
            <w:tcBorders>
              <w:bottom w:val="single" w:sz="4" w:space="0" w:color="auto"/>
            </w:tcBorders>
            <w:shd w:val="clear" w:color="auto" w:fill="95B3D7" w:themeFill="accent1" w:themeFillTint="99"/>
            <w:vAlign w:val="bottom"/>
          </w:tcPr>
          <w:p w:rsidR="009F263B" w:rsidRPr="005B4EA1" w:rsidRDefault="009F263B" w:rsidP="005B4EA1">
            <w:pPr>
              <w:tabs>
                <w:tab w:val="decimal" w:pos="674"/>
              </w:tabs>
              <w:spacing w:after="0"/>
              <w:rPr>
                <w:rFonts w:cs="Arial"/>
                <w:b/>
                <w:sz w:val="20"/>
                <w:szCs w:val="20"/>
              </w:rPr>
            </w:pPr>
            <w:r w:rsidRPr="005B4EA1">
              <w:rPr>
                <w:rFonts w:cs="Arial"/>
                <w:b/>
                <w:noProof/>
                <w:sz w:val="20"/>
                <w:szCs w:val="20"/>
              </w:rPr>
              <w:t>9</w:t>
            </w:r>
          </w:p>
        </w:tc>
        <w:tc>
          <w:tcPr>
            <w:tcW w:w="1360" w:type="dxa"/>
            <w:tcBorders>
              <w:bottom w:val="single" w:sz="4" w:space="0" w:color="auto"/>
            </w:tcBorders>
            <w:shd w:val="clear" w:color="auto" w:fill="95B3D7" w:themeFill="accent1" w:themeFillTint="99"/>
            <w:vAlign w:val="bottom"/>
          </w:tcPr>
          <w:p w:rsidR="009F263B" w:rsidRPr="005B4EA1" w:rsidRDefault="009F263B" w:rsidP="005B4EA1">
            <w:pPr>
              <w:tabs>
                <w:tab w:val="decimal" w:pos="674"/>
              </w:tabs>
              <w:spacing w:after="0"/>
              <w:rPr>
                <w:rFonts w:cs="Arial"/>
                <w:b/>
                <w:sz w:val="20"/>
                <w:szCs w:val="20"/>
              </w:rPr>
            </w:pPr>
            <w:r w:rsidRPr="005B4EA1">
              <w:rPr>
                <w:rFonts w:cs="Arial"/>
                <w:b/>
                <w:sz w:val="20"/>
                <w:szCs w:val="20"/>
              </w:rPr>
              <w:t>637</w:t>
            </w:r>
          </w:p>
        </w:tc>
        <w:tc>
          <w:tcPr>
            <w:tcW w:w="1359" w:type="dxa"/>
            <w:tcBorders>
              <w:bottom w:val="single" w:sz="4" w:space="0" w:color="auto"/>
            </w:tcBorders>
            <w:shd w:val="clear" w:color="auto" w:fill="95B3D7" w:themeFill="accent1" w:themeFillTint="99"/>
            <w:vAlign w:val="bottom"/>
          </w:tcPr>
          <w:p w:rsidR="009F263B" w:rsidRPr="005B4EA1" w:rsidRDefault="009F263B" w:rsidP="005B4EA1">
            <w:pPr>
              <w:tabs>
                <w:tab w:val="decimal" w:pos="674"/>
              </w:tabs>
              <w:spacing w:after="0"/>
              <w:rPr>
                <w:rFonts w:cs="Arial"/>
                <w:b/>
                <w:sz w:val="20"/>
                <w:szCs w:val="20"/>
              </w:rPr>
            </w:pPr>
            <w:r w:rsidRPr="005B4EA1">
              <w:rPr>
                <w:rFonts w:cs="Arial"/>
                <w:b/>
                <w:sz w:val="20"/>
                <w:szCs w:val="20"/>
              </w:rPr>
              <w:t>31</w:t>
            </w:r>
          </w:p>
        </w:tc>
        <w:tc>
          <w:tcPr>
            <w:tcW w:w="1360" w:type="dxa"/>
            <w:tcBorders>
              <w:bottom w:val="single" w:sz="4" w:space="0" w:color="auto"/>
            </w:tcBorders>
            <w:shd w:val="clear" w:color="auto" w:fill="95B3D7" w:themeFill="accent1" w:themeFillTint="99"/>
            <w:vAlign w:val="bottom"/>
          </w:tcPr>
          <w:p w:rsidR="009F263B" w:rsidRPr="005B4EA1" w:rsidRDefault="009F263B" w:rsidP="005B4EA1">
            <w:pPr>
              <w:tabs>
                <w:tab w:val="decimal" w:pos="674"/>
              </w:tabs>
              <w:spacing w:after="0"/>
              <w:rPr>
                <w:rFonts w:cs="Arial"/>
                <w:b/>
                <w:sz w:val="20"/>
                <w:szCs w:val="20"/>
              </w:rPr>
            </w:pPr>
            <w:r w:rsidRPr="005B4EA1">
              <w:rPr>
                <w:rFonts w:cs="Arial"/>
                <w:b/>
                <w:sz w:val="20"/>
                <w:szCs w:val="20"/>
              </w:rPr>
              <w:t>677</w:t>
            </w:r>
          </w:p>
        </w:tc>
      </w:tr>
      <w:tr w:rsidR="00E35878" w:rsidRPr="005B4EA1" w:rsidTr="005B4EA1">
        <w:tc>
          <w:tcPr>
            <w:tcW w:w="10296" w:type="dxa"/>
            <w:gridSpan w:val="5"/>
            <w:tcBorders>
              <w:left w:val="nil"/>
              <w:bottom w:val="nil"/>
              <w:right w:val="nil"/>
            </w:tcBorders>
            <w:vAlign w:val="center"/>
          </w:tcPr>
          <w:p w:rsidR="00E35878" w:rsidRPr="005B4EA1" w:rsidRDefault="00E35878" w:rsidP="005B4EA1">
            <w:pPr>
              <w:spacing w:after="0"/>
              <w:rPr>
                <w:rFonts w:cs="Arial"/>
                <w:sz w:val="18"/>
                <w:szCs w:val="20"/>
              </w:rPr>
            </w:pPr>
            <w:r w:rsidRPr="005B4EA1">
              <w:rPr>
                <w:rFonts w:cs="Arial"/>
                <w:sz w:val="18"/>
                <w:szCs w:val="20"/>
              </w:rPr>
              <w:t>(a) Activities described in more detail in section 5(a) of this ICR.</w:t>
            </w:r>
          </w:p>
        </w:tc>
      </w:tr>
      <w:tr w:rsidR="005B4EA1" w:rsidRPr="005B4EA1" w:rsidTr="005B4EA1">
        <w:tc>
          <w:tcPr>
            <w:tcW w:w="10296" w:type="dxa"/>
            <w:gridSpan w:val="5"/>
            <w:tcBorders>
              <w:top w:val="nil"/>
              <w:left w:val="nil"/>
              <w:bottom w:val="nil"/>
              <w:right w:val="nil"/>
            </w:tcBorders>
            <w:vAlign w:val="center"/>
          </w:tcPr>
          <w:p w:rsidR="005B4EA1" w:rsidRPr="005B4EA1" w:rsidRDefault="005B4EA1" w:rsidP="005B4EA1">
            <w:pPr>
              <w:spacing w:after="0"/>
              <w:rPr>
                <w:rFonts w:cs="Arial"/>
                <w:sz w:val="18"/>
                <w:szCs w:val="20"/>
              </w:rPr>
            </w:pPr>
            <w:r w:rsidRPr="005B4EA1">
              <w:rPr>
                <w:rFonts w:cs="Arial"/>
                <w:sz w:val="18"/>
                <w:szCs w:val="20"/>
              </w:rPr>
              <w:t>(b) This estimate includes an estimated burden to provide any additional burden requested for an option.</w:t>
            </w:r>
          </w:p>
        </w:tc>
      </w:tr>
      <w:tr w:rsidR="005B4EA1" w:rsidRPr="005B4EA1" w:rsidTr="005B4EA1">
        <w:tc>
          <w:tcPr>
            <w:tcW w:w="10296" w:type="dxa"/>
            <w:gridSpan w:val="5"/>
            <w:tcBorders>
              <w:top w:val="nil"/>
              <w:left w:val="nil"/>
              <w:bottom w:val="nil"/>
              <w:right w:val="nil"/>
            </w:tcBorders>
            <w:vAlign w:val="center"/>
          </w:tcPr>
          <w:p w:rsidR="005B4EA1" w:rsidRPr="005B4EA1" w:rsidRDefault="005B4EA1" w:rsidP="005B4EA1">
            <w:pPr>
              <w:spacing w:after="0"/>
              <w:rPr>
                <w:rFonts w:cs="Arial"/>
                <w:sz w:val="18"/>
                <w:szCs w:val="20"/>
              </w:rPr>
            </w:pPr>
            <w:r w:rsidRPr="005B4EA1">
              <w:rPr>
                <w:rFonts w:cs="Arial"/>
                <w:sz w:val="18"/>
                <w:szCs w:val="20"/>
              </w:rPr>
              <w:t>(</w:t>
            </w:r>
            <w:proofErr w:type="gramStart"/>
            <w:r w:rsidRPr="005B4EA1">
              <w:rPr>
                <w:rFonts w:cs="Arial"/>
                <w:sz w:val="18"/>
                <w:szCs w:val="20"/>
              </w:rPr>
              <w:t>c</w:t>
            </w:r>
            <w:proofErr w:type="gramEnd"/>
            <w:r w:rsidRPr="005B4EA1">
              <w:rPr>
                <w:rFonts w:cs="Arial"/>
                <w:sz w:val="18"/>
                <w:szCs w:val="20"/>
              </w:rPr>
              <w:t>) Assumes 40 hrs per assay (40 x 11).</w:t>
            </w:r>
          </w:p>
        </w:tc>
      </w:tr>
      <w:tr w:rsidR="005B4EA1" w:rsidRPr="005B4EA1" w:rsidTr="005B4EA1">
        <w:tc>
          <w:tcPr>
            <w:tcW w:w="10296" w:type="dxa"/>
            <w:gridSpan w:val="5"/>
            <w:tcBorders>
              <w:top w:val="nil"/>
              <w:left w:val="nil"/>
              <w:bottom w:val="nil"/>
              <w:right w:val="nil"/>
            </w:tcBorders>
            <w:vAlign w:val="center"/>
          </w:tcPr>
          <w:p w:rsidR="005B4EA1" w:rsidRPr="005B4EA1" w:rsidRDefault="005B4EA1" w:rsidP="00784BF5">
            <w:pPr>
              <w:spacing w:after="0"/>
              <w:rPr>
                <w:rFonts w:cs="Arial"/>
                <w:sz w:val="18"/>
                <w:szCs w:val="20"/>
              </w:rPr>
            </w:pPr>
            <w:r w:rsidRPr="005B4EA1">
              <w:rPr>
                <w:rFonts w:cs="Arial"/>
                <w:sz w:val="18"/>
                <w:szCs w:val="20"/>
              </w:rPr>
              <w:t>(d) Assumes 8 hrs per assay (8 x 11).</w:t>
            </w:r>
          </w:p>
        </w:tc>
      </w:tr>
    </w:tbl>
    <w:p w:rsidR="00E35878" w:rsidRDefault="00E35878" w:rsidP="002F2414">
      <w:pPr>
        <w:spacing w:before="240"/>
      </w:pPr>
      <w:r>
        <w:t xml:space="preserve">The costs are calculated using the </w:t>
      </w:r>
      <w:r w:rsidR="00D5348B" w:rsidRPr="00D5348B">
        <w:t>U.S. Department of Labor, Bureau of Labor Statistics</w:t>
      </w:r>
      <w:r w:rsidR="00D5348B">
        <w:t xml:space="preserve"> data</w:t>
      </w:r>
      <w:r w:rsidR="00D5348B">
        <w:rPr>
          <w:rStyle w:val="FootnoteReference"/>
        </w:rPr>
        <w:footnoteReference w:id="15"/>
      </w:r>
      <w:r w:rsidR="00D5348B">
        <w:t xml:space="preserve"> and the methods</w:t>
      </w:r>
      <w:r>
        <w:t xml:space="preserve"> identified in section 6(</w:t>
      </w:r>
      <w:r w:rsidR="00C90C7B">
        <w:t>a</w:t>
      </w:r>
      <w:proofErr w:type="gramStart"/>
      <w:r>
        <w:t>)(</w:t>
      </w:r>
      <w:proofErr w:type="spellStart"/>
      <w:proofErr w:type="gramEnd"/>
      <w:r>
        <w:t>i</w:t>
      </w:r>
      <w:proofErr w:type="spellEnd"/>
      <w:r>
        <w:t>) of this ICR</w:t>
      </w:r>
      <w:r w:rsidR="00D5348B">
        <w:t xml:space="preserve"> based on </w:t>
      </w:r>
      <w:r w:rsidR="005E1B6C">
        <w:t xml:space="preserve">the </w:t>
      </w:r>
      <w:r w:rsidR="00D5348B" w:rsidRPr="00D5348B">
        <w:t>NAICS 999100</w:t>
      </w:r>
      <w:r w:rsidR="00D5348B">
        <w:t>,</w:t>
      </w:r>
      <w:r w:rsidR="00D5348B" w:rsidRPr="00D5348B">
        <w:t xml:space="preserve"> Federal Executive Branch</w:t>
      </w:r>
      <w:r>
        <w:t>.</w:t>
      </w:r>
      <w:r w:rsidR="000C6CB0">
        <w:t xml:space="preserve"> </w:t>
      </w:r>
      <w:r w:rsidR="00A31A91" w:rsidRPr="00A31A91">
        <w:t xml:space="preserve">The </w:t>
      </w:r>
      <w:r w:rsidR="00A31A91">
        <w:t xml:space="preserve">resulting </w:t>
      </w:r>
      <w:r w:rsidR="00A31A91" w:rsidRPr="00A31A91">
        <w:t>loaded labor rates were used to calculate these costs:  Managerial = $</w:t>
      </w:r>
      <w:r w:rsidR="00A31A91">
        <w:t>118.62</w:t>
      </w:r>
      <w:r w:rsidR="00A31A91" w:rsidRPr="00A31A91">
        <w:t>; Technical = $</w:t>
      </w:r>
      <w:r w:rsidR="00A31A91">
        <w:t>76.74</w:t>
      </w:r>
      <w:r w:rsidR="00A31A91" w:rsidRPr="00A31A91">
        <w:t>; and Clerical = $</w:t>
      </w:r>
      <w:r w:rsidR="00A31A91">
        <w:t>43.43</w:t>
      </w:r>
      <w:r w:rsidR="00A31A91" w:rsidRPr="00A31A91">
        <w:t>.</w:t>
      </w:r>
      <w:r w:rsidR="00804A22">
        <w:t xml:space="preserve"> </w:t>
      </w:r>
      <w:r>
        <w:t xml:space="preserve">The estimated burden hour costs for the </w:t>
      </w:r>
      <w:r w:rsidR="00CF1D4B">
        <w:t>agency</w:t>
      </w:r>
      <w:r>
        <w:t xml:space="preserve"> are presented in Table 1</w:t>
      </w:r>
      <w:r w:rsidR="009F263B">
        <w:t>5</w:t>
      </w:r>
      <w:r>
        <w:t>.</w:t>
      </w:r>
      <w:r w:rsidR="000C6CB0">
        <w:t xml:space="preserve"> </w:t>
      </w:r>
      <w:r>
        <w:t xml:space="preserve">To calculate the total potential </w:t>
      </w:r>
      <w:r w:rsidR="00CF1D4B">
        <w:t>agency</w:t>
      </w:r>
      <w:r>
        <w:t xml:space="preserve"> costs over the three years, </w:t>
      </w:r>
      <w:r w:rsidR="002F2414">
        <w:t>the EPA</w:t>
      </w:r>
      <w:r>
        <w:t xml:space="preserve"> has multiplied </w:t>
      </w:r>
      <w:proofErr w:type="gramStart"/>
      <w:r>
        <w:t>the per</w:t>
      </w:r>
      <w:proofErr w:type="gramEnd"/>
      <w:r>
        <w:t xml:space="preserve"> chemical cost in Table 1</w:t>
      </w:r>
      <w:r w:rsidR="009F263B">
        <w:t>4</w:t>
      </w:r>
      <w:r>
        <w:t xml:space="preserve"> by the total number of chemicals (</w:t>
      </w:r>
      <w:r w:rsidRPr="00674E1C">
        <w:t>$</w:t>
      </w:r>
      <w:r w:rsidR="005E1B6C" w:rsidRPr="00674E1C">
        <w:t>51,297</w:t>
      </w:r>
      <w:r w:rsidR="009F263B" w:rsidRPr="009F263B">
        <w:t xml:space="preserve"> </w:t>
      </w:r>
      <w:r>
        <w:t xml:space="preserve">x </w:t>
      </w:r>
      <w:r w:rsidR="00B24D1E">
        <w:t>52</w:t>
      </w:r>
      <w:r>
        <w:t xml:space="preserve"> chemicals = </w:t>
      </w:r>
      <w:r w:rsidRPr="00674E1C">
        <w:t>$</w:t>
      </w:r>
      <w:r w:rsidR="00B24D1E" w:rsidRPr="00B24D1E">
        <w:t>2,667,444</w:t>
      </w:r>
      <w:r>
        <w:t>).</w:t>
      </w:r>
    </w:p>
    <w:p w:rsidR="00E35878" w:rsidRPr="002F2414" w:rsidRDefault="008F07BA" w:rsidP="002F2414">
      <w:pPr>
        <w:pStyle w:val="TableCaption"/>
      </w:pPr>
      <w:r w:rsidRPr="002F2414">
        <w:lastRenderedPageBreak/>
        <w:t xml:space="preserve">Table 15 – Estimated Agency </w:t>
      </w:r>
      <w:proofErr w:type="gramStart"/>
      <w:r w:rsidRPr="002F2414">
        <w:t>Per</w:t>
      </w:r>
      <w:proofErr w:type="gramEnd"/>
      <w:r w:rsidRPr="002F2414">
        <w:t xml:space="preserve"> Chemical Burden Hour Costs</w:t>
      </w:r>
    </w:p>
    <w:tbl>
      <w:tblPr>
        <w:tblStyle w:val="TableGrid"/>
        <w:tblW w:w="0" w:type="auto"/>
        <w:tblLayout w:type="fixed"/>
        <w:tblLook w:val="01E0"/>
      </w:tblPr>
      <w:tblGrid>
        <w:gridCol w:w="4693"/>
        <w:gridCol w:w="1400"/>
        <w:gridCol w:w="1401"/>
        <w:gridCol w:w="1401"/>
        <w:gridCol w:w="1401"/>
      </w:tblGrid>
      <w:tr w:rsidR="005B4EA1" w:rsidRPr="00D5348B" w:rsidTr="007D3345">
        <w:trPr>
          <w:cantSplit/>
          <w:tblHeader/>
        </w:trPr>
        <w:tc>
          <w:tcPr>
            <w:tcW w:w="4693" w:type="dxa"/>
            <w:vMerge w:val="restart"/>
            <w:shd w:val="clear" w:color="auto" w:fill="8DB3E2" w:themeFill="text2" w:themeFillTint="66"/>
            <w:vAlign w:val="bottom"/>
          </w:tcPr>
          <w:p w:rsidR="005B4EA1" w:rsidRPr="00D5348B" w:rsidRDefault="005B4EA1" w:rsidP="004D4738">
            <w:pPr>
              <w:keepNext/>
              <w:spacing w:after="0"/>
              <w:rPr>
                <w:b/>
                <w:sz w:val="20"/>
                <w:szCs w:val="20"/>
              </w:rPr>
            </w:pPr>
            <w:r w:rsidRPr="00D5348B">
              <w:rPr>
                <w:b/>
                <w:sz w:val="20"/>
                <w:szCs w:val="20"/>
              </w:rPr>
              <w:t>Activity</w:t>
            </w:r>
            <w:r w:rsidRPr="009A0E80">
              <w:rPr>
                <w:b/>
                <w:sz w:val="20"/>
                <w:szCs w:val="20"/>
                <w:vertAlign w:val="superscript"/>
              </w:rPr>
              <w:t>(a)</w:t>
            </w:r>
          </w:p>
        </w:tc>
        <w:tc>
          <w:tcPr>
            <w:tcW w:w="1400" w:type="dxa"/>
            <w:shd w:val="clear" w:color="auto" w:fill="8DB3E2" w:themeFill="text2" w:themeFillTint="66"/>
          </w:tcPr>
          <w:p w:rsidR="005B4EA1" w:rsidRPr="00D5348B" w:rsidRDefault="005B4EA1" w:rsidP="004D4738">
            <w:pPr>
              <w:pStyle w:val="TableSmall"/>
              <w:keepNext/>
              <w:spacing w:after="0"/>
              <w:jc w:val="center"/>
              <w:rPr>
                <w:b/>
                <w:sz w:val="20"/>
                <w:szCs w:val="20"/>
              </w:rPr>
            </w:pPr>
            <w:r w:rsidRPr="00D5348B">
              <w:rPr>
                <w:b/>
                <w:sz w:val="20"/>
                <w:szCs w:val="20"/>
              </w:rPr>
              <w:t>Managerial</w:t>
            </w:r>
          </w:p>
        </w:tc>
        <w:tc>
          <w:tcPr>
            <w:tcW w:w="1401" w:type="dxa"/>
            <w:shd w:val="clear" w:color="auto" w:fill="8DB3E2" w:themeFill="text2" w:themeFillTint="66"/>
          </w:tcPr>
          <w:p w:rsidR="005B4EA1" w:rsidRPr="00D5348B" w:rsidRDefault="005B4EA1" w:rsidP="004D4738">
            <w:pPr>
              <w:pStyle w:val="TableSmall"/>
              <w:keepNext/>
              <w:spacing w:after="0"/>
              <w:jc w:val="center"/>
              <w:rPr>
                <w:b/>
                <w:sz w:val="20"/>
                <w:szCs w:val="20"/>
              </w:rPr>
            </w:pPr>
            <w:r w:rsidRPr="00D5348B">
              <w:rPr>
                <w:b/>
                <w:sz w:val="20"/>
                <w:szCs w:val="20"/>
              </w:rPr>
              <w:t>Technical</w:t>
            </w:r>
          </w:p>
        </w:tc>
        <w:tc>
          <w:tcPr>
            <w:tcW w:w="1401" w:type="dxa"/>
            <w:shd w:val="clear" w:color="auto" w:fill="8DB3E2" w:themeFill="text2" w:themeFillTint="66"/>
          </w:tcPr>
          <w:p w:rsidR="005B4EA1" w:rsidRPr="00D5348B" w:rsidRDefault="005B4EA1" w:rsidP="004D4738">
            <w:pPr>
              <w:pStyle w:val="TableSmall"/>
              <w:keepNext/>
              <w:spacing w:after="0"/>
              <w:jc w:val="center"/>
              <w:rPr>
                <w:b/>
                <w:sz w:val="20"/>
                <w:szCs w:val="20"/>
              </w:rPr>
            </w:pPr>
            <w:r w:rsidRPr="00D5348B">
              <w:rPr>
                <w:b/>
                <w:sz w:val="20"/>
                <w:szCs w:val="20"/>
              </w:rPr>
              <w:t>Clerical</w:t>
            </w:r>
          </w:p>
        </w:tc>
        <w:tc>
          <w:tcPr>
            <w:tcW w:w="1401" w:type="dxa"/>
            <w:vMerge w:val="restart"/>
            <w:shd w:val="clear" w:color="auto" w:fill="8DB3E2" w:themeFill="text2" w:themeFillTint="66"/>
            <w:vAlign w:val="bottom"/>
          </w:tcPr>
          <w:p w:rsidR="005B4EA1" w:rsidRPr="00D5348B" w:rsidRDefault="005B4EA1" w:rsidP="004D4738">
            <w:pPr>
              <w:pStyle w:val="TableSmall"/>
              <w:keepNext/>
              <w:spacing w:after="0"/>
              <w:jc w:val="center"/>
              <w:rPr>
                <w:b/>
                <w:sz w:val="20"/>
                <w:szCs w:val="20"/>
              </w:rPr>
            </w:pPr>
            <w:r w:rsidRPr="00D5348B">
              <w:rPr>
                <w:b/>
                <w:sz w:val="20"/>
                <w:szCs w:val="20"/>
              </w:rPr>
              <w:t>Total</w:t>
            </w:r>
          </w:p>
        </w:tc>
      </w:tr>
      <w:tr w:rsidR="005B4EA1" w:rsidRPr="00D5348B" w:rsidTr="007D3345">
        <w:trPr>
          <w:cantSplit/>
          <w:tblHeader/>
        </w:trPr>
        <w:tc>
          <w:tcPr>
            <w:tcW w:w="4693" w:type="dxa"/>
            <w:vMerge/>
            <w:shd w:val="clear" w:color="auto" w:fill="E0E0E0"/>
            <w:vAlign w:val="bottom"/>
          </w:tcPr>
          <w:p w:rsidR="005B4EA1" w:rsidRPr="00D5348B" w:rsidRDefault="005B4EA1" w:rsidP="004D4738">
            <w:pPr>
              <w:keepNext/>
              <w:spacing w:after="0"/>
              <w:jc w:val="center"/>
              <w:rPr>
                <w:b/>
                <w:sz w:val="20"/>
                <w:szCs w:val="20"/>
              </w:rPr>
            </w:pPr>
          </w:p>
        </w:tc>
        <w:tc>
          <w:tcPr>
            <w:tcW w:w="1400" w:type="dxa"/>
            <w:shd w:val="clear" w:color="auto" w:fill="8DB3E2" w:themeFill="text2" w:themeFillTint="66"/>
          </w:tcPr>
          <w:p w:rsidR="005B4EA1" w:rsidRPr="00D5348B" w:rsidRDefault="00D5348B" w:rsidP="004D4738">
            <w:pPr>
              <w:pStyle w:val="TableSmall"/>
              <w:keepNext/>
              <w:spacing w:after="0"/>
              <w:jc w:val="center"/>
              <w:rPr>
                <w:b/>
                <w:color w:val="000000"/>
                <w:sz w:val="20"/>
                <w:szCs w:val="20"/>
              </w:rPr>
            </w:pPr>
            <w:r>
              <w:rPr>
                <w:b/>
                <w:color w:val="000000"/>
                <w:sz w:val="20"/>
                <w:szCs w:val="20"/>
              </w:rPr>
              <w:t>$</w:t>
            </w:r>
            <w:r w:rsidR="005B4EA1" w:rsidRPr="00D5348B">
              <w:rPr>
                <w:b/>
                <w:color w:val="000000"/>
                <w:sz w:val="20"/>
                <w:szCs w:val="20"/>
              </w:rPr>
              <w:t>118.62</w:t>
            </w:r>
          </w:p>
        </w:tc>
        <w:tc>
          <w:tcPr>
            <w:tcW w:w="1401" w:type="dxa"/>
            <w:shd w:val="clear" w:color="auto" w:fill="8DB3E2" w:themeFill="text2" w:themeFillTint="66"/>
          </w:tcPr>
          <w:p w:rsidR="005B4EA1" w:rsidRPr="00D5348B" w:rsidRDefault="00D5348B" w:rsidP="004D4738">
            <w:pPr>
              <w:pStyle w:val="TableSmall"/>
              <w:keepNext/>
              <w:spacing w:after="0"/>
              <w:jc w:val="center"/>
              <w:rPr>
                <w:b/>
                <w:color w:val="000000"/>
                <w:sz w:val="20"/>
                <w:szCs w:val="20"/>
              </w:rPr>
            </w:pPr>
            <w:r>
              <w:rPr>
                <w:b/>
                <w:color w:val="000000"/>
                <w:sz w:val="20"/>
                <w:szCs w:val="20"/>
              </w:rPr>
              <w:t>$</w:t>
            </w:r>
            <w:r w:rsidR="005B4EA1" w:rsidRPr="00D5348B">
              <w:rPr>
                <w:b/>
                <w:color w:val="000000"/>
                <w:sz w:val="20"/>
                <w:szCs w:val="20"/>
              </w:rPr>
              <w:t>76.74</w:t>
            </w:r>
          </w:p>
        </w:tc>
        <w:tc>
          <w:tcPr>
            <w:tcW w:w="1401" w:type="dxa"/>
            <w:shd w:val="clear" w:color="auto" w:fill="8DB3E2" w:themeFill="text2" w:themeFillTint="66"/>
          </w:tcPr>
          <w:p w:rsidR="005B4EA1" w:rsidRPr="00D5348B" w:rsidRDefault="00D5348B" w:rsidP="004D4738">
            <w:pPr>
              <w:pStyle w:val="TableSmall"/>
              <w:keepNext/>
              <w:spacing w:after="0"/>
              <w:jc w:val="center"/>
              <w:rPr>
                <w:b/>
                <w:color w:val="000000"/>
                <w:sz w:val="20"/>
                <w:szCs w:val="20"/>
              </w:rPr>
            </w:pPr>
            <w:r>
              <w:rPr>
                <w:b/>
                <w:color w:val="000000"/>
                <w:sz w:val="20"/>
                <w:szCs w:val="20"/>
              </w:rPr>
              <w:t>$</w:t>
            </w:r>
            <w:r w:rsidR="005B4EA1" w:rsidRPr="00D5348B">
              <w:rPr>
                <w:b/>
                <w:color w:val="000000"/>
                <w:sz w:val="20"/>
                <w:szCs w:val="20"/>
              </w:rPr>
              <w:t>43.43</w:t>
            </w:r>
          </w:p>
        </w:tc>
        <w:tc>
          <w:tcPr>
            <w:tcW w:w="1401" w:type="dxa"/>
            <w:vMerge/>
            <w:shd w:val="clear" w:color="auto" w:fill="E0E0E0"/>
            <w:vAlign w:val="center"/>
          </w:tcPr>
          <w:p w:rsidR="005B4EA1" w:rsidRPr="00D5348B" w:rsidRDefault="005B4EA1" w:rsidP="004D4738">
            <w:pPr>
              <w:pStyle w:val="TableSmall"/>
              <w:keepNext/>
              <w:spacing w:after="0"/>
              <w:rPr>
                <w:b/>
                <w:sz w:val="20"/>
                <w:szCs w:val="20"/>
              </w:rPr>
            </w:pP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1) Prepare instructions</w:t>
            </w:r>
          </w:p>
        </w:tc>
        <w:tc>
          <w:tcPr>
            <w:tcW w:w="1400"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w:t>
            </w:r>
            <w:r w:rsidR="005B4EA1" w:rsidRPr="00D5348B">
              <w:rPr>
                <w:color w:val="000000"/>
                <w:sz w:val="20"/>
                <w:szCs w:val="20"/>
              </w:rPr>
              <w:t>237</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w:t>
            </w:r>
            <w:r w:rsidR="005B4EA1" w:rsidRPr="00D5348B">
              <w:rPr>
                <w:color w:val="000000"/>
                <w:sz w:val="20"/>
                <w:szCs w:val="20"/>
              </w:rPr>
              <w:t>921</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w:t>
            </w:r>
            <w:r w:rsidR="005B4EA1" w:rsidRPr="00D5348B">
              <w:rPr>
                <w:color w:val="000000"/>
                <w:sz w:val="20"/>
                <w:szCs w:val="20"/>
              </w:rPr>
              <w:t>87</w:t>
            </w:r>
          </w:p>
        </w:tc>
        <w:tc>
          <w:tcPr>
            <w:tcW w:w="1401" w:type="dxa"/>
            <w:shd w:val="clear" w:color="auto" w:fill="95B3D7" w:themeFill="accent1" w:themeFillTint="99"/>
          </w:tcPr>
          <w:p w:rsidR="005B4EA1" w:rsidRPr="00D5348B" w:rsidRDefault="00D5348B" w:rsidP="004D4738">
            <w:pPr>
              <w:pStyle w:val="TableSmall"/>
              <w:keepNext/>
              <w:tabs>
                <w:tab w:val="decimal" w:pos="942"/>
              </w:tabs>
              <w:spacing w:after="0"/>
              <w:rPr>
                <w:color w:val="000000"/>
                <w:sz w:val="20"/>
                <w:szCs w:val="20"/>
              </w:rPr>
            </w:pPr>
            <w:r>
              <w:rPr>
                <w:color w:val="000000"/>
                <w:sz w:val="20"/>
                <w:szCs w:val="20"/>
              </w:rPr>
              <w:t>$</w:t>
            </w:r>
            <w:r w:rsidR="005B4EA1" w:rsidRPr="00D5348B">
              <w:rPr>
                <w:color w:val="000000"/>
                <w:sz w:val="20"/>
                <w:szCs w:val="20"/>
              </w:rPr>
              <w:t>1,245</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2) Identify chemicals to be screened</w:t>
            </w:r>
          </w:p>
        </w:tc>
        <w:tc>
          <w:tcPr>
            <w:tcW w:w="1400"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237</w:t>
            </w:r>
          </w:p>
        </w:tc>
        <w:tc>
          <w:tcPr>
            <w:tcW w:w="1401" w:type="dxa"/>
          </w:tcPr>
          <w:p w:rsidR="005B4EA1" w:rsidRPr="00D5348B" w:rsidRDefault="004D4738" w:rsidP="004D4738">
            <w:pPr>
              <w:pStyle w:val="TableSmall"/>
              <w:keepNext/>
              <w:tabs>
                <w:tab w:val="decimal" w:pos="793"/>
              </w:tabs>
              <w:spacing w:after="0"/>
              <w:rPr>
                <w:color w:val="000000"/>
                <w:sz w:val="20"/>
                <w:szCs w:val="20"/>
              </w:rPr>
            </w:pPr>
            <w:r>
              <w:rPr>
                <w:color w:val="000000"/>
                <w:sz w:val="20"/>
                <w:szCs w:val="20"/>
              </w:rPr>
              <w:t>1,</w:t>
            </w:r>
            <w:r w:rsidR="005B4EA1" w:rsidRPr="00D5348B">
              <w:rPr>
                <w:color w:val="000000"/>
                <w:sz w:val="20"/>
                <w:szCs w:val="20"/>
              </w:rPr>
              <w:t>612</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87</w:t>
            </w:r>
          </w:p>
        </w:tc>
        <w:tc>
          <w:tcPr>
            <w:tcW w:w="1401" w:type="dxa"/>
            <w:shd w:val="clear" w:color="auto" w:fill="95B3D7" w:themeFill="accent1" w:themeFillTint="99"/>
          </w:tcPr>
          <w:p w:rsidR="005B4EA1" w:rsidRPr="00D5348B" w:rsidRDefault="007D3345" w:rsidP="004D4738">
            <w:pPr>
              <w:pStyle w:val="TableSmall"/>
              <w:keepNext/>
              <w:tabs>
                <w:tab w:val="decimal" w:pos="942"/>
              </w:tabs>
              <w:spacing w:after="0"/>
              <w:rPr>
                <w:color w:val="000000"/>
                <w:sz w:val="20"/>
                <w:szCs w:val="20"/>
              </w:rPr>
            </w:pPr>
            <w:r>
              <w:rPr>
                <w:color w:val="000000"/>
                <w:sz w:val="20"/>
                <w:szCs w:val="20"/>
              </w:rPr>
              <w:t>1,</w:t>
            </w:r>
            <w:r w:rsidR="005B4EA1" w:rsidRPr="00D5348B">
              <w:rPr>
                <w:color w:val="000000"/>
                <w:sz w:val="20"/>
                <w:szCs w:val="20"/>
              </w:rPr>
              <w:t>936</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3) Identify recipients</w:t>
            </w:r>
          </w:p>
        </w:tc>
        <w:tc>
          <w:tcPr>
            <w:tcW w:w="1400"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237</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1,228</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shd w:val="clear" w:color="auto" w:fill="95B3D7" w:themeFill="accent1" w:themeFillTint="99"/>
          </w:tcPr>
          <w:p w:rsidR="005B4EA1" w:rsidRPr="00D5348B" w:rsidRDefault="007D3345" w:rsidP="004D4738">
            <w:pPr>
              <w:pStyle w:val="TableSmall"/>
              <w:keepNext/>
              <w:tabs>
                <w:tab w:val="decimal" w:pos="942"/>
              </w:tabs>
              <w:spacing w:after="0"/>
              <w:rPr>
                <w:color w:val="000000"/>
                <w:sz w:val="20"/>
                <w:szCs w:val="20"/>
              </w:rPr>
            </w:pPr>
            <w:r>
              <w:rPr>
                <w:color w:val="000000"/>
                <w:sz w:val="20"/>
                <w:szCs w:val="20"/>
              </w:rPr>
              <w:t>1,</w:t>
            </w:r>
            <w:r w:rsidR="005B4EA1" w:rsidRPr="00D5348B">
              <w:rPr>
                <w:color w:val="000000"/>
                <w:sz w:val="20"/>
                <w:szCs w:val="20"/>
              </w:rPr>
              <w:t>465</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4) Prepare the 408(p) order packages</w:t>
            </w:r>
          </w:p>
        </w:tc>
        <w:tc>
          <w:tcPr>
            <w:tcW w:w="1400"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307</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434</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741</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5) Review</w:t>
            </w:r>
            <w:r w:rsidR="00674E1C">
              <w:rPr>
                <w:sz w:val="20"/>
                <w:szCs w:val="20"/>
              </w:rPr>
              <w:t xml:space="preserve"> and </w:t>
            </w:r>
            <w:r w:rsidRPr="00D5348B">
              <w:rPr>
                <w:sz w:val="20"/>
                <w:szCs w:val="20"/>
              </w:rPr>
              <w:t>approve the orders</w:t>
            </w:r>
          </w:p>
        </w:tc>
        <w:tc>
          <w:tcPr>
            <w:tcW w:w="1400"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237</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307</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544</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6) Issue the orders</w:t>
            </w:r>
          </w:p>
        </w:tc>
        <w:tc>
          <w:tcPr>
            <w:tcW w:w="1400"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261</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261</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7) Process initial responses</w:t>
            </w:r>
            <w:r w:rsidRPr="009A0E80">
              <w:rPr>
                <w:sz w:val="20"/>
                <w:szCs w:val="20"/>
                <w:vertAlign w:val="superscript"/>
              </w:rPr>
              <w:t>(b)</w:t>
            </w:r>
          </w:p>
        </w:tc>
        <w:tc>
          <w:tcPr>
            <w:tcW w:w="1400"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119</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307</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43</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469</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8) Provide assistance</w:t>
            </w:r>
            <w:r w:rsidR="00674E1C">
              <w:rPr>
                <w:sz w:val="20"/>
                <w:szCs w:val="20"/>
              </w:rPr>
              <w:t xml:space="preserve"> and </w:t>
            </w:r>
            <w:r w:rsidRPr="00D5348B">
              <w:rPr>
                <w:sz w:val="20"/>
                <w:szCs w:val="20"/>
              </w:rPr>
              <w:t>follow-up, as needed</w:t>
            </w:r>
          </w:p>
        </w:tc>
        <w:tc>
          <w:tcPr>
            <w:tcW w:w="1400"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2,763</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2,763</w:t>
            </w:r>
          </w:p>
        </w:tc>
      </w:tr>
      <w:tr w:rsidR="005B4EA1" w:rsidRPr="00D5348B" w:rsidTr="007D3345">
        <w:trPr>
          <w:cantSplit/>
        </w:trPr>
        <w:tc>
          <w:tcPr>
            <w:tcW w:w="4693" w:type="dxa"/>
          </w:tcPr>
          <w:p w:rsidR="005B4EA1" w:rsidRPr="00D5348B" w:rsidRDefault="005B4EA1" w:rsidP="004D4738">
            <w:pPr>
              <w:keepNext/>
              <w:spacing w:after="0"/>
              <w:rPr>
                <w:sz w:val="20"/>
                <w:szCs w:val="20"/>
              </w:rPr>
            </w:pPr>
            <w:r w:rsidRPr="00D5348B">
              <w:rPr>
                <w:sz w:val="20"/>
                <w:szCs w:val="20"/>
              </w:rPr>
              <w:t>9) Identify non-responders</w:t>
            </w:r>
          </w:p>
        </w:tc>
        <w:tc>
          <w:tcPr>
            <w:tcW w:w="1400"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D5348B" w:rsidP="004D4738">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4D4738">
            <w:pPr>
              <w:pStyle w:val="TableSmall"/>
              <w:keepNext/>
              <w:tabs>
                <w:tab w:val="decimal" w:pos="793"/>
              </w:tabs>
              <w:spacing w:after="0"/>
              <w:rPr>
                <w:color w:val="000000"/>
                <w:sz w:val="20"/>
                <w:szCs w:val="20"/>
              </w:rPr>
            </w:pPr>
            <w:r w:rsidRPr="00D5348B">
              <w:rPr>
                <w:color w:val="000000"/>
                <w:sz w:val="20"/>
                <w:szCs w:val="20"/>
              </w:rPr>
              <w:t>43</w:t>
            </w:r>
          </w:p>
        </w:tc>
        <w:tc>
          <w:tcPr>
            <w:tcW w:w="1401" w:type="dxa"/>
            <w:shd w:val="clear" w:color="auto" w:fill="95B3D7" w:themeFill="accent1" w:themeFillTint="99"/>
          </w:tcPr>
          <w:p w:rsidR="005B4EA1" w:rsidRPr="00D5348B" w:rsidRDefault="005B4EA1" w:rsidP="004D4738">
            <w:pPr>
              <w:pStyle w:val="TableSmall"/>
              <w:keepNext/>
              <w:tabs>
                <w:tab w:val="decimal" w:pos="942"/>
              </w:tabs>
              <w:spacing w:after="0"/>
              <w:rPr>
                <w:color w:val="000000"/>
                <w:sz w:val="20"/>
                <w:szCs w:val="20"/>
              </w:rPr>
            </w:pPr>
            <w:r w:rsidRPr="00D5348B">
              <w:rPr>
                <w:color w:val="000000"/>
                <w:sz w:val="20"/>
                <w:szCs w:val="20"/>
              </w:rPr>
              <w:t>43</w:t>
            </w:r>
          </w:p>
        </w:tc>
      </w:tr>
      <w:tr w:rsidR="005B4EA1" w:rsidRPr="00D5348B" w:rsidTr="007D3345">
        <w:trPr>
          <w:cantSplit/>
        </w:trPr>
        <w:tc>
          <w:tcPr>
            <w:tcW w:w="4693" w:type="dxa"/>
          </w:tcPr>
          <w:p w:rsidR="005B4EA1" w:rsidRPr="00D5348B" w:rsidRDefault="005B4EA1" w:rsidP="00AD2C69">
            <w:pPr>
              <w:keepNext/>
              <w:spacing w:after="0"/>
              <w:rPr>
                <w:sz w:val="20"/>
                <w:szCs w:val="20"/>
              </w:rPr>
            </w:pPr>
            <w:r w:rsidRPr="00D5348B">
              <w:rPr>
                <w:sz w:val="20"/>
                <w:szCs w:val="20"/>
              </w:rPr>
              <w:t>10) Process Data Submissions</w:t>
            </w:r>
          </w:p>
        </w:tc>
        <w:tc>
          <w:tcPr>
            <w:tcW w:w="1400"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614</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43</w:t>
            </w:r>
          </w:p>
        </w:tc>
        <w:tc>
          <w:tcPr>
            <w:tcW w:w="1401" w:type="dxa"/>
            <w:shd w:val="clear" w:color="auto" w:fill="95B3D7" w:themeFill="accent1" w:themeFillTint="99"/>
          </w:tcPr>
          <w:p w:rsidR="005B4EA1" w:rsidRPr="00D5348B" w:rsidRDefault="005B4EA1" w:rsidP="00AD2C69">
            <w:pPr>
              <w:pStyle w:val="TableSmall"/>
              <w:keepNext/>
              <w:tabs>
                <w:tab w:val="decimal" w:pos="942"/>
              </w:tabs>
              <w:spacing w:after="0"/>
              <w:rPr>
                <w:color w:val="000000"/>
                <w:sz w:val="20"/>
                <w:szCs w:val="20"/>
              </w:rPr>
            </w:pPr>
            <w:r w:rsidRPr="00D5348B">
              <w:rPr>
                <w:color w:val="000000"/>
                <w:sz w:val="20"/>
                <w:szCs w:val="20"/>
              </w:rPr>
              <w:t>657</w:t>
            </w:r>
          </w:p>
        </w:tc>
      </w:tr>
      <w:tr w:rsidR="005B4EA1" w:rsidRPr="00D5348B" w:rsidTr="007D3345">
        <w:trPr>
          <w:cantSplit/>
        </w:trPr>
        <w:tc>
          <w:tcPr>
            <w:tcW w:w="4693" w:type="dxa"/>
          </w:tcPr>
          <w:p w:rsidR="005B4EA1" w:rsidRPr="00D5348B" w:rsidRDefault="005B4EA1" w:rsidP="00AD2C69">
            <w:pPr>
              <w:keepNext/>
              <w:spacing w:after="0"/>
              <w:rPr>
                <w:sz w:val="20"/>
                <w:szCs w:val="20"/>
              </w:rPr>
            </w:pPr>
            <w:r w:rsidRPr="00D5348B">
              <w:rPr>
                <w:sz w:val="20"/>
                <w:szCs w:val="20"/>
              </w:rPr>
              <w:t>11) Analyze data</w:t>
            </w:r>
          </w:p>
        </w:tc>
        <w:tc>
          <w:tcPr>
            <w:tcW w:w="1400"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33,766</w:t>
            </w:r>
          </w:p>
        </w:tc>
        <w:tc>
          <w:tcPr>
            <w:tcW w:w="1401"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shd w:val="clear" w:color="auto" w:fill="95B3D7" w:themeFill="accent1" w:themeFillTint="99"/>
          </w:tcPr>
          <w:p w:rsidR="005B4EA1" w:rsidRPr="00D5348B" w:rsidRDefault="005B4EA1" w:rsidP="00AD2C69">
            <w:pPr>
              <w:pStyle w:val="TableSmall"/>
              <w:keepNext/>
              <w:tabs>
                <w:tab w:val="decimal" w:pos="942"/>
              </w:tabs>
              <w:spacing w:after="0"/>
              <w:rPr>
                <w:color w:val="000000"/>
                <w:sz w:val="20"/>
                <w:szCs w:val="20"/>
              </w:rPr>
            </w:pPr>
            <w:r w:rsidRPr="00D5348B">
              <w:rPr>
                <w:color w:val="000000"/>
                <w:sz w:val="20"/>
                <w:szCs w:val="20"/>
              </w:rPr>
              <w:t>33,766</w:t>
            </w:r>
          </w:p>
        </w:tc>
      </w:tr>
      <w:tr w:rsidR="005B4EA1" w:rsidRPr="00D5348B" w:rsidTr="007D3345">
        <w:trPr>
          <w:cantSplit/>
        </w:trPr>
        <w:tc>
          <w:tcPr>
            <w:tcW w:w="4693" w:type="dxa"/>
          </w:tcPr>
          <w:p w:rsidR="005B4EA1" w:rsidRPr="00D5348B" w:rsidRDefault="005B4EA1" w:rsidP="00AD2C69">
            <w:pPr>
              <w:keepNext/>
              <w:spacing w:after="0"/>
              <w:rPr>
                <w:sz w:val="20"/>
                <w:szCs w:val="20"/>
              </w:rPr>
            </w:pPr>
            <w:r w:rsidRPr="00D5348B">
              <w:rPr>
                <w:sz w:val="20"/>
                <w:szCs w:val="20"/>
              </w:rPr>
              <w:t>12) Incorporate data into risk assessments</w:t>
            </w:r>
          </w:p>
        </w:tc>
        <w:tc>
          <w:tcPr>
            <w:tcW w:w="1400"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6,753</w:t>
            </w:r>
          </w:p>
        </w:tc>
        <w:tc>
          <w:tcPr>
            <w:tcW w:w="1401"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shd w:val="clear" w:color="auto" w:fill="95B3D7" w:themeFill="accent1" w:themeFillTint="99"/>
          </w:tcPr>
          <w:p w:rsidR="005B4EA1" w:rsidRPr="00D5348B" w:rsidRDefault="005B4EA1" w:rsidP="00AD2C69">
            <w:pPr>
              <w:pStyle w:val="TableSmall"/>
              <w:keepNext/>
              <w:tabs>
                <w:tab w:val="decimal" w:pos="942"/>
              </w:tabs>
              <w:spacing w:after="0"/>
              <w:rPr>
                <w:color w:val="000000"/>
                <w:sz w:val="20"/>
                <w:szCs w:val="20"/>
              </w:rPr>
            </w:pPr>
            <w:r w:rsidRPr="00D5348B">
              <w:rPr>
                <w:color w:val="000000"/>
                <w:sz w:val="20"/>
                <w:szCs w:val="20"/>
              </w:rPr>
              <w:t>6,753</w:t>
            </w:r>
          </w:p>
        </w:tc>
      </w:tr>
      <w:tr w:rsidR="005B4EA1" w:rsidRPr="00D5348B" w:rsidTr="007D3345">
        <w:trPr>
          <w:cantSplit/>
        </w:trPr>
        <w:tc>
          <w:tcPr>
            <w:tcW w:w="4693" w:type="dxa"/>
          </w:tcPr>
          <w:p w:rsidR="005B4EA1" w:rsidRPr="00D5348B" w:rsidRDefault="005B4EA1" w:rsidP="00AD2C69">
            <w:pPr>
              <w:keepNext/>
              <w:spacing w:after="0"/>
              <w:rPr>
                <w:sz w:val="20"/>
                <w:szCs w:val="20"/>
              </w:rPr>
            </w:pPr>
            <w:r w:rsidRPr="00D5348B">
              <w:rPr>
                <w:sz w:val="20"/>
                <w:szCs w:val="20"/>
              </w:rPr>
              <w:t>13) Store data in retrievable system</w:t>
            </w:r>
          </w:p>
        </w:tc>
        <w:tc>
          <w:tcPr>
            <w:tcW w:w="1400" w:type="dxa"/>
          </w:tcPr>
          <w:p w:rsidR="005B4EA1" w:rsidRPr="00D5348B" w:rsidRDefault="00D5348B" w:rsidP="00AD2C69">
            <w:pPr>
              <w:pStyle w:val="TableSmall"/>
              <w:keepNext/>
              <w:tabs>
                <w:tab w:val="decimal" w:pos="793"/>
              </w:tabs>
              <w:spacing w:after="0"/>
              <w:rPr>
                <w:color w:val="000000"/>
                <w:sz w:val="20"/>
                <w:szCs w:val="20"/>
              </w:rPr>
            </w:pPr>
            <w:r>
              <w:rPr>
                <w:color w:val="000000"/>
                <w:sz w:val="20"/>
                <w:szCs w:val="20"/>
              </w:rPr>
              <w:t>0</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307</w:t>
            </w:r>
          </w:p>
        </w:tc>
        <w:tc>
          <w:tcPr>
            <w:tcW w:w="1401" w:type="dxa"/>
          </w:tcPr>
          <w:p w:rsidR="005B4EA1" w:rsidRPr="00D5348B" w:rsidRDefault="005B4EA1" w:rsidP="00AD2C69">
            <w:pPr>
              <w:pStyle w:val="TableSmall"/>
              <w:keepNext/>
              <w:tabs>
                <w:tab w:val="decimal" w:pos="793"/>
              </w:tabs>
              <w:spacing w:after="0"/>
              <w:rPr>
                <w:color w:val="000000"/>
                <w:sz w:val="20"/>
                <w:szCs w:val="20"/>
              </w:rPr>
            </w:pPr>
            <w:r w:rsidRPr="00D5348B">
              <w:rPr>
                <w:color w:val="000000"/>
                <w:sz w:val="20"/>
                <w:szCs w:val="20"/>
              </w:rPr>
              <w:t>347</w:t>
            </w:r>
          </w:p>
        </w:tc>
        <w:tc>
          <w:tcPr>
            <w:tcW w:w="1401" w:type="dxa"/>
            <w:shd w:val="clear" w:color="auto" w:fill="95B3D7" w:themeFill="accent1" w:themeFillTint="99"/>
          </w:tcPr>
          <w:p w:rsidR="005B4EA1" w:rsidRPr="00D5348B" w:rsidRDefault="005B4EA1" w:rsidP="00AD2C69">
            <w:pPr>
              <w:pStyle w:val="TableSmall"/>
              <w:keepNext/>
              <w:tabs>
                <w:tab w:val="decimal" w:pos="942"/>
              </w:tabs>
              <w:spacing w:after="0"/>
              <w:rPr>
                <w:color w:val="000000"/>
                <w:sz w:val="20"/>
                <w:szCs w:val="20"/>
              </w:rPr>
            </w:pPr>
            <w:r w:rsidRPr="00D5348B">
              <w:rPr>
                <w:color w:val="000000"/>
                <w:sz w:val="20"/>
                <w:szCs w:val="20"/>
              </w:rPr>
              <w:t>654</w:t>
            </w:r>
          </w:p>
        </w:tc>
      </w:tr>
      <w:tr w:rsidR="005B4EA1" w:rsidRPr="00D5348B" w:rsidTr="007D3345">
        <w:trPr>
          <w:cantSplit/>
        </w:trPr>
        <w:tc>
          <w:tcPr>
            <w:tcW w:w="4693" w:type="dxa"/>
            <w:tcBorders>
              <w:bottom w:val="single" w:sz="4" w:space="0" w:color="auto"/>
            </w:tcBorders>
            <w:shd w:val="clear" w:color="auto" w:fill="95B3D7" w:themeFill="accent1" w:themeFillTint="99"/>
          </w:tcPr>
          <w:p w:rsidR="005B4EA1" w:rsidRPr="00D5348B" w:rsidRDefault="005B4EA1" w:rsidP="00D5348B">
            <w:pPr>
              <w:spacing w:after="0"/>
              <w:jc w:val="right"/>
              <w:rPr>
                <w:b/>
                <w:sz w:val="20"/>
                <w:szCs w:val="20"/>
              </w:rPr>
            </w:pPr>
            <w:r w:rsidRPr="00D5348B">
              <w:rPr>
                <w:b/>
                <w:sz w:val="20"/>
                <w:szCs w:val="20"/>
              </w:rPr>
              <w:t>Total Cost:</w:t>
            </w:r>
          </w:p>
        </w:tc>
        <w:tc>
          <w:tcPr>
            <w:tcW w:w="1400" w:type="dxa"/>
            <w:tcBorders>
              <w:bottom w:val="single" w:sz="4" w:space="0" w:color="auto"/>
            </w:tcBorders>
            <w:shd w:val="clear" w:color="auto" w:fill="95B3D7" w:themeFill="accent1" w:themeFillTint="99"/>
          </w:tcPr>
          <w:p w:rsidR="005B4EA1" w:rsidRPr="00D5348B" w:rsidRDefault="00D5348B" w:rsidP="007D3345">
            <w:pPr>
              <w:pStyle w:val="TableSmall"/>
              <w:tabs>
                <w:tab w:val="decimal" w:pos="793"/>
              </w:tabs>
              <w:spacing w:after="0"/>
              <w:rPr>
                <w:b/>
                <w:color w:val="000000"/>
                <w:sz w:val="20"/>
                <w:szCs w:val="20"/>
              </w:rPr>
            </w:pPr>
            <w:r>
              <w:rPr>
                <w:b/>
                <w:color w:val="000000"/>
                <w:sz w:val="20"/>
                <w:szCs w:val="20"/>
              </w:rPr>
              <w:t>$</w:t>
            </w:r>
            <w:r w:rsidR="007D3345">
              <w:rPr>
                <w:b/>
                <w:color w:val="000000"/>
                <w:sz w:val="20"/>
                <w:szCs w:val="20"/>
              </w:rPr>
              <w:t>1,</w:t>
            </w:r>
            <w:r w:rsidR="005B4EA1" w:rsidRPr="00D5348B">
              <w:rPr>
                <w:b/>
                <w:color w:val="000000"/>
                <w:sz w:val="20"/>
                <w:szCs w:val="20"/>
              </w:rPr>
              <w:t>067</w:t>
            </w:r>
          </w:p>
        </w:tc>
        <w:tc>
          <w:tcPr>
            <w:tcW w:w="1401" w:type="dxa"/>
            <w:tcBorders>
              <w:bottom w:val="single" w:sz="4" w:space="0" w:color="auto"/>
            </w:tcBorders>
            <w:shd w:val="clear" w:color="auto" w:fill="95B3D7" w:themeFill="accent1" w:themeFillTint="99"/>
          </w:tcPr>
          <w:p w:rsidR="005B4EA1" w:rsidRPr="00D5348B" w:rsidRDefault="00D5348B" w:rsidP="00D5348B">
            <w:pPr>
              <w:pStyle w:val="TableSmall"/>
              <w:tabs>
                <w:tab w:val="decimal" w:pos="793"/>
              </w:tabs>
              <w:spacing w:after="0"/>
              <w:rPr>
                <w:b/>
                <w:color w:val="000000"/>
                <w:sz w:val="20"/>
                <w:szCs w:val="20"/>
              </w:rPr>
            </w:pPr>
            <w:r>
              <w:rPr>
                <w:b/>
                <w:color w:val="000000"/>
                <w:sz w:val="20"/>
                <w:szCs w:val="20"/>
              </w:rPr>
              <w:t>$</w:t>
            </w:r>
            <w:r w:rsidR="005B4EA1" w:rsidRPr="00D5348B">
              <w:rPr>
                <w:b/>
                <w:color w:val="000000"/>
                <w:sz w:val="20"/>
                <w:szCs w:val="20"/>
              </w:rPr>
              <w:t>48,885</w:t>
            </w:r>
          </w:p>
        </w:tc>
        <w:tc>
          <w:tcPr>
            <w:tcW w:w="1401" w:type="dxa"/>
            <w:tcBorders>
              <w:bottom w:val="single" w:sz="4" w:space="0" w:color="auto"/>
            </w:tcBorders>
            <w:shd w:val="clear" w:color="auto" w:fill="95B3D7" w:themeFill="accent1" w:themeFillTint="99"/>
          </w:tcPr>
          <w:p w:rsidR="005B4EA1" w:rsidRPr="00D5348B" w:rsidRDefault="00D5348B" w:rsidP="007D3345">
            <w:pPr>
              <w:pStyle w:val="TableSmall"/>
              <w:tabs>
                <w:tab w:val="decimal" w:pos="793"/>
              </w:tabs>
              <w:spacing w:after="0"/>
              <w:rPr>
                <w:b/>
                <w:color w:val="000000"/>
                <w:sz w:val="20"/>
                <w:szCs w:val="20"/>
              </w:rPr>
            </w:pPr>
            <w:r>
              <w:rPr>
                <w:b/>
                <w:color w:val="000000"/>
                <w:sz w:val="20"/>
                <w:szCs w:val="20"/>
              </w:rPr>
              <w:t>$</w:t>
            </w:r>
            <w:r w:rsidR="007D3345">
              <w:rPr>
                <w:b/>
                <w:color w:val="000000"/>
                <w:sz w:val="20"/>
                <w:szCs w:val="20"/>
              </w:rPr>
              <w:t>1,</w:t>
            </w:r>
            <w:r w:rsidR="005B4EA1" w:rsidRPr="00D5348B">
              <w:rPr>
                <w:b/>
                <w:color w:val="000000"/>
                <w:sz w:val="20"/>
                <w:szCs w:val="20"/>
              </w:rPr>
              <w:t>345</w:t>
            </w:r>
          </w:p>
        </w:tc>
        <w:tc>
          <w:tcPr>
            <w:tcW w:w="1401" w:type="dxa"/>
            <w:tcBorders>
              <w:bottom w:val="single" w:sz="4" w:space="0" w:color="auto"/>
            </w:tcBorders>
            <w:shd w:val="clear" w:color="auto" w:fill="95B3D7" w:themeFill="accent1" w:themeFillTint="99"/>
          </w:tcPr>
          <w:p w:rsidR="005B4EA1" w:rsidRPr="00D5348B" w:rsidRDefault="00D5348B" w:rsidP="00D5348B">
            <w:pPr>
              <w:pStyle w:val="TableSmall"/>
              <w:tabs>
                <w:tab w:val="decimal" w:pos="942"/>
              </w:tabs>
              <w:spacing w:after="0"/>
              <w:rPr>
                <w:b/>
                <w:color w:val="000000"/>
                <w:sz w:val="20"/>
                <w:szCs w:val="20"/>
              </w:rPr>
            </w:pPr>
            <w:r>
              <w:rPr>
                <w:b/>
                <w:color w:val="000000"/>
                <w:sz w:val="20"/>
                <w:szCs w:val="20"/>
              </w:rPr>
              <w:t>$</w:t>
            </w:r>
            <w:r w:rsidR="005B4EA1" w:rsidRPr="00D5348B">
              <w:rPr>
                <w:b/>
                <w:color w:val="000000"/>
                <w:sz w:val="20"/>
                <w:szCs w:val="20"/>
              </w:rPr>
              <w:t>51,297</w:t>
            </w:r>
          </w:p>
        </w:tc>
      </w:tr>
      <w:tr w:rsidR="009F263B" w:rsidRPr="009A0E80" w:rsidTr="007D3345">
        <w:trPr>
          <w:cantSplit/>
        </w:trPr>
        <w:tc>
          <w:tcPr>
            <w:tcW w:w="10296" w:type="dxa"/>
            <w:gridSpan w:val="5"/>
            <w:tcBorders>
              <w:left w:val="nil"/>
              <w:bottom w:val="nil"/>
              <w:right w:val="nil"/>
            </w:tcBorders>
          </w:tcPr>
          <w:p w:rsidR="009F263B" w:rsidRPr="009A0E80" w:rsidRDefault="009A0E80" w:rsidP="00D5348B">
            <w:pPr>
              <w:spacing w:after="0"/>
              <w:rPr>
                <w:sz w:val="18"/>
                <w:szCs w:val="18"/>
              </w:rPr>
            </w:pPr>
            <w:r w:rsidRPr="009A0E80">
              <w:rPr>
                <w:sz w:val="18"/>
                <w:szCs w:val="18"/>
              </w:rPr>
              <w:t>Key:</w:t>
            </w:r>
          </w:p>
        </w:tc>
      </w:tr>
      <w:tr w:rsidR="009A0E80" w:rsidRPr="009A0E80" w:rsidTr="007D3345">
        <w:trPr>
          <w:cantSplit/>
        </w:trPr>
        <w:tc>
          <w:tcPr>
            <w:tcW w:w="10296" w:type="dxa"/>
            <w:gridSpan w:val="5"/>
            <w:tcBorders>
              <w:top w:val="nil"/>
              <w:left w:val="nil"/>
              <w:bottom w:val="nil"/>
              <w:right w:val="nil"/>
            </w:tcBorders>
          </w:tcPr>
          <w:p w:rsidR="009A0E80" w:rsidRPr="009A0E80" w:rsidRDefault="009A0E80" w:rsidP="00F92A48">
            <w:pPr>
              <w:spacing w:after="0"/>
              <w:rPr>
                <w:sz w:val="18"/>
                <w:szCs w:val="18"/>
              </w:rPr>
            </w:pPr>
            <w:r w:rsidRPr="009A0E80">
              <w:rPr>
                <w:sz w:val="18"/>
                <w:szCs w:val="18"/>
              </w:rPr>
              <w:t>(a) Activities described in more detail in section 5(a) of this ICR.</w:t>
            </w:r>
          </w:p>
        </w:tc>
      </w:tr>
      <w:tr w:rsidR="009A0E80" w:rsidRPr="009A0E80" w:rsidTr="007D3345">
        <w:trPr>
          <w:cantSplit/>
        </w:trPr>
        <w:tc>
          <w:tcPr>
            <w:tcW w:w="10296" w:type="dxa"/>
            <w:gridSpan w:val="5"/>
            <w:tcBorders>
              <w:top w:val="nil"/>
              <w:left w:val="nil"/>
              <w:bottom w:val="nil"/>
              <w:right w:val="nil"/>
            </w:tcBorders>
          </w:tcPr>
          <w:p w:rsidR="009A0E80" w:rsidRPr="009A0E80" w:rsidRDefault="009A0E80" w:rsidP="00D5348B">
            <w:pPr>
              <w:spacing w:after="0"/>
              <w:rPr>
                <w:sz w:val="18"/>
                <w:szCs w:val="18"/>
              </w:rPr>
            </w:pPr>
            <w:r w:rsidRPr="009A0E80">
              <w:rPr>
                <w:sz w:val="18"/>
                <w:szCs w:val="18"/>
              </w:rPr>
              <w:t>(b) This estimate includes an estimated burden to provide any additional burden requested for an option.</w:t>
            </w:r>
          </w:p>
        </w:tc>
      </w:tr>
    </w:tbl>
    <w:p w:rsidR="00733994" w:rsidRDefault="001F435B" w:rsidP="002F2414">
      <w:pPr>
        <w:pStyle w:val="Heading2"/>
      </w:pPr>
      <w:r>
        <w:t>6(d)</w:t>
      </w:r>
      <w:r w:rsidR="00123223">
        <w:tab/>
      </w:r>
      <w:r>
        <w:t>Total Burden Hours and Costs for the ICR (</w:t>
      </w:r>
      <w:proofErr w:type="spellStart"/>
      <w:r>
        <w:t>Bottomline</w:t>
      </w:r>
      <w:proofErr w:type="spellEnd"/>
      <w:r>
        <w:t>)</w:t>
      </w:r>
    </w:p>
    <w:p w:rsidR="000F0DF3" w:rsidRDefault="001F435B" w:rsidP="00F16932">
      <w:r>
        <w:t xml:space="preserve">The total estimated burden and costs for the information collection activities associated with the renewal of the ICR for the </w:t>
      </w:r>
      <w:r w:rsidR="00812153">
        <w:t>initial</w:t>
      </w:r>
      <w:r>
        <w:t xml:space="preserve"> list of chemicals to be screened under the EDSP is presented in Table 1</w:t>
      </w:r>
      <w:r w:rsidR="00E35878">
        <w:t>6</w:t>
      </w:r>
      <w:r>
        <w:t>.</w:t>
      </w:r>
    </w:p>
    <w:p w:rsidR="001F435B" w:rsidRDefault="001F435B" w:rsidP="002F2414">
      <w:pPr>
        <w:pStyle w:val="TableCaption"/>
      </w:pPr>
      <w:r>
        <w:t>Table</w:t>
      </w:r>
      <w:r w:rsidR="00DB16F5">
        <w:t xml:space="preserve"> </w:t>
      </w:r>
      <w:r>
        <w:t>1</w:t>
      </w:r>
      <w:r w:rsidR="00E35878">
        <w:t>6</w:t>
      </w:r>
      <w:r w:rsidR="0076212E">
        <w:t xml:space="preserve"> </w:t>
      </w:r>
      <w:r>
        <w:t>–</w:t>
      </w:r>
      <w:r w:rsidR="0076212E">
        <w:t xml:space="preserve"> </w:t>
      </w:r>
      <w:r>
        <w:t>Estimated</w:t>
      </w:r>
      <w:r w:rsidR="0076212E">
        <w:t xml:space="preserve"> </w:t>
      </w:r>
      <w:r>
        <w:t>TOTAL</w:t>
      </w:r>
      <w:r w:rsidR="0076212E">
        <w:t xml:space="preserve"> </w:t>
      </w:r>
      <w:r w:rsidR="004D53FA">
        <w:t xml:space="preserve">Respondent </w:t>
      </w:r>
      <w:r>
        <w:t>Burden</w:t>
      </w:r>
      <w:r w:rsidR="00674E1C">
        <w:t xml:space="preserve"> and </w:t>
      </w:r>
      <w:r>
        <w:t>Costs</w:t>
      </w:r>
      <w:r w:rsidR="0076212E">
        <w:t xml:space="preserve"> </w:t>
      </w:r>
      <w:r>
        <w:t>for</w:t>
      </w:r>
      <w:r w:rsidR="0076212E">
        <w:t xml:space="preserve"> </w:t>
      </w:r>
      <w:r>
        <w:t>ALL</w:t>
      </w:r>
      <w:r w:rsidR="0076212E">
        <w:t xml:space="preserve"> </w:t>
      </w:r>
      <w:r>
        <w:t>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8"/>
        <w:gridCol w:w="1260"/>
        <w:gridCol w:w="1080"/>
        <w:gridCol w:w="1260"/>
        <w:gridCol w:w="1080"/>
        <w:gridCol w:w="1278"/>
      </w:tblGrid>
      <w:tr w:rsidR="00DA3466" w:rsidRPr="005E1B6C" w:rsidTr="00680675">
        <w:trPr>
          <w:cantSplit/>
        </w:trPr>
        <w:tc>
          <w:tcPr>
            <w:tcW w:w="4338" w:type="dxa"/>
            <w:vMerge w:val="restart"/>
            <w:shd w:val="clear" w:color="000000" w:fill="B8CCE4"/>
            <w:vAlign w:val="bottom"/>
            <w:hideMark/>
          </w:tcPr>
          <w:p w:rsidR="00DA3466" w:rsidRPr="005E1B6C" w:rsidRDefault="00DA3466" w:rsidP="00680675">
            <w:pPr>
              <w:keepNext/>
              <w:spacing w:after="0"/>
              <w:rPr>
                <w:b/>
                <w:bCs/>
                <w:sz w:val="20"/>
                <w:szCs w:val="20"/>
              </w:rPr>
            </w:pPr>
            <w:r w:rsidRPr="005E1B6C">
              <w:rPr>
                <w:b/>
                <w:bCs/>
                <w:sz w:val="20"/>
                <w:szCs w:val="20"/>
              </w:rPr>
              <w:t>Respondent Category</w:t>
            </w:r>
            <w:r w:rsidRPr="005E1B6C">
              <w:rPr>
                <w:b/>
                <w:bCs/>
                <w:sz w:val="20"/>
                <w:szCs w:val="20"/>
                <w:vertAlign w:val="superscript"/>
              </w:rPr>
              <w:t>(a)</w:t>
            </w:r>
          </w:p>
        </w:tc>
        <w:tc>
          <w:tcPr>
            <w:tcW w:w="1260" w:type="dxa"/>
            <w:vMerge w:val="restart"/>
            <w:shd w:val="clear" w:color="000000" w:fill="B8CCE4"/>
            <w:vAlign w:val="bottom"/>
            <w:hideMark/>
          </w:tcPr>
          <w:p w:rsidR="00DA3466" w:rsidRPr="005E1B6C" w:rsidRDefault="00DA3466" w:rsidP="00680675">
            <w:pPr>
              <w:keepNext/>
              <w:spacing w:after="0"/>
              <w:jc w:val="center"/>
              <w:rPr>
                <w:b/>
                <w:bCs/>
                <w:sz w:val="20"/>
                <w:szCs w:val="20"/>
              </w:rPr>
            </w:pPr>
            <w:r w:rsidRPr="005E1B6C">
              <w:rPr>
                <w:b/>
                <w:bCs/>
                <w:sz w:val="20"/>
                <w:szCs w:val="20"/>
              </w:rPr>
              <w:t>Total # Responses</w:t>
            </w:r>
            <w:r w:rsidRPr="005E1B6C">
              <w:rPr>
                <w:b/>
                <w:bCs/>
                <w:sz w:val="20"/>
                <w:szCs w:val="20"/>
                <w:vertAlign w:val="superscript"/>
              </w:rPr>
              <w:t>(b)</w:t>
            </w:r>
          </w:p>
        </w:tc>
        <w:tc>
          <w:tcPr>
            <w:tcW w:w="2340" w:type="dxa"/>
            <w:gridSpan w:val="2"/>
            <w:shd w:val="clear" w:color="000000" w:fill="B8CCE4"/>
            <w:vAlign w:val="bottom"/>
            <w:hideMark/>
          </w:tcPr>
          <w:p w:rsidR="00DA3466" w:rsidRPr="005E1B6C" w:rsidRDefault="00DA3466" w:rsidP="00680675">
            <w:pPr>
              <w:keepNext/>
              <w:spacing w:after="0"/>
              <w:jc w:val="center"/>
              <w:rPr>
                <w:b/>
                <w:bCs/>
                <w:sz w:val="20"/>
                <w:szCs w:val="20"/>
              </w:rPr>
            </w:pPr>
            <w:r w:rsidRPr="005E1B6C">
              <w:rPr>
                <w:b/>
                <w:bCs/>
                <w:sz w:val="20"/>
                <w:szCs w:val="20"/>
              </w:rPr>
              <w:t>Per Response</w:t>
            </w:r>
            <w:r w:rsidRPr="005E1B6C">
              <w:rPr>
                <w:b/>
                <w:bCs/>
                <w:sz w:val="20"/>
                <w:szCs w:val="20"/>
                <w:vertAlign w:val="superscript"/>
              </w:rPr>
              <w:t>(c)</w:t>
            </w:r>
          </w:p>
        </w:tc>
        <w:tc>
          <w:tcPr>
            <w:tcW w:w="2358" w:type="dxa"/>
            <w:gridSpan w:val="2"/>
            <w:shd w:val="clear" w:color="000000" w:fill="B8CCE4"/>
            <w:vAlign w:val="bottom"/>
            <w:hideMark/>
          </w:tcPr>
          <w:p w:rsidR="00DA3466" w:rsidRPr="005E1B6C" w:rsidRDefault="00DA3466" w:rsidP="00680675">
            <w:pPr>
              <w:keepNext/>
              <w:spacing w:after="0"/>
              <w:jc w:val="center"/>
              <w:rPr>
                <w:b/>
                <w:bCs/>
                <w:sz w:val="20"/>
                <w:szCs w:val="20"/>
              </w:rPr>
            </w:pPr>
            <w:r w:rsidRPr="005E1B6C">
              <w:rPr>
                <w:b/>
                <w:bCs/>
                <w:sz w:val="20"/>
                <w:szCs w:val="20"/>
              </w:rPr>
              <w:t>Total</w:t>
            </w:r>
            <w:r w:rsidRPr="005E1B6C">
              <w:rPr>
                <w:b/>
                <w:bCs/>
                <w:sz w:val="20"/>
                <w:szCs w:val="20"/>
                <w:vertAlign w:val="superscript"/>
              </w:rPr>
              <w:t>(d)</w:t>
            </w:r>
          </w:p>
        </w:tc>
      </w:tr>
      <w:tr w:rsidR="00DA3466" w:rsidRPr="005E1B6C" w:rsidTr="00680675">
        <w:trPr>
          <w:cantSplit/>
          <w:trHeight w:val="230"/>
        </w:trPr>
        <w:tc>
          <w:tcPr>
            <w:tcW w:w="4338" w:type="dxa"/>
            <w:vMerge/>
            <w:vAlign w:val="center"/>
            <w:hideMark/>
          </w:tcPr>
          <w:p w:rsidR="00DA3466" w:rsidRPr="005E1B6C" w:rsidRDefault="00DA3466" w:rsidP="00680675">
            <w:pPr>
              <w:keepNext/>
              <w:spacing w:after="0"/>
              <w:rPr>
                <w:b/>
                <w:bCs/>
                <w:sz w:val="20"/>
                <w:szCs w:val="20"/>
              </w:rPr>
            </w:pPr>
          </w:p>
        </w:tc>
        <w:tc>
          <w:tcPr>
            <w:tcW w:w="1260" w:type="dxa"/>
            <w:vMerge/>
            <w:vAlign w:val="center"/>
            <w:hideMark/>
          </w:tcPr>
          <w:p w:rsidR="00DA3466" w:rsidRPr="005E1B6C" w:rsidRDefault="00DA3466" w:rsidP="00680675">
            <w:pPr>
              <w:keepNext/>
              <w:spacing w:after="0"/>
              <w:rPr>
                <w:b/>
                <w:bCs/>
                <w:sz w:val="20"/>
                <w:szCs w:val="20"/>
              </w:rPr>
            </w:pPr>
          </w:p>
        </w:tc>
        <w:tc>
          <w:tcPr>
            <w:tcW w:w="1080" w:type="dxa"/>
            <w:vMerge w:val="restart"/>
            <w:shd w:val="clear" w:color="000000" w:fill="B8CCE4"/>
            <w:vAlign w:val="bottom"/>
            <w:hideMark/>
          </w:tcPr>
          <w:p w:rsidR="00DA3466" w:rsidRPr="005E1B6C" w:rsidRDefault="00DA3466" w:rsidP="00710112">
            <w:pPr>
              <w:keepNext/>
              <w:spacing w:after="0"/>
              <w:jc w:val="center"/>
              <w:rPr>
                <w:b/>
                <w:bCs/>
                <w:sz w:val="20"/>
                <w:szCs w:val="20"/>
              </w:rPr>
            </w:pPr>
            <w:r w:rsidRPr="005E1B6C">
              <w:rPr>
                <w:b/>
                <w:bCs/>
                <w:sz w:val="20"/>
                <w:szCs w:val="20"/>
              </w:rPr>
              <w:t>Burden</w:t>
            </w:r>
            <w:r w:rsidR="00710112">
              <w:rPr>
                <w:b/>
                <w:bCs/>
                <w:sz w:val="20"/>
                <w:szCs w:val="20"/>
              </w:rPr>
              <w:t xml:space="preserve"> </w:t>
            </w:r>
            <w:r w:rsidRPr="005E1B6C">
              <w:rPr>
                <w:b/>
                <w:bCs/>
                <w:sz w:val="20"/>
                <w:szCs w:val="20"/>
              </w:rPr>
              <w:t>(hrs)</w:t>
            </w:r>
          </w:p>
        </w:tc>
        <w:tc>
          <w:tcPr>
            <w:tcW w:w="1260" w:type="dxa"/>
            <w:vMerge w:val="restart"/>
            <w:shd w:val="clear" w:color="000000" w:fill="B8CCE4"/>
            <w:vAlign w:val="bottom"/>
            <w:hideMark/>
          </w:tcPr>
          <w:p w:rsidR="00DA3466" w:rsidRPr="005E1B6C" w:rsidRDefault="00DA3466" w:rsidP="00680675">
            <w:pPr>
              <w:keepNext/>
              <w:spacing w:after="0"/>
              <w:jc w:val="center"/>
              <w:rPr>
                <w:b/>
                <w:bCs/>
                <w:sz w:val="20"/>
                <w:szCs w:val="20"/>
              </w:rPr>
            </w:pPr>
            <w:r w:rsidRPr="005E1B6C">
              <w:rPr>
                <w:b/>
                <w:bCs/>
                <w:sz w:val="20"/>
                <w:szCs w:val="20"/>
              </w:rPr>
              <w:t>Cost ($)</w:t>
            </w:r>
          </w:p>
        </w:tc>
        <w:tc>
          <w:tcPr>
            <w:tcW w:w="1080" w:type="dxa"/>
            <w:vMerge w:val="restart"/>
            <w:shd w:val="clear" w:color="000000" w:fill="B8CCE4"/>
            <w:vAlign w:val="bottom"/>
            <w:hideMark/>
          </w:tcPr>
          <w:p w:rsidR="00DA3466" w:rsidRPr="005E1B6C" w:rsidRDefault="00DA3466" w:rsidP="00710112">
            <w:pPr>
              <w:keepNext/>
              <w:spacing w:after="0"/>
              <w:jc w:val="center"/>
              <w:rPr>
                <w:b/>
                <w:bCs/>
                <w:sz w:val="20"/>
                <w:szCs w:val="20"/>
              </w:rPr>
            </w:pPr>
            <w:r w:rsidRPr="005E1B6C">
              <w:rPr>
                <w:b/>
                <w:bCs/>
                <w:sz w:val="20"/>
                <w:szCs w:val="20"/>
              </w:rPr>
              <w:t>Burden</w:t>
            </w:r>
            <w:r w:rsidR="00710112">
              <w:rPr>
                <w:b/>
                <w:bCs/>
                <w:sz w:val="20"/>
                <w:szCs w:val="20"/>
              </w:rPr>
              <w:t xml:space="preserve"> </w:t>
            </w:r>
            <w:r w:rsidRPr="005E1B6C">
              <w:rPr>
                <w:b/>
                <w:bCs/>
                <w:sz w:val="20"/>
                <w:szCs w:val="20"/>
              </w:rPr>
              <w:t>(hrs)</w:t>
            </w:r>
          </w:p>
        </w:tc>
        <w:tc>
          <w:tcPr>
            <w:tcW w:w="1278" w:type="dxa"/>
            <w:vMerge w:val="restart"/>
            <w:shd w:val="clear" w:color="000000" w:fill="B8CCE4"/>
            <w:vAlign w:val="bottom"/>
            <w:hideMark/>
          </w:tcPr>
          <w:p w:rsidR="00DA3466" w:rsidRPr="005E1B6C" w:rsidRDefault="00DA3466" w:rsidP="00680675">
            <w:pPr>
              <w:keepNext/>
              <w:spacing w:after="0"/>
              <w:jc w:val="center"/>
              <w:rPr>
                <w:b/>
                <w:bCs/>
                <w:sz w:val="20"/>
                <w:szCs w:val="20"/>
              </w:rPr>
            </w:pPr>
            <w:r w:rsidRPr="005E1B6C">
              <w:rPr>
                <w:b/>
                <w:bCs/>
                <w:sz w:val="20"/>
                <w:szCs w:val="20"/>
              </w:rPr>
              <w:t>Costs ($)</w:t>
            </w:r>
          </w:p>
        </w:tc>
      </w:tr>
      <w:tr w:rsidR="00DA3466" w:rsidRPr="005E1B6C" w:rsidTr="00680675">
        <w:trPr>
          <w:cantSplit/>
          <w:trHeight w:val="230"/>
        </w:trPr>
        <w:tc>
          <w:tcPr>
            <w:tcW w:w="4338" w:type="dxa"/>
            <w:vMerge/>
            <w:vAlign w:val="center"/>
            <w:hideMark/>
          </w:tcPr>
          <w:p w:rsidR="00DA3466" w:rsidRPr="005E1B6C" w:rsidRDefault="00DA3466" w:rsidP="00680675">
            <w:pPr>
              <w:keepNext/>
              <w:spacing w:after="0"/>
              <w:rPr>
                <w:b/>
                <w:bCs/>
                <w:sz w:val="20"/>
                <w:szCs w:val="20"/>
              </w:rPr>
            </w:pPr>
          </w:p>
        </w:tc>
        <w:tc>
          <w:tcPr>
            <w:tcW w:w="1260" w:type="dxa"/>
            <w:vMerge/>
            <w:vAlign w:val="center"/>
            <w:hideMark/>
          </w:tcPr>
          <w:p w:rsidR="00DA3466" w:rsidRPr="005E1B6C" w:rsidRDefault="00DA3466" w:rsidP="00680675">
            <w:pPr>
              <w:keepNext/>
              <w:spacing w:after="0"/>
              <w:rPr>
                <w:b/>
                <w:bCs/>
                <w:sz w:val="20"/>
                <w:szCs w:val="20"/>
              </w:rPr>
            </w:pPr>
          </w:p>
        </w:tc>
        <w:tc>
          <w:tcPr>
            <w:tcW w:w="1080" w:type="dxa"/>
            <w:vMerge/>
            <w:vAlign w:val="center"/>
            <w:hideMark/>
          </w:tcPr>
          <w:p w:rsidR="00DA3466" w:rsidRPr="005E1B6C" w:rsidRDefault="00DA3466" w:rsidP="00680675">
            <w:pPr>
              <w:keepNext/>
              <w:spacing w:after="0"/>
              <w:rPr>
                <w:b/>
                <w:bCs/>
                <w:sz w:val="20"/>
                <w:szCs w:val="20"/>
              </w:rPr>
            </w:pPr>
          </w:p>
        </w:tc>
        <w:tc>
          <w:tcPr>
            <w:tcW w:w="1260" w:type="dxa"/>
            <w:vMerge/>
            <w:vAlign w:val="center"/>
            <w:hideMark/>
          </w:tcPr>
          <w:p w:rsidR="00DA3466" w:rsidRPr="005E1B6C" w:rsidRDefault="00DA3466" w:rsidP="00680675">
            <w:pPr>
              <w:keepNext/>
              <w:spacing w:after="0"/>
              <w:rPr>
                <w:b/>
                <w:bCs/>
                <w:sz w:val="20"/>
                <w:szCs w:val="20"/>
              </w:rPr>
            </w:pPr>
          </w:p>
        </w:tc>
        <w:tc>
          <w:tcPr>
            <w:tcW w:w="1080" w:type="dxa"/>
            <w:vMerge/>
            <w:vAlign w:val="center"/>
            <w:hideMark/>
          </w:tcPr>
          <w:p w:rsidR="00DA3466" w:rsidRPr="005E1B6C" w:rsidRDefault="00DA3466" w:rsidP="00680675">
            <w:pPr>
              <w:keepNext/>
              <w:spacing w:after="0"/>
              <w:rPr>
                <w:b/>
                <w:bCs/>
                <w:sz w:val="20"/>
                <w:szCs w:val="20"/>
              </w:rPr>
            </w:pPr>
          </w:p>
        </w:tc>
        <w:tc>
          <w:tcPr>
            <w:tcW w:w="1278" w:type="dxa"/>
            <w:vMerge/>
            <w:vAlign w:val="center"/>
            <w:hideMark/>
          </w:tcPr>
          <w:p w:rsidR="00DA3466" w:rsidRPr="005E1B6C" w:rsidRDefault="00DA3466" w:rsidP="00680675">
            <w:pPr>
              <w:keepNext/>
              <w:spacing w:after="0"/>
              <w:rPr>
                <w:b/>
                <w:bCs/>
                <w:sz w:val="20"/>
                <w:szCs w:val="20"/>
              </w:rPr>
            </w:pPr>
          </w:p>
        </w:tc>
      </w:tr>
      <w:tr w:rsidR="00DA3466" w:rsidRPr="005E1B6C" w:rsidTr="00B73C71">
        <w:trPr>
          <w:cantSplit/>
        </w:trPr>
        <w:tc>
          <w:tcPr>
            <w:tcW w:w="10296" w:type="dxa"/>
            <w:gridSpan w:val="6"/>
            <w:shd w:val="clear" w:color="000000" w:fill="DBEEF3"/>
            <w:vAlign w:val="bottom"/>
            <w:hideMark/>
          </w:tcPr>
          <w:p w:rsidR="00DA3466" w:rsidRPr="005E1B6C" w:rsidRDefault="00DA3466" w:rsidP="00680675">
            <w:pPr>
              <w:keepNext/>
              <w:spacing w:after="0"/>
              <w:rPr>
                <w:b/>
                <w:bCs/>
                <w:i/>
                <w:iCs/>
                <w:sz w:val="20"/>
                <w:szCs w:val="20"/>
              </w:rPr>
            </w:pPr>
            <w:r w:rsidRPr="005E1B6C">
              <w:rPr>
                <w:b/>
                <w:bCs/>
                <w:i/>
                <w:iCs/>
                <w:sz w:val="20"/>
                <w:szCs w:val="20"/>
              </w:rPr>
              <w:t>Registrants of PAIs</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#1(a) - </w:t>
            </w:r>
            <w:r w:rsidR="005E1B6C" w:rsidRPr="005E1B6C">
              <w:rPr>
                <w:sz w:val="20"/>
                <w:szCs w:val="20"/>
              </w:rPr>
              <w:t>Order Recipients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45</w:t>
            </w:r>
          </w:p>
        </w:tc>
        <w:tc>
          <w:tcPr>
            <w:tcW w:w="108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204</w:t>
            </w:r>
          </w:p>
        </w:tc>
        <w:tc>
          <w:tcPr>
            <w:tcW w:w="1260" w:type="dxa"/>
            <w:shd w:val="clear" w:color="auto" w:fill="auto"/>
            <w:noWrap/>
            <w:hideMark/>
          </w:tcPr>
          <w:p w:rsidR="005E1B6C" w:rsidRPr="005E1B6C" w:rsidRDefault="005E1B6C" w:rsidP="00710112">
            <w:pPr>
              <w:tabs>
                <w:tab w:val="decimal" w:pos="792"/>
              </w:tabs>
              <w:spacing w:after="0"/>
              <w:rPr>
                <w:color w:val="000000"/>
                <w:sz w:val="20"/>
                <w:szCs w:val="20"/>
              </w:rPr>
            </w:pPr>
            <w:r>
              <w:rPr>
                <w:color w:val="000000"/>
                <w:sz w:val="20"/>
                <w:szCs w:val="20"/>
              </w:rPr>
              <w:t>$</w:t>
            </w:r>
            <w:r w:rsidRPr="005E1B6C">
              <w:rPr>
                <w:color w:val="000000"/>
                <w:sz w:val="20"/>
                <w:szCs w:val="20"/>
              </w:rPr>
              <w:t>18,572</w:t>
            </w:r>
          </w:p>
        </w:tc>
        <w:tc>
          <w:tcPr>
            <w:tcW w:w="1080" w:type="dxa"/>
            <w:shd w:val="clear" w:color="auto" w:fill="auto"/>
            <w:noWrap/>
            <w:hideMark/>
          </w:tcPr>
          <w:p w:rsidR="005E1B6C" w:rsidRPr="00680675" w:rsidRDefault="005E1B6C" w:rsidP="00680675">
            <w:pPr>
              <w:keepNext/>
              <w:tabs>
                <w:tab w:val="decimal" w:pos="702"/>
              </w:tabs>
              <w:spacing w:after="0"/>
              <w:rPr>
                <w:sz w:val="20"/>
                <w:szCs w:val="20"/>
              </w:rPr>
            </w:pPr>
            <w:r w:rsidRPr="00680675">
              <w:rPr>
                <w:sz w:val="20"/>
                <w:szCs w:val="20"/>
              </w:rPr>
              <w:t>9,180</w:t>
            </w:r>
          </w:p>
        </w:tc>
        <w:tc>
          <w:tcPr>
            <w:tcW w:w="1278" w:type="dxa"/>
            <w:shd w:val="clear" w:color="auto" w:fill="auto"/>
            <w:noWrap/>
            <w:hideMark/>
          </w:tcPr>
          <w:p w:rsidR="005E1B6C" w:rsidRPr="005E1B6C" w:rsidRDefault="005E1B6C" w:rsidP="00680675">
            <w:pPr>
              <w:spacing w:after="0"/>
              <w:jc w:val="right"/>
              <w:rPr>
                <w:color w:val="000000"/>
                <w:sz w:val="20"/>
                <w:szCs w:val="20"/>
              </w:rPr>
            </w:pPr>
            <w:r>
              <w:rPr>
                <w:color w:val="000000"/>
                <w:sz w:val="20"/>
                <w:szCs w:val="20"/>
              </w:rPr>
              <w:t>$</w:t>
            </w:r>
            <w:r w:rsidRPr="005E1B6C">
              <w:rPr>
                <w:color w:val="000000"/>
                <w:sz w:val="20"/>
                <w:szCs w:val="20"/>
              </w:rPr>
              <w:t>835,740</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#2(a) - </w:t>
            </w:r>
            <w:r w:rsidR="005E1B6C" w:rsidRPr="005E1B6C">
              <w:rPr>
                <w:sz w:val="20"/>
                <w:szCs w:val="20"/>
              </w:rPr>
              <w:t>Data Generators/Submitters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50</w:t>
            </w:r>
          </w:p>
        </w:tc>
        <w:tc>
          <w:tcPr>
            <w:tcW w:w="1080" w:type="dxa"/>
            <w:shd w:val="clear" w:color="auto" w:fill="auto"/>
            <w:noWrap/>
            <w:hideMark/>
          </w:tcPr>
          <w:p w:rsidR="005E1B6C" w:rsidRPr="005E1B6C" w:rsidRDefault="00B73C71" w:rsidP="00680675">
            <w:pPr>
              <w:keepNext/>
              <w:tabs>
                <w:tab w:val="decimal" w:pos="610"/>
              </w:tabs>
              <w:spacing w:after="0"/>
              <w:rPr>
                <w:sz w:val="20"/>
                <w:szCs w:val="20"/>
              </w:rPr>
            </w:pPr>
            <w:r w:rsidRPr="00680675">
              <w:rPr>
                <w:sz w:val="20"/>
                <w:szCs w:val="20"/>
              </w:rPr>
              <w:t>4,</w:t>
            </w:r>
            <w:r w:rsidR="00AA1FCC">
              <w:rPr>
                <w:sz w:val="20"/>
                <w:szCs w:val="20"/>
              </w:rPr>
              <w:t>5</w:t>
            </w:r>
            <w:r w:rsidR="004D4738">
              <w:rPr>
                <w:sz w:val="20"/>
                <w:szCs w:val="20"/>
              </w:rPr>
              <w:t>4</w:t>
            </w:r>
            <w:r w:rsidR="00AA1FCC">
              <w:rPr>
                <w:sz w:val="20"/>
                <w:szCs w:val="20"/>
              </w:rPr>
              <w:t>4</w:t>
            </w:r>
          </w:p>
        </w:tc>
        <w:tc>
          <w:tcPr>
            <w:tcW w:w="1260" w:type="dxa"/>
            <w:shd w:val="clear" w:color="auto" w:fill="auto"/>
            <w:noWrap/>
            <w:hideMark/>
          </w:tcPr>
          <w:p w:rsidR="005E1B6C" w:rsidRPr="005E1B6C" w:rsidRDefault="00555521" w:rsidP="00710112">
            <w:pPr>
              <w:tabs>
                <w:tab w:val="decimal" w:pos="792"/>
              </w:tabs>
              <w:spacing w:after="0"/>
              <w:rPr>
                <w:color w:val="000000"/>
                <w:sz w:val="20"/>
                <w:szCs w:val="20"/>
              </w:rPr>
            </w:pPr>
            <w:r>
              <w:rPr>
                <w:color w:val="000000"/>
                <w:sz w:val="20"/>
                <w:szCs w:val="20"/>
              </w:rPr>
              <w:t>$</w:t>
            </w:r>
            <w:r w:rsidR="00AA1FCC">
              <w:rPr>
                <w:color w:val="000000"/>
                <w:sz w:val="20"/>
                <w:szCs w:val="20"/>
              </w:rPr>
              <w:t>28</w:t>
            </w:r>
            <w:r w:rsidR="004D4738">
              <w:rPr>
                <w:color w:val="000000"/>
                <w:sz w:val="20"/>
                <w:szCs w:val="20"/>
              </w:rPr>
              <w:t>0</w:t>
            </w:r>
            <w:r w:rsidR="00AA1FCC">
              <w:rPr>
                <w:color w:val="000000"/>
                <w:sz w:val="20"/>
                <w:szCs w:val="20"/>
              </w:rPr>
              <w:t>,</w:t>
            </w:r>
            <w:r w:rsidR="004D4738">
              <w:rPr>
                <w:color w:val="000000"/>
                <w:sz w:val="20"/>
                <w:szCs w:val="20"/>
              </w:rPr>
              <w:t>397</w:t>
            </w:r>
          </w:p>
        </w:tc>
        <w:tc>
          <w:tcPr>
            <w:tcW w:w="1080" w:type="dxa"/>
            <w:shd w:val="clear" w:color="auto" w:fill="auto"/>
            <w:noWrap/>
            <w:hideMark/>
          </w:tcPr>
          <w:p w:rsidR="005E1B6C" w:rsidRPr="00680675" w:rsidRDefault="00AA1FCC" w:rsidP="00680675">
            <w:pPr>
              <w:keepNext/>
              <w:tabs>
                <w:tab w:val="decimal" w:pos="702"/>
              </w:tabs>
              <w:spacing w:after="0"/>
              <w:rPr>
                <w:sz w:val="20"/>
                <w:szCs w:val="20"/>
              </w:rPr>
            </w:pPr>
            <w:r w:rsidRPr="00680675">
              <w:rPr>
                <w:sz w:val="20"/>
                <w:szCs w:val="20"/>
              </w:rPr>
              <w:t>22</w:t>
            </w:r>
            <w:r w:rsidR="004D4738" w:rsidRPr="00680675">
              <w:rPr>
                <w:sz w:val="20"/>
                <w:szCs w:val="20"/>
              </w:rPr>
              <w:t>7</w:t>
            </w:r>
            <w:r w:rsidRPr="00680675">
              <w:rPr>
                <w:sz w:val="20"/>
                <w:szCs w:val="20"/>
              </w:rPr>
              <w:t>,200</w:t>
            </w:r>
          </w:p>
        </w:tc>
        <w:tc>
          <w:tcPr>
            <w:tcW w:w="1278" w:type="dxa"/>
            <w:shd w:val="clear" w:color="auto" w:fill="auto"/>
            <w:noWrap/>
            <w:hideMark/>
          </w:tcPr>
          <w:p w:rsidR="005E1B6C" w:rsidRPr="005E1B6C" w:rsidRDefault="00555521" w:rsidP="00680675">
            <w:pPr>
              <w:spacing w:after="0"/>
              <w:jc w:val="right"/>
              <w:rPr>
                <w:color w:val="000000"/>
                <w:sz w:val="20"/>
                <w:szCs w:val="20"/>
              </w:rPr>
            </w:pPr>
            <w:r>
              <w:rPr>
                <w:rFonts w:cs="Arial"/>
                <w:color w:val="000000"/>
                <w:sz w:val="20"/>
                <w:szCs w:val="20"/>
              </w:rPr>
              <w:t>$</w:t>
            </w:r>
            <w:r w:rsidR="00B73C71">
              <w:rPr>
                <w:rFonts w:cs="Arial"/>
                <w:color w:val="000000"/>
                <w:sz w:val="20"/>
                <w:szCs w:val="20"/>
              </w:rPr>
              <w:t>14,</w:t>
            </w:r>
            <w:r w:rsidR="004D4738">
              <w:rPr>
                <w:rFonts w:cs="Arial"/>
                <w:color w:val="000000"/>
                <w:sz w:val="20"/>
                <w:szCs w:val="20"/>
              </w:rPr>
              <w:t>019</w:t>
            </w:r>
            <w:r w:rsidR="00AA1FCC">
              <w:rPr>
                <w:color w:val="000000"/>
                <w:sz w:val="20"/>
                <w:szCs w:val="20"/>
              </w:rPr>
              <w:t>,</w:t>
            </w:r>
            <w:r w:rsidR="004D4738">
              <w:rPr>
                <w:color w:val="000000"/>
                <w:sz w:val="20"/>
                <w:szCs w:val="20"/>
              </w:rPr>
              <w:t>8</w:t>
            </w:r>
            <w:r w:rsidR="00AA1FCC">
              <w:rPr>
                <w:color w:val="000000"/>
                <w:sz w:val="20"/>
                <w:szCs w:val="20"/>
              </w:rPr>
              <w:t>28</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#3(a) - </w:t>
            </w:r>
            <w:r w:rsidR="005E1B6C" w:rsidRPr="005E1B6C">
              <w:rPr>
                <w:sz w:val="20"/>
                <w:szCs w:val="20"/>
              </w:rPr>
              <w:t>Consortium Participants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252</w:t>
            </w:r>
          </w:p>
        </w:tc>
        <w:tc>
          <w:tcPr>
            <w:tcW w:w="108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171</w:t>
            </w:r>
          </w:p>
        </w:tc>
        <w:tc>
          <w:tcPr>
            <w:tcW w:w="1260" w:type="dxa"/>
            <w:shd w:val="clear" w:color="auto" w:fill="auto"/>
            <w:noWrap/>
            <w:hideMark/>
          </w:tcPr>
          <w:p w:rsidR="005E1B6C" w:rsidRPr="005E1B6C" w:rsidRDefault="005E1B6C" w:rsidP="00710112">
            <w:pPr>
              <w:tabs>
                <w:tab w:val="decimal" w:pos="792"/>
              </w:tabs>
              <w:spacing w:after="0"/>
              <w:rPr>
                <w:color w:val="000000"/>
                <w:sz w:val="20"/>
                <w:szCs w:val="20"/>
              </w:rPr>
            </w:pPr>
            <w:r>
              <w:rPr>
                <w:color w:val="000000"/>
                <w:sz w:val="20"/>
                <w:szCs w:val="20"/>
              </w:rPr>
              <w:t>$</w:t>
            </w:r>
            <w:r w:rsidRPr="005E1B6C">
              <w:rPr>
                <w:color w:val="000000"/>
                <w:sz w:val="20"/>
                <w:szCs w:val="20"/>
              </w:rPr>
              <w:t>11,760</w:t>
            </w:r>
          </w:p>
        </w:tc>
        <w:tc>
          <w:tcPr>
            <w:tcW w:w="1080" w:type="dxa"/>
            <w:shd w:val="clear" w:color="auto" w:fill="auto"/>
            <w:noWrap/>
            <w:hideMark/>
          </w:tcPr>
          <w:p w:rsidR="005E1B6C" w:rsidRPr="00680675" w:rsidRDefault="005E1B6C" w:rsidP="00680675">
            <w:pPr>
              <w:keepNext/>
              <w:tabs>
                <w:tab w:val="decimal" w:pos="702"/>
              </w:tabs>
              <w:spacing w:after="0"/>
              <w:rPr>
                <w:sz w:val="20"/>
                <w:szCs w:val="20"/>
              </w:rPr>
            </w:pPr>
            <w:r w:rsidRPr="00680675">
              <w:rPr>
                <w:sz w:val="20"/>
                <w:szCs w:val="20"/>
              </w:rPr>
              <w:t>43,092</w:t>
            </w:r>
          </w:p>
        </w:tc>
        <w:tc>
          <w:tcPr>
            <w:tcW w:w="1278" w:type="dxa"/>
            <w:shd w:val="clear" w:color="auto" w:fill="auto"/>
            <w:noWrap/>
            <w:hideMark/>
          </w:tcPr>
          <w:p w:rsidR="005E1B6C" w:rsidRPr="005E1B6C" w:rsidRDefault="005E1B6C" w:rsidP="00680675">
            <w:pPr>
              <w:spacing w:after="0"/>
              <w:jc w:val="right"/>
              <w:rPr>
                <w:color w:val="000000"/>
                <w:sz w:val="20"/>
                <w:szCs w:val="20"/>
              </w:rPr>
            </w:pPr>
            <w:r>
              <w:rPr>
                <w:color w:val="000000"/>
                <w:sz w:val="20"/>
                <w:szCs w:val="20"/>
              </w:rPr>
              <w:t>$</w:t>
            </w:r>
            <w:r w:rsidRPr="005E1B6C">
              <w:rPr>
                <w:color w:val="000000"/>
                <w:sz w:val="20"/>
                <w:szCs w:val="20"/>
              </w:rPr>
              <w:t>2,963,520</w:t>
            </w:r>
          </w:p>
        </w:tc>
      </w:tr>
      <w:tr w:rsidR="005E1B6C" w:rsidRPr="005E1B6C" w:rsidTr="00680675">
        <w:trPr>
          <w:cantSplit/>
        </w:trPr>
        <w:tc>
          <w:tcPr>
            <w:tcW w:w="7938" w:type="dxa"/>
            <w:gridSpan w:val="4"/>
            <w:shd w:val="clear" w:color="auto" w:fill="auto"/>
            <w:vAlign w:val="bottom"/>
            <w:hideMark/>
          </w:tcPr>
          <w:p w:rsidR="005E1B6C" w:rsidRPr="005E1B6C" w:rsidRDefault="005E1B6C" w:rsidP="00680675">
            <w:pPr>
              <w:keepNext/>
              <w:spacing w:after="0"/>
              <w:jc w:val="right"/>
              <w:rPr>
                <w:b/>
                <w:bCs/>
                <w:i/>
                <w:iCs/>
                <w:sz w:val="20"/>
                <w:szCs w:val="20"/>
              </w:rPr>
            </w:pPr>
            <w:r w:rsidRPr="005E1B6C">
              <w:rPr>
                <w:b/>
                <w:bCs/>
                <w:i/>
                <w:iCs/>
                <w:sz w:val="20"/>
                <w:szCs w:val="20"/>
              </w:rPr>
              <w:t>Subtotal for Pesticide Active Ingredients:</w:t>
            </w:r>
          </w:p>
        </w:tc>
        <w:tc>
          <w:tcPr>
            <w:tcW w:w="1080" w:type="dxa"/>
            <w:shd w:val="clear" w:color="000000" w:fill="B8CCE4"/>
            <w:hideMark/>
          </w:tcPr>
          <w:p w:rsidR="005E1B6C" w:rsidRPr="00680675" w:rsidRDefault="005E1B6C" w:rsidP="00680675">
            <w:pPr>
              <w:keepNext/>
              <w:tabs>
                <w:tab w:val="decimal" w:pos="702"/>
              </w:tabs>
              <w:spacing w:after="0"/>
              <w:rPr>
                <w:b/>
                <w:i/>
                <w:sz w:val="20"/>
                <w:szCs w:val="20"/>
              </w:rPr>
            </w:pPr>
            <w:r w:rsidRPr="00680675">
              <w:rPr>
                <w:b/>
                <w:i/>
                <w:sz w:val="20"/>
                <w:szCs w:val="20"/>
              </w:rPr>
              <w:t>2</w:t>
            </w:r>
            <w:r w:rsidR="004D4738" w:rsidRPr="00680675">
              <w:rPr>
                <w:b/>
                <w:i/>
                <w:sz w:val="20"/>
                <w:szCs w:val="20"/>
              </w:rPr>
              <w:t>70</w:t>
            </w:r>
            <w:r w:rsidR="00AA1FCC" w:rsidRPr="00680675">
              <w:rPr>
                <w:b/>
                <w:i/>
                <w:sz w:val="20"/>
                <w:szCs w:val="20"/>
              </w:rPr>
              <w:t>,</w:t>
            </w:r>
            <w:r w:rsidR="004D4738" w:rsidRPr="00680675">
              <w:rPr>
                <w:b/>
                <w:i/>
                <w:sz w:val="20"/>
                <w:szCs w:val="20"/>
              </w:rPr>
              <w:t>472</w:t>
            </w:r>
          </w:p>
        </w:tc>
        <w:tc>
          <w:tcPr>
            <w:tcW w:w="1278" w:type="dxa"/>
            <w:shd w:val="clear" w:color="000000" w:fill="B8CCE4"/>
            <w:hideMark/>
          </w:tcPr>
          <w:p w:rsidR="005E1B6C" w:rsidRPr="005E1B6C" w:rsidRDefault="005E1B6C" w:rsidP="00680675">
            <w:pPr>
              <w:spacing w:after="0"/>
              <w:jc w:val="right"/>
              <w:rPr>
                <w:b/>
                <w:bCs/>
                <w:i/>
                <w:iCs/>
                <w:color w:val="000000"/>
                <w:sz w:val="20"/>
                <w:szCs w:val="20"/>
              </w:rPr>
            </w:pPr>
            <w:r>
              <w:rPr>
                <w:b/>
                <w:bCs/>
                <w:i/>
                <w:iCs/>
                <w:color w:val="000000"/>
                <w:sz w:val="20"/>
                <w:szCs w:val="20"/>
              </w:rPr>
              <w:t>$</w:t>
            </w:r>
            <w:r w:rsidRPr="005E1B6C">
              <w:rPr>
                <w:b/>
                <w:bCs/>
                <w:i/>
                <w:iCs/>
                <w:color w:val="000000"/>
                <w:sz w:val="20"/>
                <w:szCs w:val="20"/>
              </w:rPr>
              <w:t>17,</w:t>
            </w:r>
            <w:r w:rsidR="004D4738">
              <w:rPr>
                <w:b/>
                <w:bCs/>
                <w:i/>
                <w:iCs/>
                <w:color w:val="000000"/>
                <w:sz w:val="20"/>
                <w:szCs w:val="20"/>
              </w:rPr>
              <w:t>819</w:t>
            </w:r>
            <w:r w:rsidR="00AA1FCC">
              <w:rPr>
                <w:b/>
                <w:bCs/>
                <w:i/>
                <w:iCs/>
                <w:color w:val="000000"/>
                <w:sz w:val="20"/>
                <w:szCs w:val="20"/>
              </w:rPr>
              <w:t>,</w:t>
            </w:r>
            <w:r w:rsidR="004D4738">
              <w:rPr>
                <w:b/>
                <w:bCs/>
                <w:i/>
                <w:iCs/>
                <w:color w:val="000000"/>
                <w:sz w:val="20"/>
                <w:szCs w:val="20"/>
              </w:rPr>
              <w:t>088</w:t>
            </w:r>
          </w:p>
        </w:tc>
      </w:tr>
      <w:tr w:rsidR="00DA3466" w:rsidRPr="005E1B6C" w:rsidTr="00B73C71">
        <w:trPr>
          <w:cantSplit/>
        </w:trPr>
        <w:tc>
          <w:tcPr>
            <w:tcW w:w="10296" w:type="dxa"/>
            <w:gridSpan w:val="6"/>
            <w:shd w:val="clear" w:color="000000" w:fill="DBEEF3"/>
            <w:vAlign w:val="bottom"/>
            <w:hideMark/>
          </w:tcPr>
          <w:p w:rsidR="00DA3466" w:rsidRPr="005E1B6C" w:rsidRDefault="00DA3466" w:rsidP="00680675">
            <w:pPr>
              <w:keepNext/>
              <w:spacing w:after="0"/>
              <w:rPr>
                <w:b/>
                <w:bCs/>
                <w:i/>
                <w:iCs/>
                <w:sz w:val="20"/>
                <w:szCs w:val="20"/>
              </w:rPr>
            </w:pPr>
            <w:r w:rsidRPr="005E1B6C">
              <w:rPr>
                <w:b/>
                <w:bCs/>
                <w:i/>
                <w:iCs/>
                <w:sz w:val="20"/>
                <w:szCs w:val="20"/>
              </w:rPr>
              <w:t>Manufacturers/Importers of Pesticide Inert Ingredients</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#1(b) - </w:t>
            </w:r>
            <w:r w:rsidR="005E1B6C" w:rsidRPr="005E1B6C">
              <w:rPr>
                <w:sz w:val="20"/>
                <w:szCs w:val="20"/>
              </w:rPr>
              <w:t>Order Recipients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15</w:t>
            </w:r>
          </w:p>
        </w:tc>
        <w:tc>
          <w:tcPr>
            <w:tcW w:w="108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204</w:t>
            </w:r>
          </w:p>
        </w:tc>
        <w:tc>
          <w:tcPr>
            <w:tcW w:w="1260" w:type="dxa"/>
            <w:shd w:val="clear" w:color="auto" w:fill="auto"/>
            <w:noWrap/>
            <w:hideMark/>
          </w:tcPr>
          <w:p w:rsidR="005E1B6C" w:rsidRPr="005E1B6C" w:rsidRDefault="005E1B6C" w:rsidP="00710112">
            <w:pPr>
              <w:tabs>
                <w:tab w:val="decimal" w:pos="792"/>
              </w:tabs>
              <w:spacing w:after="0"/>
              <w:rPr>
                <w:color w:val="000000"/>
                <w:sz w:val="20"/>
                <w:szCs w:val="20"/>
              </w:rPr>
            </w:pPr>
            <w:r>
              <w:rPr>
                <w:color w:val="000000"/>
                <w:sz w:val="20"/>
                <w:szCs w:val="20"/>
              </w:rPr>
              <w:t>$</w:t>
            </w:r>
            <w:r w:rsidRPr="005E1B6C">
              <w:rPr>
                <w:color w:val="000000"/>
                <w:sz w:val="20"/>
                <w:szCs w:val="20"/>
              </w:rPr>
              <w:t>18,572</w:t>
            </w:r>
          </w:p>
        </w:tc>
        <w:tc>
          <w:tcPr>
            <w:tcW w:w="1080" w:type="dxa"/>
            <w:shd w:val="clear" w:color="auto" w:fill="auto"/>
            <w:noWrap/>
            <w:hideMark/>
          </w:tcPr>
          <w:p w:rsidR="005E1B6C" w:rsidRPr="00680675" w:rsidRDefault="005E1B6C" w:rsidP="00680675">
            <w:pPr>
              <w:keepNext/>
              <w:tabs>
                <w:tab w:val="decimal" w:pos="702"/>
              </w:tabs>
              <w:spacing w:after="0"/>
              <w:rPr>
                <w:sz w:val="20"/>
                <w:szCs w:val="20"/>
              </w:rPr>
            </w:pPr>
            <w:r w:rsidRPr="00680675">
              <w:rPr>
                <w:sz w:val="20"/>
                <w:szCs w:val="20"/>
              </w:rPr>
              <w:t>3,060</w:t>
            </w:r>
          </w:p>
        </w:tc>
        <w:tc>
          <w:tcPr>
            <w:tcW w:w="1278" w:type="dxa"/>
            <w:shd w:val="clear" w:color="auto" w:fill="auto"/>
            <w:noWrap/>
            <w:hideMark/>
          </w:tcPr>
          <w:p w:rsidR="005E1B6C" w:rsidRPr="005E1B6C" w:rsidRDefault="005E1B6C" w:rsidP="00680675">
            <w:pPr>
              <w:spacing w:after="0"/>
              <w:jc w:val="right"/>
              <w:rPr>
                <w:color w:val="000000"/>
                <w:sz w:val="20"/>
                <w:szCs w:val="20"/>
              </w:rPr>
            </w:pPr>
            <w:r>
              <w:rPr>
                <w:color w:val="000000"/>
                <w:sz w:val="20"/>
                <w:szCs w:val="20"/>
              </w:rPr>
              <w:t>$</w:t>
            </w:r>
            <w:r w:rsidRPr="005E1B6C">
              <w:rPr>
                <w:color w:val="000000"/>
                <w:sz w:val="20"/>
                <w:szCs w:val="20"/>
              </w:rPr>
              <w:t>278,580</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#2(b) - </w:t>
            </w:r>
            <w:r w:rsidR="005E1B6C" w:rsidRPr="005E1B6C">
              <w:rPr>
                <w:sz w:val="20"/>
                <w:szCs w:val="20"/>
              </w:rPr>
              <w:t>Data Generators/Submitters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2</w:t>
            </w:r>
          </w:p>
        </w:tc>
        <w:tc>
          <w:tcPr>
            <w:tcW w:w="1080" w:type="dxa"/>
            <w:shd w:val="clear" w:color="auto" w:fill="auto"/>
            <w:noWrap/>
            <w:hideMark/>
          </w:tcPr>
          <w:p w:rsidR="005E1B6C" w:rsidRPr="005E1B6C" w:rsidRDefault="00B73C71" w:rsidP="00680675">
            <w:pPr>
              <w:keepNext/>
              <w:tabs>
                <w:tab w:val="decimal" w:pos="610"/>
              </w:tabs>
              <w:spacing w:after="0"/>
              <w:rPr>
                <w:sz w:val="20"/>
                <w:szCs w:val="20"/>
              </w:rPr>
            </w:pPr>
            <w:r w:rsidRPr="00680675">
              <w:rPr>
                <w:sz w:val="20"/>
                <w:szCs w:val="20"/>
              </w:rPr>
              <w:t>4,</w:t>
            </w:r>
            <w:r w:rsidR="005E1B6C" w:rsidRPr="005E1B6C">
              <w:rPr>
                <w:sz w:val="20"/>
                <w:szCs w:val="20"/>
              </w:rPr>
              <w:t>5</w:t>
            </w:r>
            <w:r w:rsidR="004D4738">
              <w:rPr>
                <w:sz w:val="20"/>
                <w:szCs w:val="20"/>
              </w:rPr>
              <w:t>4</w:t>
            </w:r>
            <w:r w:rsidR="00AA1FCC">
              <w:rPr>
                <w:sz w:val="20"/>
                <w:szCs w:val="20"/>
              </w:rPr>
              <w:t>4</w:t>
            </w:r>
          </w:p>
        </w:tc>
        <w:tc>
          <w:tcPr>
            <w:tcW w:w="1260" w:type="dxa"/>
            <w:shd w:val="clear" w:color="auto" w:fill="auto"/>
            <w:noWrap/>
            <w:hideMark/>
          </w:tcPr>
          <w:p w:rsidR="005E1B6C" w:rsidRPr="005E1B6C" w:rsidRDefault="00555521" w:rsidP="00710112">
            <w:pPr>
              <w:tabs>
                <w:tab w:val="decimal" w:pos="792"/>
              </w:tabs>
              <w:spacing w:after="0"/>
              <w:rPr>
                <w:color w:val="000000"/>
                <w:sz w:val="20"/>
                <w:szCs w:val="20"/>
              </w:rPr>
            </w:pPr>
            <w:r>
              <w:rPr>
                <w:color w:val="000000"/>
                <w:sz w:val="20"/>
                <w:szCs w:val="20"/>
              </w:rPr>
              <w:t>$</w:t>
            </w:r>
            <w:r w:rsidR="005E1B6C" w:rsidRPr="005E1B6C">
              <w:rPr>
                <w:color w:val="000000"/>
                <w:sz w:val="20"/>
                <w:szCs w:val="20"/>
              </w:rPr>
              <w:t>28</w:t>
            </w:r>
            <w:r w:rsidR="004D4738">
              <w:rPr>
                <w:color w:val="000000"/>
                <w:sz w:val="20"/>
                <w:szCs w:val="20"/>
              </w:rPr>
              <w:t>0</w:t>
            </w:r>
            <w:r w:rsidR="005E1B6C" w:rsidRPr="005E1B6C">
              <w:rPr>
                <w:color w:val="000000"/>
                <w:sz w:val="20"/>
                <w:szCs w:val="20"/>
              </w:rPr>
              <w:t>,</w:t>
            </w:r>
            <w:r w:rsidR="00A31609">
              <w:rPr>
                <w:color w:val="000000"/>
                <w:sz w:val="20"/>
                <w:szCs w:val="20"/>
              </w:rPr>
              <w:t>397</w:t>
            </w:r>
          </w:p>
        </w:tc>
        <w:tc>
          <w:tcPr>
            <w:tcW w:w="1080" w:type="dxa"/>
            <w:shd w:val="clear" w:color="auto" w:fill="auto"/>
            <w:noWrap/>
            <w:hideMark/>
          </w:tcPr>
          <w:p w:rsidR="005E1B6C" w:rsidRPr="00680675" w:rsidRDefault="00AA1FCC" w:rsidP="00680675">
            <w:pPr>
              <w:keepNext/>
              <w:tabs>
                <w:tab w:val="decimal" w:pos="702"/>
              </w:tabs>
              <w:spacing w:after="0"/>
              <w:rPr>
                <w:sz w:val="20"/>
                <w:szCs w:val="20"/>
              </w:rPr>
            </w:pPr>
            <w:r w:rsidRPr="00680675">
              <w:rPr>
                <w:sz w:val="20"/>
                <w:szCs w:val="20"/>
              </w:rPr>
              <w:t>9,</w:t>
            </w:r>
            <w:r w:rsidR="00A31609" w:rsidRPr="00680675">
              <w:rPr>
                <w:sz w:val="20"/>
                <w:szCs w:val="20"/>
              </w:rPr>
              <w:t>088</w:t>
            </w:r>
          </w:p>
        </w:tc>
        <w:tc>
          <w:tcPr>
            <w:tcW w:w="1278" w:type="dxa"/>
            <w:shd w:val="clear" w:color="auto" w:fill="auto"/>
            <w:noWrap/>
            <w:hideMark/>
          </w:tcPr>
          <w:p w:rsidR="005E1B6C" w:rsidRPr="005E1B6C" w:rsidRDefault="00555521" w:rsidP="00680675">
            <w:pPr>
              <w:spacing w:after="0"/>
              <w:jc w:val="right"/>
              <w:rPr>
                <w:color w:val="000000"/>
                <w:sz w:val="20"/>
                <w:szCs w:val="20"/>
              </w:rPr>
            </w:pPr>
            <w:r>
              <w:rPr>
                <w:color w:val="000000"/>
                <w:sz w:val="20"/>
                <w:szCs w:val="20"/>
              </w:rPr>
              <w:t>$</w:t>
            </w:r>
            <w:r w:rsidR="005E1B6C" w:rsidRPr="005E1B6C">
              <w:rPr>
                <w:color w:val="000000"/>
                <w:sz w:val="20"/>
                <w:szCs w:val="20"/>
              </w:rPr>
              <w:t>56</w:t>
            </w:r>
            <w:r w:rsidR="00A31609">
              <w:rPr>
                <w:color w:val="000000"/>
                <w:sz w:val="20"/>
                <w:szCs w:val="20"/>
              </w:rPr>
              <w:t>0</w:t>
            </w:r>
            <w:r w:rsidR="005E1B6C" w:rsidRPr="005E1B6C">
              <w:rPr>
                <w:color w:val="000000"/>
                <w:sz w:val="20"/>
                <w:szCs w:val="20"/>
              </w:rPr>
              <w:t>,</w:t>
            </w:r>
            <w:r w:rsidR="00A31609">
              <w:rPr>
                <w:color w:val="000000"/>
                <w:sz w:val="20"/>
                <w:szCs w:val="20"/>
              </w:rPr>
              <w:t>793</w:t>
            </w:r>
          </w:p>
        </w:tc>
      </w:tr>
      <w:tr w:rsidR="005E1B6C" w:rsidRPr="005E1B6C" w:rsidTr="00680675">
        <w:trPr>
          <w:cantSplit/>
        </w:trPr>
        <w:tc>
          <w:tcPr>
            <w:tcW w:w="4338" w:type="dxa"/>
            <w:shd w:val="clear" w:color="auto" w:fill="auto"/>
            <w:vAlign w:val="bottom"/>
            <w:hideMark/>
          </w:tcPr>
          <w:p w:rsidR="005E1B6C" w:rsidRPr="005E1B6C" w:rsidRDefault="00680675" w:rsidP="00680675">
            <w:pPr>
              <w:keepNext/>
              <w:spacing w:after="0"/>
              <w:ind w:left="270"/>
              <w:rPr>
                <w:sz w:val="20"/>
                <w:szCs w:val="20"/>
              </w:rPr>
            </w:pPr>
            <w:r>
              <w:rPr>
                <w:sz w:val="20"/>
                <w:szCs w:val="20"/>
              </w:rPr>
              <w:t xml:space="preserve">IC #3(b) - </w:t>
            </w:r>
            <w:r w:rsidR="005E1B6C" w:rsidRPr="005E1B6C">
              <w:rPr>
                <w:sz w:val="20"/>
                <w:szCs w:val="20"/>
              </w:rPr>
              <w:t>Consortium Participants</w:t>
            </w:r>
          </w:p>
        </w:tc>
        <w:tc>
          <w:tcPr>
            <w:tcW w:w="126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21</w:t>
            </w:r>
          </w:p>
        </w:tc>
        <w:tc>
          <w:tcPr>
            <w:tcW w:w="1080" w:type="dxa"/>
            <w:shd w:val="clear" w:color="auto" w:fill="auto"/>
            <w:noWrap/>
            <w:hideMark/>
          </w:tcPr>
          <w:p w:rsidR="005E1B6C" w:rsidRPr="005E1B6C" w:rsidRDefault="005E1B6C" w:rsidP="00680675">
            <w:pPr>
              <w:keepNext/>
              <w:tabs>
                <w:tab w:val="decimal" w:pos="610"/>
              </w:tabs>
              <w:spacing w:after="0"/>
              <w:rPr>
                <w:sz w:val="20"/>
                <w:szCs w:val="20"/>
              </w:rPr>
            </w:pPr>
            <w:r w:rsidRPr="005E1B6C">
              <w:rPr>
                <w:sz w:val="20"/>
                <w:szCs w:val="20"/>
              </w:rPr>
              <w:t>171</w:t>
            </w:r>
          </w:p>
        </w:tc>
        <w:tc>
          <w:tcPr>
            <w:tcW w:w="1260" w:type="dxa"/>
            <w:shd w:val="clear" w:color="auto" w:fill="auto"/>
            <w:noWrap/>
            <w:hideMark/>
          </w:tcPr>
          <w:p w:rsidR="005E1B6C" w:rsidRPr="005E1B6C" w:rsidRDefault="005E1B6C" w:rsidP="00710112">
            <w:pPr>
              <w:tabs>
                <w:tab w:val="decimal" w:pos="792"/>
              </w:tabs>
              <w:spacing w:after="0"/>
              <w:rPr>
                <w:color w:val="000000"/>
                <w:sz w:val="20"/>
                <w:szCs w:val="20"/>
              </w:rPr>
            </w:pPr>
            <w:r>
              <w:rPr>
                <w:color w:val="000000"/>
                <w:sz w:val="20"/>
                <w:szCs w:val="20"/>
              </w:rPr>
              <w:t>$</w:t>
            </w:r>
            <w:r w:rsidRPr="005E1B6C">
              <w:rPr>
                <w:color w:val="000000"/>
                <w:sz w:val="20"/>
                <w:szCs w:val="20"/>
              </w:rPr>
              <w:t>11,760</w:t>
            </w:r>
          </w:p>
        </w:tc>
        <w:tc>
          <w:tcPr>
            <w:tcW w:w="1080" w:type="dxa"/>
            <w:shd w:val="clear" w:color="auto" w:fill="auto"/>
            <w:noWrap/>
            <w:hideMark/>
          </w:tcPr>
          <w:p w:rsidR="005E1B6C" w:rsidRPr="00680675" w:rsidRDefault="005E1B6C" w:rsidP="00680675">
            <w:pPr>
              <w:keepNext/>
              <w:tabs>
                <w:tab w:val="decimal" w:pos="702"/>
              </w:tabs>
              <w:spacing w:after="0"/>
              <w:rPr>
                <w:sz w:val="20"/>
                <w:szCs w:val="20"/>
              </w:rPr>
            </w:pPr>
            <w:r w:rsidRPr="00680675">
              <w:rPr>
                <w:sz w:val="20"/>
                <w:szCs w:val="20"/>
              </w:rPr>
              <w:t>3,591</w:t>
            </w:r>
          </w:p>
        </w:tc>
        <w:tc>
          <w:tcPr>
            <w:tcW w:w="1278" w:type="dxa"/>
            <w:shd w:val="clear" w:color="auto" w:fill="auto"/>
            <w:noWrap/>
            <w:hideMark/>
          </w:tcPr>
          <w:p w:rsidR="005E1B6C" w:rsidRPr="005E1B6C" w:rsidRDefault="005E1B6C" w:rsidP="00680675">
            <w:pPr>
              <w:spacing w:after="0"/>
              <w:jc w:val="right"/>
              <w:rPr>
                <w:color w:val="000000"/>
                <w:sz w:val="20"/>
                <w:szCs w:val="20"/>
              </w:rPr>
            </w:pPr>
            <w:r>
              <w:rPr>
                <w:color w:val="000000"/>
                <w:sz w:val="20"/>
                <w:szCs w:val="20"/>
              </w:rPr>
              <w:t>$</w:t>
            </w:r>
            <w:r w:rsidRPr="005E1B6C">
              <w:rPr>
                <w:color w:val="000000"/>
                <w:sz w:val="20"/>
                <w:szCs w:val="20"/>
              </w:rPr>
              <w:t>246,960</w:t>
            </w:r>
          </w:p>
        </w:tc>
      </w:tr>
      <w:tr w:rsidR="005E1B6C" w:rsidRPr="005E1B6C" w:rsidTr="00680675">
        <w:trPr>
          <w:cantSplit/>
        </w:trPr>
        <w:tc>
          <w:tcPr>
            <w:tcW w:w="7938" w:type="dxa"/>
            <w:gridSpan w:val="4"/>
            <w:shd w:val="clear" w:color="auto" w:fill="auto"/>
            <w:vAlign w:val="bottom"/>
            <w:hideMark/>
          </w:tcPr>
          <w:p w:rsidR="005E1B6C" w:rsidRPr="005E1B6C" w:rsidRDefault="005E1B6C" w:rsidP="00680675">
            <w:pPr>
              <w:spacing w:after="0"/>
              <w:jc w:val="right"/>
              <w:rPr>
                <w:b/>
                <w:bCs/>
                <w:i/>
                <w:iCs/>
                <w:sz w:val="20"/>
                <w:szCs w:val="20"/>
              </w:rPr>
            </w:pPr>
            <w:r w:rsidRPr="005E1B6C">
              <w:rPr>
                <w:b/>
                <w:bCs/>
                <w:i/>
                <w:iCs/>
                <w:sz w:val="20"/>
                <w:szCs w:val="20"/>
              </w:rPr>
              <w:t>Subtotal for Pesticide Inert Ingredients:</w:t>
            </w:r>
          </w:p>
        </w:tc>
        <w:tc>
          <w:tcPr>
            <w:tcW w:w="1080" w:type="dxa"/>
            <w:shd w:val="clear" w:color="000000" w:fill="B8CCE4"/>
            <w:hideMark/>
          </w:tcPr>
          <w:p w:rsidR="005E1B6C" w:rsidRPr="00680675" w:rsidRDefault="00AA1FCC" w:rsidP="00680675">
            <w:pPr>
              <w:keepNext/>
              <w:tabs>
                <w:tab w:val="decimal" w:pos="702"/>
              </w:tabs>
              <w:spacing w:after="0"/>
              <w:rPr>
                <w:b/>
                <w:i/>
                <w:sz w:val="20"/>
                <w:szCs w:val="20"/>
              </w:rPr>
            </w:pPr>
            <w:r w:rsidRPr="00680675">
              <w:rPr>
                <w:b/>
                <w:i/>
                <w:sz w:val="20"/>
                <w:szCs w:val="20"/>
              </w:rPr>
              <w:t>15,</w:t>
            </w:r>
            <w:r w:rsidR="00A31609" w:rsidRPr="00680675">
              <w:rPr>
                <w:b/>
                <w:i/>
                <w:sz w:val="20"/>
                <w:szCs w:val="20"/>
              </w:rPr>
              <w:t>739</w:t>
            </w:r>
          </w:p>
        </w:tc>
        <w:tc>
          <w:tcPr>
            <w:tcW w:w="1278" w:type="dxa"/>
            <w:shd w:val="clear" w:color="000000" w:fill="B8CCE4"/>
            <w:hideMark/>
          </w:tcPr>
          <w:p w:rsidR="005E1B6C" w:rsidRPr="00680675" w:rsidRDefault="005E1B6C" w:rsidP="00680675">
            <w:pPr>
              <w:spacing w:after="0"/>
              <w:jc w:val="right"/>
              <w:rPr>
                <w:b/>
                <w:i/>
                <w:color w:val="000000"/>
                <w:sz w:val="20"/>
                <w:szCs w:val="20"/>
              </w:rPr>
            </w:pPr>
            <w:r w:rsidRPr="00680675">
              <w:rPr>
                <w:b/>
                <w:i/>
                <w:color w:val="000000"/>
                <w:sz w:val="20"/>
                <w:szCs w:val="20"/>
              </w:rPr>
              <w:t>$1,0</w:t>
            </w:r>
            <w:r w:rsidR="00A31609" w:rsidRPr="00680675">
              <w:rPr>
                <w:b/>
                <w:i/>
                <w:color w:val="000000"/>
                <w:sz w:val="20"/>
                <w:szCs w:val="20"/>
              </w:rPr>
              <w:t>86</w:t>
            </w:r>
            <w:r w:rsidRPr="00680675">
              <w:rPr>
                <w:b/>
                <w:i/>
                <w:color w:val="000000"/>
                <w:sz w:val="20"/>
                <w:szCs w:val="20"/>
              </w:rPr>
              <w:t>,</w:t>
            </w:r>
            <w:r w:rsidR="00A31609" w:rsidRPr="00680675">
              <w:rPr>
                <w:b/>
                <w:i/>
                <w:color w:val="000000"/>
                <w:sz w:val="20"/>
                <w:szCs w:val="20"/>
              </w:rPr>
              <w:t>333</w:t>
            </w:r>
          </w:p>
        </w:tc>
      </w:tr>
      <w:tr w:rsidR="00555521" w:rsidRPr="005E1B6C" w:rsidTr="00555521">
        <w:trPr>
          <w:cantSplit/>
        </w:trPr>
        <w:tc>
          <w:tcPr>
            <w:tcW w:w="4338" w:type="dxa"/>
            <w:tcBorders>
              <w:bottom w:val="single" w:sz="4" w:space="0" w:color="auto"/>
            </w:tcBorders>
            <w:shd w:val="clear" w:color="000000" w:fill="B8CCE4"/>
            <w:vAlign w:val="bottom"/>
            <w:hideMark/>
          </w:tcPr>
          <w:p w:rsidR="00555521" w:rsidRPr="005E1B6C" w:rsidRDefault="00555521" w:rsidP="00680675">
            <w:pPr>
              <w:spacing w:after="0"/>
              <w:jc w:val="right"/>
              <w:rPr>
                <w:b/>
                <w:bCs/>
                <w:sz w:val="20"/>
                <w:szCs w:val="20"/>
              </w:rPr>
            </w:pPr>
            <w:r w:rsidRPr="005E1B6C">
              <w:rPr>
                <w:b/>
                <w:bCs/>
                <w:sz w:val="20"/>
                <w:szCs w:val="20"/>
              </w:rPr>
              <w:t>Total:</w:t>
            </w:r>
            <w:r w:rsidRPr="005E1B6C">
              <w:rPr>
                <w:sz w:val="20"/>
                <w:szCs w:val="20"/>
                <w:vertAlign w:val="superscript"/>
              </w:rPr>
              <w:t>(e</w:t>
            </w:r>
            <w:r w:rsidRPr="005E1B6C">
              <w:rPr>
                <w:b/>
                <w:bCs/>
                <w:sz w:val="20"/>
                <w:szCs w:val="20"/>
                <w:vertAlign w:val="superscript"/>
              </w:rPr>
              <w:t>)</w:t>
            </w:r>
          </w:p>
        </w:tc>
        <w:tc>
          <w:tcPr>
            <w:tcW w:w="1260" w:type="dxa"/>
            <w:tcBorders>
              <w:bottom w:val="single" w:sz="4" w:space="0" w:color="auto"/>
            </w:tcBorders>
            <w:shd w:val="clear" w:color="000000" w:fill="B8CCE4"/>
            <w:vAlign w:val="center"/>
          </w:tcPr>
          <w:p w:rsidR="00555521" w:rsidRPr="005E1B6C" w:rsidRDefault="00555521" w:rsidP="00555521">
            <w:pPr>
              <w:spacing w:after="0"/>
              <w:jc w:val="center"/>
              <w:rPr>
                <w:b/>
                <w:bCs/>
                <w:sz w:val="20"/>
                <w:szCs w:val="20"/>
              </w:rPr>
            </w:pPr>
            <w:r>
              <w:rPr>
                <w:b/>
                <w:bCs/>
                <w:sz w:val="20"/>
                <w:szCs w:val="20"/>
              </w:rPr>
              <w:t>385</w:t>
            </w:r>
          </w:p>
        </w:tc>
        <w:tc>
          <w:tcPr>
            <w:tcW w:w="1080" w:type="dxa"/>
            <w:tcBorders>
              <w:bottom w:val="single" w:sz="4" w:space="0" w:color="auto"/>
            </w:tcBorders>
            <w:shd w:val="clear" w:color="000000" w:fill="B8CCE4"/>
            <w:vAlign w:val="bottom"/>
            <w:hideMark/>
          </w:tcPr>
          <w:p w:rsidR="00555521" w:rsidRPr="00680675" w:rsidRDefault="00555521" w:rsidP="00680675">
            <w:pPr>
              <w:keepNext/>
              <w:tabs>
                <w:tab w:val="decimal" w:pos="610"/>
              </w:tabs>
              <w:spacing w:after="0"/>
              <w:rPr>
                <w:b/>
                <w:sz w:val="20"/>
                <w:szCs w:val="20"/>
              </w:rPr>
            </w:pPr>
            <w:r w:rsidRPr="00680675">
              <w:rPr>
                <w:b/>
                <w:sz w:val="20"/>
                <w:szCs w:val="20"/>
              </w:rPr>
              <w:t>9,838</w:t>
            </w:r>
          </w:p>
        </w:tc>
        <w:tc>
          <w:tcPr>
            <w:tcW w:w="1260" w:type="dxa"/>
            <w:tcBorders>
              <w:bottom w:val="single" w:sz="4" w:space="0" w:color="auto"/>
            </w:tcBorders>
            <w:shd w:val="clear" w:color="000000" w:fill="B8CCE4"/>
            <w:vAlign w:val="bottom"/>
            <w:hideMark/>
          </w:tcPr>
          <w:p w:rsidR="00555521" w:rsidRPr="005E1B6C" w:rsidRDefault="00555521" w:rsidP="00710112">
            <w:pPr>
              <w:tabs>
                <w:tab w:val="decimal" w:pos="792"/>
              </w:tabs>
              <w:spacing w:after="0"/>
              <w:rPr>
                <w:b/>
                <w:bCs/>
                <w:color w:val="000000"/>
                <w:sz w:val="20"/>
                <w:szCs w:val="20"/>
              </w:rPr>
            </w:pPr>
            <w:r>
              <w:rPr>
                <w:b/>
                <w:bCs/>
                <w:color w:val="000000"/>
                <w:sz w:val="20"/>
                <w:szCs w:val="20"/>
              </w:rPr>
              <w:t>$</w:t>
            </w:r>
            <w:r w:rsidRPr="005E1B6C">
              <w:rPr>
                <w:b/>
                <w:bCs/>
                <w:color w:val="000000"/>
                <w:sz w:val="20"/>
                <w:szCs w:val="20"/>
              </w:rPr>
              <w:t>62</w:t>
            </w:r>
            <w:r>
              <w:rPr>
                <w:b/>
                <w:bCs/>
                <w:color w:val="000000"/>
                <w:sz w:val="20"/>
                <w:szCs w:val="20"/>
              </w:rPr>
              <w:t>1</w:t>
            </w:r>
            <w:r w:rsidRPr="005E1B6C">
              <w:rPr>
                <w:b/>
                <w:bCs/>
                <w:color w:val="000000"/>
                <w:sz w:val="20"/>
                <w:szCs w:val="20"/>
              </w:rPr>
              <w:t>,</w:t>
            </w:r>
            <w:r>
              <w:rPr>
                <w:b/>
                <w:bCs/>
                <w:color w:val="000000"/>
                <w:sz w:val="20"/>
                <w:szCs w:val="20"/>
              </w:rPr>
              <w:t>458</w:t>
            </w:r>
          </w:p>
        </w:tc>
        <w:tc>
          <w:tcPr>
            <w:tcW w:w="1080" w:type="dxa"/>
            <w:tcBorders>
              <w:bottom w:val="single" w:sz="4" w:space="0" w:color="auto"/>
            </w:tcBorders>
            <w:shd w:val="clear" w:color="000000" w:fill="B8CCE4"/>
            <w:vAlign w:val="bottom"/>
            <w:hideMark/>
          </w:tcPr>
          <w:p w:rsidR="00555521" w:rsidRPr="00680675" w:rsidRDefault="00555521" w:rsidP="00680675">
            <w:pPr>
              <w:keepNext/>
              <w:tabs>
                <w:tab w:val="decimal" w:pos="702"/>
              </w:tabs>
              <w:spacing w:after="0"/>
              <w:rPr>
                <w:b/>
                <w:sz w:val="20"/>
                <w:szCs w:val="20"/>
              </w:rPr>
            </w:pPr>
            <w:r w:rsidRPr="00680675">
              <w:rPr>
                <w:b/>
                <w:sz w:val="20"/>
                <w:szCs w:val="20"/>
              </w:rPr>
              <w:t>295,211</w:t>
            </w:r>
          </w:p>
        </w:tc>
        <w:tc>
          <w:tcPr>
            <w:tcW w:w="1278" w:type="dxa"/>
            <w:tcBorders>
              <w:bottom w:val="single" w:sz="4" w:space="0" w:color="auto"/>
            </w:tcBorders>
            <w:shd w:val="clear" w:color="000000" w:fill="B8CCE4"/>
            <w:vAlign w:val="bottom"/>
            <w:hideMark/>
          </w:tcPr>
          <w:p w:rsidR="00555521" w:rsidRPr="00680675" w:rsidRDefault="00555521" w:rsidP="00680675">
            <w:pPr>
              <w:spacing w:after="0"/>
              <w:jc w:val="right"/>
              <w:rPr>
                <w:b/>
                <w:color w:val="000000"/>
                <w:sz w:val="20"/>
                <w:szCs w:val="20"/>
              </w:rPr>
            </w:pPr>
            <w:r w:rsidRPr="00680675">
              <w:rPr>
                <w:b/>
                <w:color w:val="000000"/>
                <w:sz w:val="20"/>
                <w:szCs w:val="20"/>
              </w:rPr>
              <w:t>$18,905,421</w:t>
            </w:r>
          </w:p>
        </w:tc>
      </w:tr>
      <w:tr w:rsidR="009474D7" w:rsidRPr="005E1B6C" w:rsidTr="00B73C71">
        <w:trPr>
          <w:cantSplit/>
        </w:trPr>
        <w:tc>
          <w:tcPr>
            <w:tcW w:w="10296" w:type="dxa"/>
            <w:gridSpan w:val="6"/>
            <w:tcBorders>
              <w:left w:val="nil"/>
              <w:bottom w:val="nil"/>
              <w:right w:val="nil"/>
            </w:tcBorders>
            <w:shd w:val="clear" w:color="auto" w:fill="auto"/>
          </w:tcPr>
          <w:p w:rsidR="009474D7" w:rsidRPr="005E1B6C" w:rsidRDefault="009474D7" w:rsidP="00680675">
            <w:pPr>
              <w:spacing w:after="0"/>
              <w:rPr>
                <w:sz w:val="18"/>
                <w:szCs w:val="20"/>
                <w:u w:val="single"/>
              </w:rPr>
            </w:pPr>
            <w:r w:rsidRPr="005E1B6C">
              <w:rPr>
                <w:sz w:val="18"/>
                <w:szCs w:val="20"/>
                <w:u w:val="single"/>
              </w:rPr>
              <w:t>Key:</w:t>
            </w:r>
          </w:p>
        </w:tc>
      </w:tr>
      <w:tr w:rsidR="009474D7" w:rsidRPr="005E1B6C" w:rsidTr="00B73C71">
        <w:trPr>
          <w:cantSplit/>
        </w:trPr>
        <w:tc>
          <w:tcPr>
            <w:tcW w:w="10296" w:type="dxa"/>
            <w:gridSpan w:val="6"/>
            <w:tcBorders>
              <w:top w:val="nil"/>
              <w:left w:val="nil"/>
              <w:bottom w:val="nil"/>
              <w:right w:val="nil"/>
            </w:tcBorders>
            <w:shd w:val="clear" w:color="auto" w:fill="auto"/>
          </w:tcPr>
          <w:p w:rsidR="009474D7" w:rsidRPr="005E1B6C" w:rsidRDefault="009474D7" w:rsidP="00680675">
            <w:pPr>
              <w:spacing w:after="0"/>
              <w:rPr>
                <w:sz w:val="18"/>
                <w:szCs w:val="20"/>
              </w:rPr>
            </w:pPr>
            <w:r w:rsidRPr="005E1B6C">
              <w:rPr>
                <w:sz w:val="18"/>
                <w:szCs w:val="20"/>
              </w:rPr>
              <w:t xml:space="preserve">(a) </w:t>
            </w:r>
            <w:r w:rsidR="00006FA0" w:rsidRPr="00006FA0">
              <w:rPr>
                <w:sz w:val="18"/>
                <w:szCs w:val="20"/>
              </w:rPr>
              <w:t xml:space="preserve">Grouped by respondents and according to IC category as presented in section 6(b) of this renewal ICR. </w:t>
            </w:r>
            <w:r w:rsidRPr="005E1B6C">
              <w:rPr>
                <w:sz w:val="18"/>
                <w:szCs w:val="20"/>
              </w:rPr>
              <w:t xml:space="preserve"> </w:t>
            </w:r>
          </w:p>
        </w:tc>
      </w:tr>
      <w:tr w:rsidR="009474D7" w:rsidRPr="005E1B6C" w:rsidTr="00B73C71">
        <w:trPr>
          <w:cantSplit/>
        </w:trPr>
        <w:tc>
          <w:tcPr>
            <w:tcW w:w="10296" w:type="dxa"/>
            <w:gridSpan w:val="6"/>
            <w:tcBorders>
              <w:top w:val="nil"/>
              <w:left w:val="nil"/>
              <w:bottom w:val="nil"/>
              <w:right w:val="nil"/>
            </w:tcBorders>
            <w:shd w:val="clear" w:color="auto" w:fill="auto"/>
          </w:tcPr>
          <w:p w:rsidR="009474D7" w:rsidRPr="005E1B6C" w:rsidRDefault="009474D7" w:rsidP="00680675">
            <w:pPr>
              <w:spacing w:after="0"/>
              <w:rPr>
                <w:sz w:val="18"/>
                <w:szCs w:val="20"/>
              </w:rPr>
            </w:pPr>
            <w:r w:rsidRPr="005E1B6C">
              <w:rPr>
                <w:sz w:val="18"/>
                <w:szCs w:val="20"/>
              </w:rPr>
              <w:t>(b) From Table 1, includes catch-up orders.</w:t>
            </w:r>
          </w:p>
        </w:tc>
      </w:tr>
      <w:tr w:rsidR="009474D7" w:rsidRPr="005E1B6C" w:rsidTr="00B73C71">
        <w:trPr>
          <w:cantSplit/>
        </w:trPr>
        <w:tc>
          <w:tcPr>
            <w:tcW w:w="10296" w:type="dxa"/>
            <w:gridSpan w:val="6"/>
            <w:tcBorders>
              <w:top w:val="nil"/>
              <w:left w:val="nil"/>
              <w:bottom w:val="nil"/>
              <w:right w:val="nil"/>
            </w:tcBorders>
            <w:shd w:val="clear" w:color="auto" w:fill="auto"/>
          </w:tcPr>
          <w:p w:rsidR="009474D7" w:rsidRPr="005E1B6C" w:rsidRDefault="009474D7" w:rsidP="00680675">
            <w:pPr>
              <w:spacing w:after="0"/>
              <w:rPr>
                <w:sz w:val="18"/>
                <w:szCs w:val="20"/>
              </w:rPr>
            </w:pPr>
            <w:r w:rsidRPr="005E1B6C">
              <w:rPr>
                <w:sz w:val="18"/>
                <w:szCs w:val="20"/>
              </w:rPr>
              <w:t xml:space="preserve">(c) See totals from Tables in section 6(b) of this renewal ICR. </w:t>
            </w:r>
          </w:p>
        </w:tc>
      </w:tr>
      <w:tr w:rsidR="009474D7" w:rsidRPr="005E1B6C" w:rsidTr="00B73C71">
        <w:trPr>
          <w:cantSplit/>
        </w:trPr>
        <w:tc>
          <w:tcPr>
            <w:tcW w:w="10296" w:type="dxa"/>
            <w:gridSpan w:val="6"/>
            <w:tcBorders>
              <w:top w:val="nil"/>
              <w:left w:val="nil"/>
              <w:bottom w:val="nil"/>
              <w:right w:val="nil"/>
            </w:tcBorders>
            <w:shd w:val="clear" w:color="auto" w:fill="auto"/>
          </w:tcPr>
          <w:p w:rsidR="009474D7" w:rsidRPr="005E1B6C" w:rsidRDefault="009474D7" w:rsidP="00680675">
            <w:pPr>
              <w:spacing w:after="0"/>
              <w:rPr>
                <w:sz w:val="18"/>
                <w:szCs w:val="20"/>
              </w:rPr>
            </w:pPr>
            <w:r w:rsidRPr="005E1B6C">
              <w:rPr>
                <w:sz w:val="18"/>
                <w:szCs w:val="20"/>
              </w:rPr>
              <w:t>(d) Total = (b) x (c)</w:t>
            </w:r>
          </w:p>
        </w:tc>
      </w:tr>
      <w:tr w:rsidR="009474D7" w:rsidRPr="005E1B6C" w:rsidTr="00B73C71">
        <w:trPr>
          <w:cantSplit/>
        </w:trPr>
        <w:tc>
          <w:tcPr>
            <w:tcW w:w="10296" w:type="dxa"/>
            <w:gridSpan w:val="6"/>
            <w:tcBorders>
              <w:top w:val="nil"/>
              <w:left w:val="nil"/>
              <w:bottom w:val="nil"/>
              <w:right w:val="nil"/>
            </w:tcBorders>
            <w:shd w:val="clear" w:color="auto" w:fill="auto"/>
          </w:tcPr>
          <w:p w:rsidR="009474D7" w:rsidRPr="005E1B6C" w:rsidRDefault="009474D7" w:rsidP="00680675">
            <w:pPr>
              <w:spacing w:after="0"/>
              <w:rPr>
                <w:sz w:val="18"/>
                <w:szCs w:val="20"/>
              </w:rPr>
            </w:pPr>
            <w:r w:rsidRPr="005E1B6C">
              <w:rPr>
                <w:sz w:val="18"/>
                <w:szCs w:val="20"/>
              </w:rPr>
              <w:t xml:space="preserve">(e) </w:t>
            </w:r>
            <w:r w:rsidR="00555521" w:rsidRPr="00555521">
              <w:rPr>
                <w:sz w:val="18"/>
                <w:szCs w:val="20"/>
              </w:rPr>
              <w:t>Calculated by adding the column</w:t>
            </w:r>
            <w:r w:rsidRPr="005E1B6C">
              <w:rPr>
                <w:sz w:val="18"/>
                <w:szCs w:val="20"/>
              </w:rPr>
              <w:t>.</w:t>
            </w:r>
          </w:p>
        </w:tc>
      </w:tr>
    </w:tbl>
    <w:p w:rsidR="00733994" w:rsidRDefault="001F435B" w:rsidP="002F2414">
      <w:pPr>
        <w:spacing w:before="240"/>
      </w:pPr>
      <w:r>
        <w:t xml:space="preserve">The </w:t>
      </w:r>
      <w:r w:rsidRPr="00804A22">
        <w:rPr>
          <w:b/>
        </w:rPr>
        <w:t xml:space="preserve">total </w:t>
      </w:r>
      <w:r w:rsidR="00773F62">
        <w:rPr>
          <w:b/>
        </w:rPr>
        <w:t xml:space="preserve">potential </w:t>
      </w:r>
      <w:r w:rsidR="00804A22" w:rsidRPr="00804A22">
        <w:rPr>
          <w:b/>
        </w:rPr>
        <w:t xml:space="preserve">respondent </w:t>
      </w:r>
      <w:r w:rsidRPr="00804A22">
        <w:rPr>
          <w:b/>
        </w:rPr>
        <w:t>burden and cost</w:t>
      </w:r>
      <w:r>
        <w:t xml:space="preserve"> calculated in this renewal ICR involves activities that cannot be divided by year.</w:t>
      </w:r>
      <w:r w:rsidR="000C6CB0">
        <w:t xml:space="preserve"> </w:t>
      </w:r>
      <w:r>
        <w:t xml:space="preserve">The </w:t>
      </w:r>
      <w:r w:rsidR="00CF1D4B">
        <w:t>agency</w:t>
      </w:r>
      <w:r>
        <w:t xml:space="preserve"> has calculated the total burden and assumed </w:t>
      </w:r>
      <w:proofErr w:type="gramStart"/>
      <w:r>
        <w:t>a 3</w:t>
      </w:r>
      <w:proofErr w:type="gramEnd"/>
      <w:r>
        <w:t>-year duration of equal effort to calculate the annual burden and cost for this ICR.</w:t>
      </w:r>
      <w:r w:rsidR="000C6CB0">
        <w:t xml:space="preserve"> </w:t>
      </w:r>
      <w:r>
        <w:t>As such, the total respondent burden and costs for this ICR (as presented in Table 14) is simply divided by 3 to get an estimated annual</w:t>
      </w:r>
      <w:r w:rsidR="006E48B5">
        <w:t>ized</w:t>
      </w:r>
      <w:r>
        <w:t xml:space="preserve"> </w:t>
      </w:r>
      <w:r>
        <w:lastRenderedPageBreak/>
        <w:t xml:space="preserve">burden of </w:t>
      </w:r>
      <w:r w:rsidR="009D48FC" w:rsidRPr="006351DD">
        <w:rPr>
          <w:b/>
        </w:rPr>
        <w:t>9</w:t>
      </w:r>
      <w:r w:rsidR="00A31609">
        <w:rPr>
          <w:b/>
        </w:rPr>
        <w:t>8</w:t>
      </w:r>
      <w:r w:rsidR="009D48FC" w:rsidRPr="006351DD">
        <w:rPr>
          <w:b/>
        </w:rPr>
        <w:t>,</w:t>
      </w:r>
      <w:r w:rsidR="00A31609">
        <w:rPr>
          <w:b/>
        </w:rPr>
        <w:t>4</w:t>
      </w:r>
      <w:r w:rsidR="00EF62D9">
        <w:rPr>
          <w:b/>
        </w:rPr>
        <w:t>0</w:t>
      </w:r>
      <w:r w:rsidR="00E9484A">
        <w:rPr>
          <w:b/>
        </w:rPr>
        <w:t>3</w:t>
      </w:r>
      <w:r w:rsidRPr="006351DD">
        <w:rPr>
          <w:b/>
        </w:rPr>
        <w:t xml:space="preserve"> hours</w:t>
      </w:r>
      <w:r w:rsidRPr="00F52A3C">
        <w:t xml:space="preserve"> (</w:t>
      </w:r>
      <w:r w:rsidR="009D48FC" w:rsidRPr="00F52A3C">
        <w:t>29</w:t>
      </w:r>
      <w:r w:rsidR="00A31609">
        <w:t>5</w:t>
      </w:r>
      <w:r w:rsidR="009D48FC" w:rsidRPr="00F52A3C">
        <w:t>,</w:t>
      </w:r>
      <w:r w:rsidR="00AE35F7">
        <w:t>2</w:t>
      </w:r>
      <w:r w:rsidR="00A31609">
        <w:t>1</w:t>
      </w:r>
      <w:r w:rsidR="00AE35F7">
        <w:t>1</w:t>
      </w:r>
      <w:r w:rsidRPr="00F52A3C">
        <w:t xml:space="preserve"> hours ÷ 3) and a</w:t>
      </w:r>
      <w:r w:rsidR="00427C5D">
        <w:t>n estimated annual</w:t>
      </w:r>
      <w:r w:rsidR="006E48B5">
        <w:t>ized</w:t>
      </w:r>
      <w:r w:rsidRPr="00F52A3C">
        <w:t xml:space="preserve"> cost of </w:t>
      </w:r>
      <w:r w:rsidR="007D3345" w:rsidRPr="00970C53">
        <w:rPr>
          <w:b/>
        </w:rPr>
        <w:t>$6,</w:t>
      </w:r>
      <w:r w:rsidR="00A31609">
        <w:rPr>
          <w:b/>
        </w:rPr>
        <w:t>301</w:t>
      </w:r>
      <w:r w:rsidR="007D3345" w:rsidRPr="006351DD">
        <w:rPr>
          <w:b/>
        </w:rPr>
        <w:t>,</w:t>
      </w:r>
      <w:r w:rsidR="00A31609">
        <w:rPr>
          <w:b/>
        </w:rPr>
        <w:t>807</w:t>
      </w:r>
      <w:r w:rsidR="007D3345">
        <w:rPr>
          <w:b/>
        </w:rPr>
        <w:t xml:space="preserve"> </w:t>
      </w:r>
      <w:r w:rsidRPr="00F52A3C">
        <w:t>($</w:t>
      </w:r>
      <w:r w:rsidR="009D48FC" w:rsidRPr="00F52A3C">
        <w:t>1</w:t>
      </w:r>
      <w:r w:rsidR="00A31609">
        <w:t>8</w:t>
      </w:r>
      <w:r w:rsidR="00A31A91" w:rsidRPr="00F52A3C">
        <w:t>,</w:t>
      </w:r>
      <w:r w:rsidR="00A31609">
        <w:t>905</w:t>
      </w:r>
      <w:r w:rsidR="009D48FC" w:rsidRPr="00F52A3C">
        <w:t>,</w:t>
      </w:r>
      <w:r w:rsidR="00A31609">
        <w:t>421</w:t>
      </w:r>
      <w:r w:rsidRPr="00F52A3C">
        <w:t xml:space="preserve"> ÷ 3).</w:t>
      </w:r>
    </w:p>
    <w:p w:rsidR="00F40A4F" w:rsidRDefault="00F40A4F" w:rsidP="00F40A4F">
      <w:pPr>
        <w:pStyle w:val="TableCaption"/>
      </w:pPr>
      <w:r>
        <w:t xml:space="preserve">Table 17 – </w:t>
      </w:r>
      <w:r w:rsidR="003B31BE">
        <w:t xml:space="preserve">Annualized </w:t>
      </w:r>
      <w:r>
        <w:t>Estimated T</w:t>
      </w:r>
      <w:r w:rsidR="003B31BE">
        <w:t xml:space="preserve">otal </w:t>
      </w:r>
      <w:r>
        <w:t>Respondent Burden and Costs for ALL Activities</w:t>
      </w:r>
    </w:p>
    <w:tbl>
      <w:tblPr>
        <w:tblW w:w="5000" w:type="pct"/>
        <w:tblLayout w:type="fixed"/>
        <w:tblLook w:val="04A0"/>
      </w:tblPr>
      <w:tblGrid>
        <w:gridCol w:w="18"/>
        <w:gridCol w:w="4050"/>
        <w:gridCol w:w="1260"/>
        <w:gridCol w:w="1350"/>
        <w:gridCol w:w="990"/>
        <w:gridCol w:w="1350"/>
        <w:gridCol w:w="1261"/>
        <w:gridCol w:w="17"/>
      </w:tblGrid>
      <w:tr w:rsidR="00E9484A" w:rsidRPr="007A1BE8" w:rsidTr="00006FA0">
        <w:trPr>
          <w:gridBefore w:val="1"/>
          <w:gridAfter w:val="1"/>
          <w:wBefore w:w="18" w:type="dxa"/>
          <w:wAfter w:w="17" w:type="dxa"/>
          <w:cantSplit/>
          <w:trHeight w:val="20"/>
          <w:tblHeader/>
        </w:trPr>
        <w:tc>
          <w:tcPr>
            <w:tcW w:w="4050" w:type="dxa"/>
            <w:vMerge w:val="restart"/>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E9484A" w:rsidRPr="007A1BE8" w:rsidRDefault="00E9484A" w:rsidP="00E9484A">
            <w:pPr>
              <w:keepNext/>
              <w:spacing w:after="0"/>
              <w:jc w:val="center"/>
              <w:rPr>
                <w:b/>
                <w:sz w:val="20"/>
                <w:szCs w:val="20"/>
              </w:rPr>
            </w:pPr>
            <w:r w:rsidRPr="007A1BE8">
              <w:rPr>
                <w:b/>
                <w:sz w:val="20"/>
                <w:szCs w:val="20"/>
              </w:rPr>
              <w:t>Respondent Category</w:t>
            </w:r>
            <w:r w:rsidRPr="00E9484A">
              <w:rPr>
                <w:b/>
                <w:bCs/>
                <w:sz w:val="20"/>
                <w:szCs w:val="20"/>
                <w:vertAlign w:val="superscript"/>
              </w:rPr>
              <w:t>(a)</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E9484A" w:rsidRPr="007A1BE8" w:rsidRDefault="00E9484A" w:rsidP="00E9484A">
            <w:pPr>
              <w:keepNext/>
              <w:spacing w:after="0"/>
              <w:jc w:val="center"/>
              <w:rPr>
                <w:b/>
                <w:sz w:val="20"/>
                <w:szCs w:val="20"/>
              </w:rPr>
            </w:pPr>
            <w:r w:rsidRPr="007A1BE8">
              <w:rPr>
                <w:b/>
                <w:sz w:val="20"/>
                <w:szCs w:val="20"/>
              </w:rPr>
              <w:t>Total # Responses</w:t>
            </w:r>
            <w:r w:rsidRPr="00E9484A">
              <w:rPr>
                <w:b/>
                <w:bCs/>
                <w:sz w:val="20"/>
                <w:szCs w:val="20"/>
                <w:vertAlign w:val="superscript"/>
              </w:rPr>
              <w:t>(b)</w:t>
            </w:r>
          </w:p>
        </w:tc>
        <w:tc>
          <w:tcPr>
            <w:tcW w:w="2340" w:type="dxa"/>
            <w:gridSpan w:val="2"/>
            <w:tcBorders>
              <w:top w:val="single" w:sz="4" w:space="0" w:color="auto"/>
              <w:left w:val="nil"/>
              <w:bottom w:val="single" w:sz="4" w:space="0" w:color="auto"/>
              <w:right w:val="single" w:sz="4" w:space="0" w:color="auto"/>
            </w:tcBorders>
            <w:shd w:val="clear" w:color="000000" w:fill="B8CCE4"/>
            <w:noWrap/>
            <w:vAlign w:val="center"/>
            <w:hideMark/>
          </w:tcPr>
          <w:p w:rsidR="00E9484A" w:rsidRPr="007A1BE8" w:rsidRDefault="00E9484A" w:rsidP="00E9484A">
            <w:pPr>
              <w:keepNext/>
              <w:spacing w:after="0"/>
              <w:jc w:val="center"/>
              <w:rPr>
                <w:b/>
                <w:sz w:val="20"/>
                <w:szCs w:val="20"/>
              </w:rPr>
            </w:pPr>
            <w:r w:rsidRPr="007A1BE8">
              <w:rPr>
                <w:b/>
                <w:sz w:val="20"/>
                <w:szCs w:val="20"/>
              </w:rPr>
              <w:t>Per Response</w:t>
            </w:r>
            <w:r w:rsidRPr="00E9484A">
              <w:rPr>
                <w:b/>
                <w:bCs/>
                <w:sz w:val="20"/>
                <w:szCs w:val="20"/>
                <w:vertAlign w:val="superscript"/>
              </w:rPr>
              <w:t>(c)</w:t>
            </w:r>
          </w:p>
        </w:tc>
        <w:tc>
          <w:tcPr>
            <w:tcW w:w="2611" w:type="dxa"/>
            <w:gridSpan w:val="2"/>
            <w:tcBorders>
              <w:top w:val="single" w:sz="4" w:space="0" w:color="auto"/>
              <w:left w:val="nil"/>
              <w:bottom w:val="single" w:sz="4" w:space="0" w:color="auto"/>
              <w:right w:val="single" w:sz="4" w:space="0" w:color="auto"/>
            </w:tcBorders>
            <w:shd w:val="clear" w:color="000000" w:fill="B8CCE4"/>
            <w:noWrap/>
            <w:vAlign w:val="center"/>
            <w:hideMark/>
          </w:tcPr>
          <w:p w:rsidR="00E9484A" w:rsidRPr="007A1BE8" w:rsidRDefault="00E9484A" w:rsidP="00E9484A">
            <w:pPr>
              <w:keepNext/>
              <w:spacing w:after="0"/>
              <w:jc w:val="center"/>
              <w:rPr>
                <w:b/>
                <w:sz w:val="20"/>
                <w:szCs w:val="20"/>
              </w:rPr>
            </w:pPr>
            <w:r w:rsidRPr="007A1BE8">
              <w:rPr>
                <w:b/>
                <w:sz w:val="20"/>
                <w:szCs w:val="20"/>
              </w:rPr>
              <w:t>Total</w:t>
            </w:r>
            <w:r w:rsidRPr="00E9484A">
              <w:rPr>
                <w:b/>
                <w:bCs/>
                <w:sz w:val="20"/>
                <w:szCs w:val="20"/>
                <w:vertAlign w:val="superscript"/>
              </w:rPr>
              <w:t>(d)</w:t>
            </w:r>
          </w:p>
        </w:tc>
      </w:tr>
      <w:tr w:rsidR="00E9484A" w:rsidRPr="007A1BE8" w:rsidTr="00006FA0">
        <w:trPr>
          <w:gridBefore w:val="1"/>
          <w:gridAfter w:val="1"/>
          <w:wBefore w:w="18" w:type="dxa"/>
          <w:wAfter w:w="17" w:type="dxa"/>
          <w:cantSplit/>
          <w:trHeight w:val="230"/>
          <w:tblHeader/>
        </w:trPr>
        <w:tc>
          <w:tcPr>
            <w:tcW w:w="4050" w:type="dxa"/>
            <w:vMerge/>
            <w:tcBorders>
              <w:top w:val="single" w:sz="4" w:space="0" w:color="auto"/>
              <w:left w:val="single" w:sz="4" w:space="0" w:color="auto"/>
              <w:bottom w:val="single" w:sz="4" w:space="0" w:color="auto"/>
              <w:right w:val="single" w:sz="4" w:space="0" w:color="auto"/>
            </w:tcBorders>
            <w:vAlign w:val="center"/>
            <w:hideMark/>
          </w:tcPr>
          <w:p w:rsidR="00E9484A" w:rsidRPr="007A1BE8" w:rsidRDefault="00E9484A" w:rsidP="00E9484A">
            <w:pPr>
              <w:keepNext/>
              <w:spacing w:after="0"/>
              <w:jc w:val="center"/>
              <w:rPr>
                <w:b/>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9484A" w:rsidRPr="007A1BE8" w:rsidRDefault="00E9484A" w:rsidP="00E9484A">
            <w:pPr>
              <w:keepNext/>
              <w:spacing w:after="0"/>
              <w:jc w:val="center"/>
              <w:rPr>
                <w:b/>
                <w:sz w:val="20"/>
                <w:szCs w:val="20"/>
              </w:rPr>
            </w:pPr>
          </w:p>
        </w:tc>
        <w:tc>
          <w:tcPr>
            <w:tcW w:w="1350" w:type="dxa"/>
            <w:vMerge w:val="restart"/>
            <w:tcBorders>
              <w:top w:val="nil"/>
              <w:left w:val="single" w:sz="4" w:space="0" w:color="auto"/>
              <w:bottom w:val="single" w:sz="4" w:space="0" w:color="auto"/>
              <w:right w:val="single" w:sz="4" w:space="0" w:color="auto"/>
            </w:tcBorders>
            <w:shd w:val="clear" w:color="000000" w:fill="B8CCE4"/>
            <w:vAlign w:val="center"/>
            <w:hideMark/>
          </w:tcPr>
          <w:p w:rsidR="00E9484A" w:rsidRPr="007A1BE8" w:rsidRDefault="00E9484A" w:rsidP="00E9484A">
            <w:pPr>
              <w:keepNext/>
              <w:spacing w:after="0"/>
              <w:jc w:val="center"/>
              <w:rPr>
                <w:b/>
                <w:sz w:val="20"/>
                <w:szCs w:val="20"/>
              </w:rPr>
            </w:pPr>
            <w:r w:rsidRPr="007A1BE8">
              <w:rPr>
                <w:b/>
                <w:sz w:val="20"/>
                <w:szCs w:val="20"/>
              </w:rPr>
              <w:t>Burden (hrs)</w:t>
            </w:r>
          </w:p>
        </w:tc>
        <w:tc>
          <w:tcPr>
            <w:tcW w:w="990" w:type="dxa"/>
            <w:vMerge w:val="restart"/>
            <w:tcBorders>
              <w:top w:val="nil"/>
              <w:left w:val="single" w:sz="4" w:space="0" w:color="auto"/>
              <w:bottom w:val="single" w:sz="4" w:space="0" w:color="auto"/>
              <w:right w:val="single" w:sz="4" w:space="0" w:color="auto"/>
            </w:tcBorders>
            <w:shd w:val="clear" w:color="000000" w:fill="B8CCE4"/>
            <w:vAlign w:val="center"/>
            <w:hideMark/>
          </w:tcPr>
          <w:p w:rsidR="00E9484A" w:rsidRPr="007A1BE8" w:rsidRDefault="00E9484A" w:rsidP="00E9484A">
            <w:pPr>
              <w:keepNext/>
              <w:spacing w:after="0"/>
              <w:jc w:val="center"/>
              <w:rPr>
                <w:b/>
                <w:sz w:val="20"/>
                <w:szCs w:val="20"/>
              </w:rPr>
            </w:pPr>
            <w:r w:rsidRPr="007A1BE8">
              <w:rPr>
                <w:b/>
                <w:sz w:val="20"/>
                <w:szCs w:val="20"/>
              </w:rPr>
              <w:t>Cost ($)</w:t>
            </w:r>
          </w:p>
        </w:tc>
        <w:tc>
          <w:tcPr>
            <w:tcW w:w="1350" w:type="dxa"/>
            <w:vMerge w:val="restart"/>
            <w:tcBorders>
              <w:top w:val="nil"/>
              <w:left w:val="single" w:sz="4" w:space="0" w:color="auto"/>
              <w:bottom w:val="single" w:sz="4" w:space="0" w:color="auto"/>
              <w:right w:val="single" w:sz="4" w:space="0" w:color="auto"/>
            </w:tcBorders>
            <w:shd w:val="clear" w:color="000000" w:fill="B8CCE4"/>
            <w:vAlign w:val="center"/>
            <w:hideMark/>
          </w:tcPr>
          <w:p w:rsidR="00E9484A" w:rsidRPr="007A1BE8" w:rsidRDefault="00E9484A" w:rsidP="00E9484A">
            <w:pPr>
              <w:keepNext/>
              <w:spacing w:after="0"/>
              <w:jc w:val="center"/>
              <w:rPr>
                <w:b/>
                <w:sz w:val="20"/>
                <w:szCs w:val="20"/>
              </w:rPr>
            </w:pPr>
            <w:r w:rsidRPr="007A1BE8">
              <w:rPr>
                <w:b/>
                <w:sz w:val="20"/>
                <w:szCs w:val="20"/>
              </w:rPr>
              <w:t>Burden (hrs)</w:t>
            </w:r>
          </w:p>
        </w:tc>
        <w:tc>
          <w:tcPr>
            <w:tcW w:w="1261" w:type="dxa"/>
            <w:vMerge w:val="restart"/>
            <w:tcBorders>
              <w:top w:val="nil"/>
              <w:left w:val="single" w:sz="4" w:space="0" w:color="auto"/>
              <w:bottom w:val="single" w:sz="4" w:space="0" w:color="auto"/>
              <w:right w:val="single" w:sz="4" w:space="0" w:color="auto"/>
            </w:tcBorders>
            <w:shd w:val="clear" w:color="000000" w:fill="B8CCE4"/>
            <w:noWrap/>
            <w:vAlign w:val="center"/>
            <w:hideMark/>
          </w:tcPr>
          <w:p w:rsidR="00E9484A" w:rsidRPr="007A1BE8" w:rsidRDefault="00E9484A" w:rsidP="00E9484A">
            <w:pPr>
              <w:keepNext/>
              <w:spacing w:after="0"/>
              <w:jc w:val="center"/>
              <w:rPr>
                <w:b/>
                <w:sz w:val="20"/>
                <w:szCs w:val="20"/>
              </w:rPr>
            </w:pPr>
            <w:r w:rsidRPr="007A1BE8">
              <w:rPr>
                <w:b/>
                <w:sz w:val="20"/>
                <w:szCs w:val="20"/>
              </w:rPr>
              <w:t>Costs ($)</w:t>
            </w:r>
          </w:p>
        </w:tc>
      </w:tr>
      <w:tr w:rsidR="00E9484A" w:rsidRPr="007A1BE8" w:rsidTr="00006FA0">
        <w:trPr>
          <w:gridBefore w:val="1"/>
          <w:gridAfter w:val="1"/>
          <w:wBefore w:w="18" w:type="dxa"/>
          <w:wAfter w:w="17" w:type="dxa"/>
          <w:cantSplit/>
          <w:trHeight w:val="230"/>
          <w:tblHeader/>
        </w:trPr>
        <w:tc>
          <w:tcPr>
            <w:tcW w:w="4050" w:type="dxa"/>
            <w:vMerge/>
            <w:tcBorders>
              <w:top w:val="single" w:sz="4" w:space="0" w:color="auto"/>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c>
          <w:tcPr>
            <w:tcW w:w="1350" w:type="dxa"/>
            <w:vMerge/>
            <w:tcBorders>
              <w:top w:val="nil"/>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c>
          <w:tcPr>
            <w:tcW w:w="1261" w:type="dxa"/>
            <w:vMerge/>
            <w:tcBorders>
              <w:top w:val="nil"/>
              <w:left w:val="single" w:sz="4" w:space="0" w:color="auto"/>
              <w:bottom w:val="single" w:sz="4" w:space="0" w:color="auto"/>
              <w:right w:val="single" w:sz="4" w:space="0" w:color="auto"/>
            </w:tcBorders>
            <w:vAlign w:val="center"/>
            <w:hideMark/>
          </w:tcPr>
          <w:p w:rsidR="00E9484A" w:rsidRPr="007A1BE8" w:rsidRDefault="00E9484A" w:rsidP="00E9484A">
            <w:pPr>
              <w:keepNext/>
              <w:spacing w:after="0"/>
              <w:rPr>
                <w:sz w:val="20"/>
                <w:szCs w:val="20"/>
              </w:rPr>
            </w:pPr>
          </w:p>
        </w:tc>
      </w:tr>
      <w:tr w:rsidR="00E9484A" w:rsidRPr="007A1BE8" w:rsidTr="00006FA0">
        <w:trPr>
          <w:gridBefore w:val="1"/>
          <w:gridAfter w:val="1"/>
          <w:wBefore w:w="18" w:type="dxa"/>
          <w:wAfter w:w="17" w:type="dxa"/>
          <w:cantSplit/>
        </w:trPr>
        <w:tc>
          <w:tcPr>
            <w:tcW w:w="10261" w:type="dxa"/>
            <w:gridSpan w:val="6"/>
            <w:tcBorders>
              <w:top w:val="single" w:sz="4" w:space="0" w:color="auto"/>
              <w:left w:val="single" w:sz="4" w:space="0" w:color="auto"/>
              <w:bottom w:val="single" w:sz="4" w:space="0" w:color="auto"/>
              <w:right w:val="single" w:sz="4" w:space="0" w:color="auto"/>
            </w:tcBorders>
            <w:shd w:val="clear" w:color="000000" w:fill="DBEEF3"/>
            <w:noWrap/>
            <w:vAlign w:val="bottom"/>
            <w:hideMark/>
          </w:tcPr>
          <w:p w:rsidR="00E9484A" w:rsidRPr="007A1BE8" w:rsidRDefault="00E9484A" w:rsidP="00E9484A">
            <w:pPr>
              <w:keepNext/>
              <w:spacing w:after="0"/>
              <w:rPr>
                <w:b/>
                <w:i/>
                <w:iCs/>
                <w:sz w:val="20"/>
                <w:szCs w:val="20"/>
              </w:rPr>
            </w:pPr>
            <w:r w:rsidRPr="007A1BE8">
              <w:rPr>
                <w:b/>
                <w:i/>
                <w:iCs/>
                <w:sz w:val="20"/>
                <w:szCs w:val="20"/>
              </w:rPr>
              <w:t>Registrants of PAIs</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#1(a) - Order Recipients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45</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68</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420038" w:rsidP="00E9484A">
            <w:pPr>
              <w:keepNext/>
              <w:tabs>
                <w:tab w:val="decimal" w:pos="592"/>
              </w:tabs>
              <w:spacing w:after="0"/>
              <w:rPr>
                <w:b/>
                <w:sz w:val="20"/>
                <w:szCs w:val="20"/>
              </w:rPr>
            </w:pPr>
            <w:r>
              <w:rPr>
                <w:b/>
                <w:sz w:val="20"/>
                <w:szCs w:val="20"/>
              </w:rPr>
              <w:t>$</w:t>
            </w:r>
            <w:r w:rsidR="00E9484A" w:rsidRPr="007A1BE8">
              <w:rPr>
                <w:b/>
                <w:sz w:val="20"/>
                <w:szCs w:val="20"/>
              </w:rPr>
              <w:t>6,191</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69"/>
              </w:tabs>
              <w:spacing w:after="0"/>
              <w:rPr>
                <w:b/>
                <w:sz w:val="20"/>
                <w:szCs w:val="20"/>
              </w:rPr>
            </w:pPr>
            <w:r w:rsidRPr="007A1BE8">
              <w:rPr>
                <w:b/>
                <w:sz w:val="20"/>
                <w:szCs w:val="20"/>
              </w:rPr>
              <w:t>3,060</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278,580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54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4,958</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sidRPr="007A1BE8">
              <w:rPr>
                <w:sz w:val="20"/>
                <w:szCs w:val="20"/>
              </w:rPr>
              <w:t>2,415</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223,125</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1,232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sidRPr="007A1BE8">
              <w:rPr>
                <w:sz w:val="20"/>
                <w:szCs w:val="20"/>
              </w:rPr>
              <w:t>645</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55,455</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#2(a) - Data Generators/Submitters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50</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1,515</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420038" w:rsidP="00E9484A">
            <w:pPr>
              <w:keepNext/>
              <w:tabs>
                <w:tab w:val="decimal" w:pos="592"/>
              </w:tabs>
              <w:spacing w:after="0"/>
              <w:rPr>
                <w:b/>
                <w:sz w:val="20"/>
                <w:szCs w:val="20"/>
              </w:rPr>
            </w:pPr>
            <w:r>
              <w:rPr>
                <w:b/>
                <w:sz w:val="20"/>
                <w:szCs w:val="20"/>
              </w:rPr>
              <w:t>$</w:t>
            </w:r>
            <w:r w:rsidR="00E9484A" w:rsidRPr="007A1BE8">
              <w:rPr>
                <w:b/>
                <w:sz w:val="20"/>
                <w:szCs w:val="20"/>
              </w:rPr>
              <w:t>93,466</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69"/>
              </w:tabs>
              <w:spacing w:after="0"/>
              <w:rPr>
                <w:b/>
                <w:sz w:val="20"/>
                <w:szCs w:val="20"/>
              </w:rPr>
            </w:pPr>
            <w:r w:rsidRPr="007A1BE8">
              <w:rPr>
                <w:b/>
                <w:sz w:val="20"/>
                <w:szCs w:val="20"/>
              </w:rPr>
              <w:t>75,733</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4,673,276</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1,500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92,230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sidRPr="007A1BE8">
              <w:rPr>
                <w:sz w:val="20"/>
                <w:szCs w:val="20"/>
              </w:rPr>
              <w:t>75,017</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4,611,483</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1,232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sidRPr="007A1BE8">
              <w:rPr>
                <w:sz w:val="20"/>
                <w:szCs w:val="20"/>
              </w:rPr>
              <w:t>717</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61,617</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3.52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175.83</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#3(a) - Consortium Participants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252</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57</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420038" w:rsidP="00E9484A">
            <w:pPr>
              <w:keepNext/>
              <w:tabs>
                <w:tab w:val="decimal" w:pos="592"/>
              </w:tabs>
              <w:spacing w:after="0"/>
              <w:rPr>
                <w:b/>
                <w:sz w:val="20"/>
                <w:szCs w:val="20"/>
              </w:rPr>
            </w:pPr>
            <w:r>
              <w:rPr>
                <w:b/>
                <w:sz w:val="20"/>
                <w:szCs w:val="20"/>
              </w:rPr>
              <w:t>$</w:t>
            </w:r>
            <w:r w:rsidR="00E9484A" w:rsidRPr="007A1BE8">
              <w:rPr>
                <w:b/>
                <w:sz w:val="20"/>
                <w:szCs w:val="20"/>
              </w:rPr>
              <w:t>3,920</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69"/>
              </w:tabs>
              <w:spacing w:after="0"/>
              <w:rPr>
                <w:b/>
                <w:sz w:val="20"/>
                <w:szCs w:val="20"/>
              </w:rPr>
            </w:pPr>
            <w:r w:rsidRPr="007A1BE8">
              <w:rPr>
                <w:b/>
                <w:sz w:val="20"/>
                <w:szCs w:val="20"/>
              </w:rPr>
              <w:t>14,364</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987,840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57</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sidRPr="007A1BE8">
              <w:rPr>
                <w:sz w:val="20"/>
                <w:szCs w:val="20"/>
              </w:rPr>
              <w:t>3,920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sidRPr="007A1BE8">
              <w:rPr>
                <w:sz w:val="20"/>
                <w:szCs w:val="20"/>
              </w:rPr>
              <w:t>14,364</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sidRPr="00F22B83">
              <w:rPr>
                <w:sz w:val="20"/>
                <w:szCs w:val="20"/>
              </w:rPr>
              <w:t>987,840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92"/>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69"/>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F22B83"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765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jc w:val="right"/>
              <w:rPr>
                <w:b/>
                <w:i/>
                <w:iCs/>
                <w:sz w:val="20"/>
                <w:szCs w:val="20"/>
              </w:rPr>
            </w:pPr>
            <w:r w:rsidRPr="007A1BE8">
              <w:rPr>
                <w:b/>
                <w:i/>
                <w:iCs/>
                <w:sz w:val="20"/>
                <w:szCs w:val="20"/>
              </w:rPr>
              <w:t>Subtotal for Pesticide Active Ingredients:</w:t>
            </w:r>
          </w:p>
        </w:tc>
        <w:tc>
          <w:tcPr>
            <w:tcW w:w="1350" w:type="dxa"/>
            <w:tcBorders>
              <w:top w:val="nil"/>
              <w:left w:val="nil"/>
              <w:bottom w:val="single" w:sz="4" w:space="0" w:color="auto"/>
              <w:right w:val="single" w:sz="4" w:space="0" w:color="auto"/>
            </w:tcBorders>
            <w:shd w:val="clear" w:color="000000" w:fill="B8CCE4"/>
            <w:noWrap/>
            <w:hideMark/>
          </w:tcPr>
          <w:p w:rsidR="00E9484A" w:rsidRPr="007A1BE8" w:rsidRDefault="00E9484A" w:rsidP="00E9484A">
            <w:pPr>
              <w:tabs>
                <w:tab w:val="decimal" w:pos="769"/>
              </w:tabs>
              <w:spacing w:after="0"/>
              <w:rPr>
                <w:b/>
                <w:i/>
                <w:iCs/>
                <w:sz w:val="20"/>
                <w:szCs w:val="20"/>
              </w:rPr>
            </w:pPr>
            <w:r w:rsidRPr="007A1BE8">
              <w:rPr>
                <w:b/>
                <w:i/>
                <w:iCs/>
                <w:sz w:val="20"/>
                <w:szCs w:val="20"/>
              </w:rPr>
              <w:t>93,157</w:t>
            </w:r>
          </w:p>
        </w:tc>
        <w:tc>
          <w:tcPr>
            <w:tcW w:w="1261" w:type="dxa"/>
            <w:tcBorders>
              <w:top w:val="nil"/>
              <w:left w:val="nil"/>
              <w:bottom w:val="single" w:sz="4" w:space="0" w:color="auto"/>
              <w:right w:val="single" w:sz="4" w:space="0" w:color="auto"/>
            </w:tcBorders>
            <w:shd w:val="clear" w:color="000000" w:fill="B8CCE4"/>
            <w:noWrap/>
            <w:hideMark/>
          </w:tcPr>
          <w:p w:rsidR="00E9484A" w:rsidRPr="00F22B83" w:rsidRDefault="00EF7B9A" w:rsidP="00E9484A">
            <w:pPr>
              <w:tabs>
                <w:tab w:val="decimal" w:pos="981"/>
              </w:tabs>
              <w:spacing w:after="0"/>
              <w:rPr>
                <w:b/>
                <w:i/>
                <w:sz w:val="20"/>
                <w:szCs w:val="20"/>
              </w:rPr>
            </w:pPr>
            <w:r>
              <w:rPr>
                <w:b/>
                <w:i/>
                <w:sz w:val="20"/>
                <w:szCs w:val="20"/>
              </w:rPr>
              <w:t>$</w:t>
            </w:r>
            <w:r w:rsidR="00E9484A" w:rsidRPr="00F22B83">
              <w:rPr>
                <w:b/>
                <w:i/>
                <w:sz w:val="20"/>
                <w:szCs w:val="20"/>
              </w:rPr>
              <w:t>5,939,696</w:t>
            </w:r>
          </w:p>
        </w:tc>
      </w:tr>
      <w:tr w:rsidR="00E9484A" w:rsidRPr="007A1BE8" w:rsidTr="00006FA0">
        <w:trPr>
          <w:gridBefore w:val="1"/>
          <w:gridAfter w:val="1"/>
          <w:wBefore w:w="18" w:type="dxa"/>
          <w:wAfter w:w="17" w:type="dxa"/>
          <w:cantSplit/>
        </w:trPr>
        <w:tc>
          <w:tcPr>
            <w:tcW w:w="10261" w:type="dxa"/>
            <w:gridSpan w:val="6"/>
            <w:tcBorders>
              <w:top w:val="single" w:sz="4" w:space="0" w:color="auto"/>
              <w:left w:val="single" w:sz="4" w:space="0" w:color="auto"/>
              <w:bottom w:val="single" w:sz="4" w:space="0" w:color="auto"/>
              <w:right w:val="single" w:sz="4" w:space="0" w:color="auto"/>
            </w:tcBorders>
            <w:shd w:val="clear" w:color="000000" w:fill="DBEEF3"/>
            <w:noWrap/>
            <w:vAlign w:val="bottom"/>
            <w:hideMark/>
          </w:tcPr>
          <w:p w:rsidR="00E9484A" w:rsidRPr="007A1BE8" w:rsidRDefault="00E9484A" w:rsidP="00E9484A">
            <w:pPr>
              <w:keepNext/>
              <w:spacing w:after="0"/>
              <w:rPr>
                <w:b/>
                <w:i/>
                <w:iCs/>
                <w:sz w:val="20"/>
                <w:szCs w:val="20"/>
              </w:rPr>
            </w:pPr>
            <w:r w:rsidRPr="007A1BE8">
              <w:rPr>
                <w:b/>
                <w:i/>
                <w:iCs/>
                <w:sz w:val="20"/>
                <w:szCs w:val="20"/>
              </w:rPr>
              <w:t>Manufacturers/Importers of Pesticide Inert Ingredients</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#1(b) - Order Recipients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15</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 xml:space="preserve">68 </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EF7B9A" w:rsidP="00E9484A">
            <w:pPr>
              <w:keepNext/>
              <w:tabs>
                <w:tab w:val="decimal" w:pos="581"/>
              </w:tabs>
              <w:spacing w:after="0"/>
              <w:rPr>
                <w:b/>
                <w:sz w:val="20"/>
                <w:szCs w:val="20"/>
              </w:rPr>
            </w:pPr>
            <w:r>
              <w:rPr>
                <w:b/>
                <w:sz w:val="20"/>
                <w:szCs w:val="20"/>
              </w:rPr>
              <w:t>$</w:t>
            </w:r>
            <w:r w:rsidR="00E9484A" w:rsidRPr="007A1BE8">
              <w:rPr>
                <w:b/>
                <w:sz w:val="20"/>
                <w:szCs w:val="20"/>
              </w:rPr>
              <w:t>6,191</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80"/>
              </w:tabs>
              <w:spacing w:after="0"/>
              <w:rPr>
                <w:b/>
                <w:sz w:val="20"/>
                <w:szCs w:val="20"/>
              </w:rPr>
            </w:pPr>
            <w:r>
              <w:rPr>
                <w:b/>
                <w:sz w:val="20"/>
                <w:szCs w:val="20"/>
              </w:rPr>
              <w:t>1,020</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92,860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54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4,958</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sidRPr="007A1BE8">
              <w:rPr>
                <w:sz w:val="20"/>
                <w:szCs w:val="20"/>
              </w:rPr>
              <w:t>805</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74,375</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1,232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sidRPr="007A1BE8">
              <w:rPr>
                <w:sz w:val="20"/>
                <w:szCs w:val="20"/>
              </w:rPr>
              <w:t>215</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18,485</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#2(b) - Data Generators/Submitters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2</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1,515</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EF7B9A" w:rsidP="00E9484A">
            <w:pPr>
              <w:keepNext/>
              <w:tabs>
                <w:tab w:val="decimal" w:pos="581"/>
              </w:tabs>
              <w:spacing w:after="0"/>
              <w:rPr>
                <w:b/>
                <w:sz w:val="20"/>
                <w:szCs w:val="20"/>
              </w:rPr>
            </w:pPr>
            <w:r>
              <w:rPr>
                <w:b/>
                <w:sz w:val="20"/>
                <w:szCs w:val="20"/>
              </w:rPr>
              <w:t>$</w:t>
            </w:r>
            <w:r w:rsidR="00E9484A" w:rsidRPr="007A1BE8">
              <w:rPr>
                <w:b/>
                <w:sz w:val="20"/>
                <w:szCs w:val="20"/>
              </w:rPr>
              <w:t>93,466</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80"/>
              </w:tabs>
              <w:spacing w:after="0"/>
              <w:rPr>
                <w:b/>
                <w:sz w:val="20"/>
                <w:szCs w:val="20"/>
              </w:rPr>
            </w:pPr>
            <w:r w:rsidRPr="007A1BE8">
              <w:rPr>
                <w:b/>
                <w:sz w:val="20"/>
                <w:szCs w:val="20"/>
              </w:rPr>
              <w:t>3,029</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186,931</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1,500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92,230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sidRPr="007A1BE8">
              <w:rPr>
                <w:sz w:val="20"/>
                <w:szCs w:val="20"/>
              </w:rPr>
              <w:t>3,001</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184,459</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14</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1,232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sidRPr="007A1BE8">
              <w:rPr>
                <w:sz w:val="20"/>
                <w:szCs w:val="20"/>
              </w:rPr>
              <w:t>29</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2,465</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jc w:val="center"/>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3.52</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7.03</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FFFF99"/>
            <w:noWrap/>
            <w:hideMark/>
          </w:tcPr>
          <w:p w:rsidR="00E9484A" w:rsidRPr="007A1BE8" w:rsidRDefault="00E9484A" w:rsidP="00E9484A">
            <w:pPr>
              <w:keepNext/>
              <w:spacing w:after="0"/>
              <w:rPr>
                <w:b/>
                <w:sz w:val="20"/>
                <w:szCs w:val="20"/>
              </w:rPr>
            </w:pPr>
            <w:r w:rsidRPr="007A1BE8">
              <w:rPr>
                <w:b/>
                <w:sz w:val="20"/>
                <w:szCs w:val="20"/>
              </w:rPr>
              <w:t>IC #3(b) - Consortium Participants</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484A" w:rsidRPr="007A1BE8" w:rsidRDefault="00E9484A" w:rsidP="00E9484A">
            <w:pPr>
              <w:keepNext/>
              <w:spacing w:after="0"/>
              <w:jc w:val="center"/>
              <w:rPr>
                <w:b/>
                <w:sz w:val="20"/>
                <w:szCs w:val="20"/>
              </w:rPr>
            </w:pPr>
            <w:r w:rsidRPr="007A1BE8">
              <w:rPr>
                <w:b/>
                <w:sz w:val="20"/>
                <w:szCs w:val="20"/>
              </w:rPr>
              <w:t>21</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16"/>
              </w:tabs>
              <w:spacing w:after="0"/>
              <w:rPr>
                <w:b/>
                <w:sz w:val="20"/>
                <w:szCs w:val="20"/>
              </w:rPr>
            </w:pPr>
            <w:r w:rsidRPr="007A1BE8">
              <w:rPr>
                <w:b/>
                <w:sz w:val="20"/>
                <w:szCs w:val="20"/>
              </w:rPr>
              <w:t>57</w:t>
            </w:r>
          </w:p>
        </w:tc>
        <w:tc>
          <w:tcPr>
            <w:tcW w:w="990" w:type="dxa"/>
            <w:tcBorders>
              <w:top w:val="nil"/>
              <w:left w:val="nil"/>
              <w:bottom w:val="single" w:sz="4" w:space="0" w:color="auto"/>
              <w:right w:val="single" w:sz="4" w:space="0" w:color="auto"/>
            </w:tcBorders>
            <w:shd w:val="clear" w:color="auto" w:fill="FFFF99"/>
            <w:noWrap/>
            <w:hideMark/>
          </w:tcPr>
          <w:p w:rsidR="00E9484A" w:rsidRPr="007A1BE8" w:rsidRDefault="00EF7B9A" w:rsidP="00E9484A">
            <w:pPr>
              <w:keepNext/>
              <w:tabs>
                <w:tab w:val="decimal" w:pos="581"/>
              </w:tabs>
              <w:spacing w:after="0"/>
              <w:rPr>
                <w:b/>
                <w:sz w:val="20"/>
                <w:szCs w:val="20"/>
              </w:rPr>
            </w:pPr>
            <w:r>
              <w:rPr>
                <w:b/>
                <w:sz w:val="20"/>
                <w:szCs w:val="20"/>
              </w:rPr>
              <w:t>$</w:t>
            </w:r>
            <w:r w:rsidR="00E9484A" w:rsidRPr="007A1BE8">
              <w:rPr>
                <w:b/>
                <w:sz w:val="20"/>
                <w:szCs w:val="20"/>
              </w:rPr>
              <w:t>3,920</w:t>
            </w:r>
          </w:p>
        </w:tc>
        <w:tc>
          <w:tcPr>
            <w:tcW w:w="1350" w:type="dxa"/>
            <w:tcBorders>
              <w:top w:val="nil"/>
              <w:left w:val="nil"/>
              <w:bottom w:val="single" w:sz="4" w:space="0" w:color="auto"/>
              <w:right w:val="single" w:sz="4" w:space="0" w:color="auto"/>
            </w:tcBorders>
            <w:shd w:val="clear" w:color="auto" w:fill="FFFF99"/>
            <w:noWrap/>
            <w:hideMark/>
          </w:tcPr>
          <w:p w:rsidR="00E9484A" w:rsidRPr="007A1BE8" w:rsidRDefault="00E9484A" w:rsidP="00E9484A">
            <w:pPr>
              <w:keepNext/>
              <w:tabs>
                <w:tab w:val="decimal" w:pos="780"/>
              </w:tabs>
              <w:spacing w:after="0"/>
              <w:rPr>
                <w:b/>
                <w:sz w:val="20"/>
                <w:szCs w:val="20"/>
              </w:rPr>
            </w:pPr>
            <w:r w:rsidRPr="007A1BE8">
              <w:rPr>
                <w:b/>
                <w:sz w:val="20"/>
                <w:szCs w:val="20"/>
              </w:rPr>
              <w:t>1,197</w:t>
            </w:r>
          </w:p>
        </w:tc>
        <w:tc>
          <w:tcPr>
            <w:tcW w:w="1261" w:type="dxa"/>
            <w:tcBorders>
              <w:top w:val="nil"/>
              <w:left w:val="nil"/>
              <w:bottom w:val="single" w:sz="4" w:space="0" w:color="auto"/>
              <w:right w:val="single" w:sz="4" w:space="0" w:color="auto"/>
            </w:tcBorders>
            <w:shd w:val="clear" w:color="auto" w:fill="FFFF99"/>
            <w:noWrap/>
            <w:hideMark/>
          </w:tcPr>
          <w:p w:rsidR="00E9484A" w:rsidRPr="00F22B83" w:rsidRDefault="00EF7B9A" w:rsidP="00E9484A">
            <w:pPr>
              <w:keepNext/>
              <w:tabs>
                <w:tab w:val="decimal" w:pos="981"/>
              </w:tabs>
              <w:spacing w:after="0"/>
              <w:rPr>
                <w:b/>
                <w:sz w:val="20"/>
                <w:szCs w:val="20"/>
              </w:rPr>
            </w:pPr>
            <w:r>
              <w:rPr>
                <w:b/>
                <w:sz w:val="20"/>
                <w:szCs w:val="20"/>
              </w:rPr>
              <w:t>$</w:t>
            </w:r>
            <w:r w:rsidR="00E9484A" w:rsidRPr="00F22B83">
              <w:rPr>
                <w:b/>
                <w:sz w:val="20"/>
                <w:szCs w:val="20"/>
              </w:rPr>
              <w:t>82,320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Recording Keeping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sidRPr="007A1BE8">
              <w:rPr>
                <w:sz w:val="20"/>
                <w:szCs w:val="20"/>
              </w:rPr>
              <w:t>57</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sidRPr="007A1BE8">
              <w:rPr>
                <w:sz w:val="20"/>
                <w:szCs w:val="20"/>
              </w:rPr>
              <w:t>3,920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sidRPr="007A1BE8">
              <w:rPr>
                <w:sz w:val="20"/>
                <w:szCs w:val="20"/>
              </w:rPr>
              <w:t>1,197</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sidRPr="007A1BE8">
              <w:rPr>
                <w:sz w:val="20"/>
                <w:szCs w:val="20"/>
              </w:rPr>
              <w:t>82,320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Reporting</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4050" w:type="dxa"/>
            <w:tcBorders>
              <w:top w:val="nil"/>
              <w:left w:val="single" w:sz="4" w:space="0" w:color="auto"/>
              <w:bottom w:val="single" w:sz="4" w:space="0" w:color="auto"/>
              <w:right w:val="single" w:sz="4" w:space="0" w:color="auto"/>
            </w:tcBorders>
            <w:shd w:val="clear" w:color="auto" w:fill="auto"/>
            <w:noWrap/>
            <w:hideMark/>
          </w:tcPr>
          <w:p w:rsidR="00E9484A" w:rsidRPr="007A1BE8" w:rsidRDefault="00E9484A" w:rsidP="00E9484A">
            <w:pPr>
              <w:spacing w:after="0"/>
              <w:ind w:left="347"/>
              <w:rPr>
                <w:sz w:val="20"/>
                <w:szCs w:val="20"/>
              </w:rPr>
            </w:pPr>
            <w:r w:rsidRPr="007A1BE8">
              <w:rPr>
                <w:sz w:val="20"/>
                <w:szCs w:val="20"/>
              </w:rPr>
              <w:t>Non-Burden Costs</w:t>
            </w:r>
          </w:p>
        </w:tc>
        <w:tc>
          <w:tcPr>
            <w:tcW w:w="1260" w:type="dxa"/>
            <w:vMerge/>
            <w:tcBorders>
              <w:top w:val="nil"/>
              <w:left w:val="single" w:sz="4" w:space="0" w:color="auto"/>
              <w:bottom w:val="single" w:sz="4" w:space="0" w:color="000000"/>
              <w:right w:val="single" w:sz="4" w:space="0" w:color="auto"/>
            </w:tcBorders>
            <w:shd w:val="clear" w:color="auto" w:fill="auto"/>
            <w:vAlign w:val="center"/>
            <w:hideMark/>
          </w:tcPr>
          <w:p w:rsidR="00E9484A" w:rsidRPr="007A1BE8" w:rsidRDefault="00E9484A" w:rsidP="00E9484A">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16"/>
              </w:tabs>
              <w:spacing w:after="0"/>
              <w:rPr>
                <w:sz w:val="20"/>
                <w:szCs w:val="20"/>
              </w:rPr>
            </w:pPr>
            <w:r>
              <w:rPr>
                <w:sz w:val="20"/>
                <w:szCs w:val="20"/>
              </w:rPr>
              <w:t>0</w:t>
            </w:r>
          </w:p>
        </w:tc>
        <w:tc>
          <w:tcPr>
            <w:tcW w:w="99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581"/>
              </w:tabs>
              <w:spacing w:after="0"/>
              <w:rPr>
                <w:sz w:val="20"/>
                <w:szCs w:val="20"/>
              </w:rPr>
            </w:pPr>
            <w:r>
              <w:rPr>
                <w:sz w:val="20"/>
                <w:szCs w:val="20"/>
              </w:rPr>
              <w:t>0</w:t>
            </w:r>
          </w:p>
        </w:tc>
        <w:tc>
          <w:tcPr>
            <w:tcW w:w="1350"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780"/>
              </w:tabs>
              <w:spacing w:after="0"/>
              <w:rPr>
                <w:sz w:val="20"/>
                <w:szCs w:val="20"/>
              </w:rPr>
            </w:pPr>
            <w:r>
              <w:rPr>
                <w:sz w:val="20"/>
                <w:szCs w:val="20"/>
              </w:rPr>
              <w:t>0</w:t>
            </w:r>
          </w:p>
        </w:tc>
        <w:tc>
          <w:tcPr>
            <w:tcW w:w="1261" w:type="dxa"/>
            <w:tcBorders>
              <w:top w:val="nil"/>
              <w:left w:val="nil"/>
              <w:bottom w:val="single" w:sz="4" w:space="0" w:color="auto"/>
              <w:right w:val="single" w:sz="4" w:space="0" w:color="auto"/>
            </w:tcBorders>
            <w:shd w:val="clear" w:color="auto" w:fill="auto"/>
            <w:noWrap/>
            <w:hideMark/>
          </w:tcPr>
          <w:p w:rsidR="00E9484A" w:rsidRPr="007A1BE8" w:rsidRDefault="00E9484A" w:rsidP="00E9484A">
            <w:pPr>
              <w:tabs>
                <w:tab w:val="decimal" w:pos="981"/>
              </w:tabs>
              <w:spacing w:after="0"/>
              <w:rPr>
                <w:sz w:val="20"/>
                <w:szCs w:val="20"/>
              </w:rPr>
            </w:pPr>
            <w:r>
              <w:rPr>
                <w:sz w:val="20"/>
                <w:szCs w:val="20"/>
              </w:rPr>
              <w:t>0</w:t>
            </w:r>
          </w:p>
        </w:tc>
      </w:tr>
      <w:tr w:rsidR="00E9484A" w:rsidRPr="007A1BE8" w:rsidTr="00006FA0">
        <w:trPr>
          <w:gridBefore w:val="1"/>
          <w:gridAfter w:val="1"/>
          <w:wBefore w:w="18" w:type="dxa"/>
          <w:wAfter w:w="17" w:type="dxa"/>
          <w:cantSplit/>
        </w:trPr>
        <w:tc>
          <w:tcPr>
            <w:tcW w:w="7650"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E9484A" w:rsidRPr="007A1BE8" w:rsidRDefault="00E9484A" w:rsidP="00E9484A">
            <w:pPr>
              <w:keepNext/>
              <w:spacing w:after="0"/>
              <w:jc w:val="right"/>
              <w:rPr>
                <w:b/>
                <w:i/>
                <w:iCs/>
                <w:sz w:val="20"/>
                <w:szCs w:val="20"/>
              </w:rPr>
            </w:pPr>
            <w:r w:rsidRPr="007A1BE8">
              <w:rPr>
                <w:b/>
                <w:i/>
                <w:iCs/>
                <w:sz w:val="20"/>
                <w:szCs w:val="20"/>
              </w:rPr>
              <w:t>Subtotal for Pesticide Inert Ingredients:</w:t>
            </w:r>
          </w:p>
        </w:tc>
        <w:tc>
          <w:tcPr>
            <w:tcW w:w="1350" w:type="dxa"/>
            <w:tcBorders>
              <w:top w:val="nil"/>
              <w:left w:val="nil"/>
              <w:bottom w:val="single" w:sz="4" w:space="0" w:color="auto"/>
              <w:right w:val="single" w:sz="4" w:space="0" w:color="auto"/>
            </w:tcBorders>
            <w:shd w:val="clear" w:color="000000" w:fill="B8CCE4"/>
            <w:noWrap/>
            <w:hideMark/>
          </w:tcPr>
          <w:p w:rsidR="00E9484A" w:rsidRPr="007A1BE8" w:rsidRDefault="00E9484A" w:rsidP="00E9484A">
            <w:pPr>
              <w:keepNext/>
              <w:tabs>
                <w:tab w:val="decimal" w:pos="769"/>
              </w:tabs>
              <w:spacing w:after="0"/>
              <w:rPr>
                <w:b/>
                <w:i/>
                <w:iCs/>
                <w:sz w:val="20"/>
                <w:szCs w:val="20"/>
              </w:rPr>
            </w:pPr>
            <w:r w:rsidRPr="007A1BE8">
              <w:rPr>
                <w:b/>
                <w:i/>
                <w:iCs/>
                <w:sz w:val="20"/>
                <w:szCs w:val="20"/>
              </w:rPr>
              <w:t>5,246</w:t>
            </w:r>
          </w:p>
        </w:tc>
        <w:tc>
          <w:tcPr>
            <w:tcW w:w="1261" w:type="dxa"/>
            <w:tcBorders>
              <w:top w:val="nil"/>
              <w:left w:val="nil"/>
              <w:bottom w:val="single" w:sz="4" w:space="0" w:color="auto"/>
              <w:right w:val="single" w:sz="4" w:space="0" w:color="auto"/>
            </w:tcBorders>
            <w:shd w:val="clear" w:color="000000" w:fill="B8CCE4"/>
            <w:noWrap/>
            <w:hideMark/>
          </w:tcPr>
          <w:p w:rsidR="00E9484A" w:rsidRPr="006B204D" w:rsidRDefault="00EF7B9A" w:rsidP="00E9484A">
            <w:pPr>
              <w:keepNext/>
              <w:tabs>
                <w:tab w:val="decimal" w:pos="981"/>
              </w:tabs>
              <w:spacing w:after="0"/>
              <w:rPr>
                <w:b/>
                <w:i/>
                <w:sz w:val="20"/>
                <w:szCs w:val="20"/>
              </w:rPr>
            </w:pPr>
            <w:r>
              <w:rPr>
                <w:b/>
                <w:i/>
                <w:sz w:val="20"/>
                <w:szCs w:val="20"/>
              </w:rPr>
              <w:t>$</w:t>
            </w:r>
            <w:r w:rsidR="00E9484A" w:rsidRPr="006B204D">
              <w:rPr>
                <w:b/>
                <w:i/>
                <w:sz w:val="20"/>
                <w:szCs w:val="20"/>
              </w:rPr>
              <w:t>362,111</w:t>
            </w:r>
          </w:p>
        </w:tc>
      </w:tr>
      <w:tr w:rsidR="00006FA0" w:rsidRPr="007A1BE8" w:rsidTr="00006FA0">
        <w:trPr>
          <w:gridBefore w:val="1"/>
          <w:gridAfter w:val="1"/>
          <w:wBefore w:w="18" w:type="dxa"/>
          <w:wAfter w:w="17" w:type="dxa"/>
          <w:cantSplit/>
        </w:trPr>
        <w:tc>
          <w:tcPr>
            <w:tcW w:w="4050" w:type="dxa"/>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006FA0" w:rsidRPr="007A1BE8" w:rsidRDefault="00006FA0" w:rsidP="00E9484A">
            <w:pPr>
              <w:spacing w:after="0"/>
              <w:jc w:val="right"/>
              <w:rPr>
                <w:b/>
                <w:sz w:val="20"/>
                <w:szCs w:val="20"/>
              </w:rPr>
            </w:pPr>
            <w:r w:rsidRPr="007A1BE8">
              <w:rPr>
                <w:b/>
                <w:sz w:val="20"/>
                <w:szCs w:val="20"/>
              </w:rPr>
              <w:t>Total:</w:t>
            </w:r>
            <w:r w:rsidRPr="00E9484A">
              <w:rPr>
                <w:sz w:val="20"/>
                <w:szCs w:val="20"/>
                <w:vertAlign w:val="superscript"/>
              </w:rPr>
              <w:t xml:space="preserve"> </w:t>
            </w:r>
            <w:r w:rsidRPr="00E9484A">
              <w:rPr>
                <w:b/>
                <w:sz w:val="20"/>
                <w:szCs w:val="20"/>
                <w:vertAlign w:val="superscript"/>
              </w:rPr>
              <w:t>(e</w:t>
            </w:r>
            <w:r w:rsidRPr="00E9484A">
              <w:rPr>
                <w:b/>
                <w:bCs/>
                <w:sz w:val="20"/>
                <w:szCs w:val="20"/>
                <w:vertAlign w:val="superscript"/>
              </w:rPr>
              <w:t>)</w:t>
            </w:r>
          </w:p>
        </w:tc>
        <w:tc>
          <w:tcPr>
            <w:tcW w:w="1260" w:type="dxa"/>
            <w:tcBorders>
              <w:top w:val="single" w:sz="4" w:space="0" w:color="auto"/>
              <w:left w:val="single" w:sz="4" w:space="0" w:color="auto"/>
              <w:bottom w:val="single" w:sz="4" w:space="0" w:color="auto"/>
              <w:right w:val="single" w:sz="4" w:space="0" w:color="000000"/>
            </w:tcBorders>
            <w:shd w:val="clear" w:color="000000" w:fill="B8CCE4"/>
            <w:vAlign w:val="center"/>
          </w:tcPr>
          <w:p w:rsidR="00006FA0" w:rsidRPr="007A1BE8" w:rsidRDefault="00006FA0" w:rsidP="00006FA0">
            <w:pPr>
              <w:spacing w:after="0"/>
              <w:jc w:val="center"/>
              <w:rPr>
                <w:b/>
                <w:sz w:val="20"/>
                <w:szCs w:val="20"/>
              </w:rPr>
            </w:pPr>
            <w:r>
              <w:rPr>
                <w:b/>
                <w:sz w:val="20"/>
                <w:szCs w:val="20"/>
              </w:rPr>
              <w:t>385</w:t>
            </w:r>
          </w:p>
        </w:tc>
        <w:tc>
          <w:tcPr>
            <w:tcW w:w="1350" w:type="dxa"/>
            <w:tcBorders>
              <w:top w:val="nil"/>
              <w:left w:val="nil"/>
              <w:bottom w:val="single" w:sz="4" w:space="0" w:color="auto"/>
              <w:right w:val="single" w:sz="4" w:space="0" w:color="auto"/>
            </w:tcBorders>
            <w:shd w:val="clear" w:color="000000" w:fill="B8CCE4"/>
            <w:noWrap/>
            <w:vAlign w:val="bottom"/>
            <w:hideMark/>
          </w:tcPr>
          <w:p w:rsidR="00006FA0" w:rsidRPr="007A1BE8" w:rsidRDefault="00006FA0" w:rsidP="00E9484A">
            <w:pPr>
              <w:tabs>
                <w:tab w:val="decimal" w:pos="695"/>
              </w:tabs>
              <w:spacing w:after="0"/>
              <w:rPr>
                <w:b/>
                <w:sz w:val="20"/>
                <w:szCs w:val="20"/>
              </w:rPr>
            </w:pPr>
            <w:r w:rsidRPr="007A1BE8">
              <w:rPr>
                <w:b/>
                <w:sz w:val="20"/>
                <w:szCs w:val="20"/>
              </w:rPr>
              <w:t>3,279</w:t>
            </w:r>
          </w:p>
        </w:tc>
        <w:tc>
          <w:tcPr>
            <w:tcW w:w="990" w:type="dxa"/>
            <w:tcBorders>
              <w:top w:val="nil"/>
              <w:left w:val="nil"/>
              <w:bottom w:val="single" w:sz="4" w:space="0" w:color="auto"/>
              <w:right w:val="single" w:sz="4" w:space="0" w:color="auto"/>
            </w:tcBorders>
            <w:shd w:val="clear" w:color="000000" w:fill="B8CCE4"/>
            <w:noWrap/>
            <w:vAlign w:val="bottom"/>
            <w:hideMark/>
          </w:tcPr>
          <w:p w:rsidR="00006FA0" w:rsidRPr="007A1BE8" w:rsidRDefault="00EF7B9A" w:rsidP="00E9484A">
            <w:pPr>
              <w:tabs>
                <w:tab w:val="decimal" w:pos="570"/>
              </w:tabs>
              <w:spacing w:after="0"/>
              <w:rPr>
                <w:b/>
                <w:sz w:val="20"/>
                <w:szCs w:val="20"/>
              </w:rPr>
            </w:pPr>
            <w:r>
              <w:rPr>
                <w:b/>
                <w:sz w:val="20"/>
                <w:szCs w:val="20"/>
              </w:rPr>
              <w:t>$</w:t>
            </w:r>
            <w:r w:rsidR="00006FA0" w:rsidRPr="007A1BE8">
              <w:rPr>
                <w:b/>
                <w:sz w:val="20"/>
                <w:szCs w:val="20"/>
              </w:rPr>
              <w:t>207,152</w:t>
            </w:r>
          </w:p>
        </w:tc>
        <w:tc>
          <w:tcPr>
            <w:tcW w:w="1350" w:type="dxa"/>
            <w:tcBorders>
              <w:top w:val="nil"/>
              <w:left w:val="nil"/>
              <w:bottom w:val="single" w:sz="4" w:space="0" w:color="auto"/>
              <w:right w:val="single" w:sz="4" w:space="0" w:color="auto"/>
            </w:tcBorders>
            <w:shd w:val="clear" w:color="000000" w:fill="B8CCE4"/>
            <w:noWrap/>
            <w:vAlign w:val="bottom"/>
            <w:hideMark/>
          </w:tcPr>
          <w:p w:rsidR="00006FA0" w:rsidRPr="007A1BE8" w:rsidRDefault="00006FA0" w:rsidP="00E9484A">
            <w:pPr>
              <w:tabs>
                <w:tab w:val="decimal" w:pos="769"/>
              </w:tabs>
              <w:spacing w:after="0"/>
              <w:rPr>
                <w:b/>
                <w:sz w:val="20"/>
                <w:szCs w:val="20"/>
              </w:rPr>
            </w:pPr>
            <w:r w:rsidRPr="007A1BE8">
              <w:rPr>
                <w:b/>
                <w:sz w:val="20"/>
                <w:szCs w:val="20"/>
              </w:rPr>
              <w:t>98,40</w:t>
            </w:r>
            <w:r>
              <w:rPr>
                <w:b/>
                <w:sz w:val="20"/>
                <w:szCs w:val="20"/>
              </w:rPr>
              <w:t>3</w:t>
            </w:r>
          </w:p>
        </w:tc>
        <w:tc>
          <w:tcPr>
            <w:tcW w:w="1261" w:type="dxa"/>
            <w:tcBorders>
              <w:top w:val="nil"/>
              <w:left w:val="nil"/>
              <w:bottom w:val="single" w:sz="4" w:space="0" w:color="auto"/>
              <w:right w:val="single" w:sz="4" w:space="0" w:color="auto"/>
            </w:tcBorders>
            <w:shd w:val="clear" w:color="000000" w:fill="B8CCE4"/>
            <w:noWrap/>
            <w:vAlign w:val="bottom"/>
            <w:hideMark/>
          </w:tcPr>
          <w:p w:rsidR="00006FA0" w:rsidRPr="006B204D" w:rsidRDefault="00EF7B9A" w:rsidP="00E9484A">
            <w:pPr>
              <w:tabs>
                <w:tab w:val="decimal" w:pos="981"/>
              </w:tabs>
              <w:spacing w:after="0"/>
              <w:rPr>
                <w:b/>
                <w:sz w:val="20"/>
                <w:szCs w:val="20"/>
              </w:rPr>
            </w:pPr>
            <w:r>
              <w:rPr>
                <w:b/>
                <w:sz w:val="20"/>
                <w:szCs w:val="20"/>
              </w:rPr>
              <w:t>$</w:t>
            </w:r>
            <w:r w:rsidR="00006FA0" w:rsidRPr="006B204D">
              <w:rPr>
                <w:b/>
                <w:sz w:val="20"/>
                <w:szCs w:val="20"/>
              </w:rPr>
              <w:t>6,301,807</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left w:val="nil"/>
              <w:bottom w:val="nil"/>
              <w:right w:val="nil"/>
            </w:tcBorders>
            <w:shd w:val="clear" w:color="auto" w:fill="auto"/>
          </w:tcPr>
          <w:p w:rsidR="00006FA0" w:rsidRPr="00006FA0" w:rsidRDefault="00006FA0" w:rsidP="00006FA0">
            <w:pPr>
              <w:spacing w:after="0"/>
              <w:rPr>
                <w:sz w:val="18"/>
                <w:szCs w:val="18"/>
                <w:u w:val="single"/>
              </w:rPr>
            </w:pPr>
            <w:r w:rsidRPr="00006FA0">
              <w:rPr>
                <w:sz w:val="18"/>
                <w:szCs w:val="18"/>
                <w:u w:val="single"/>
              </w:rPr>
              <w:t>Key:</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shd w:val="clear" w:color="auto" w:fill="auto"/>
          </w:tcPr>
          <w:p w:rsidR="00006FA0" w:rsidRPr="00006FA0" w:rsidRDefault="00006FA0" w:rsidP="00006FA0">
            <w:pPr>
              <w:spacing w:after="0"/>
              <w:rPr>
                <w:sz w:val="18"/>
                <w:szCs w:val="18"/>
              </w:rPr>
            </w:pPr>
            <w:r w:rsidRPr="00006FA0">
              <w:rPr>
                <w:sz w:val="18"/>
                <w:szCs w:val="18"/>
              </w:rPr>
              <w:t xml:space="preserve">(a) </w:t>
            </w:r>
            <w:r>
              <w:rPr>
                <w:sz w:val="18"/>
                <w:szCs w:val="18"/>
              </w:rPr>
              <w:t xml:space="preserve">Grouped by respondents and </w:t>
            </w:r>
            <w:r w:rsidRPr="00006FA0">
              <w:rPr>
                <w:sz w:val="18"/>
                <w:szCs w:val="18"/>
              </w:rPr>
              <w:t xml:space="preserve">according to IC category as presented in section 6(b) of this renewal ICR. </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shd w:val="clear" w:color="auto" w:fill="auto"/>
          </w:tcPr>
          <w:p w:rsidR="00006FA0" w:rsidRPr="00006FA0" w:rsidRDefault="00006FA0" w:rsidP="00006FA0">
            <w:pPr>
              <w:spacing w:after="0"/>
              <w:rPr>
                <w:sz w:val="18"/>
                <w:szCs w:val="18"/>
              </w:rPr>
            </w:pPr>
            <w:r w:rsidRPr="00006FA0">
              <w:rPr>
                <w:sz w:val="18"/>
                <w:szCs w:val="18"/>
              </w:rPr>
              <w:t>(b) From Table 1, includes catch-up orders.</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shd w:val="clear" w:color="auto" w:fill="auto"/>
          </w:tcPr>
          <w:p w:rsidR="00006FA0" w:rsidRPr="00006FA0" w:rsidRDefault="00006FA0" w:rsidP="00555521">
            <w:pPr>
              <w:spacing w:after="0"/>
              <w:rPr>
                <w:sz w:val="18"/>
                <w:szCs w:val="18"/>
              </w:rPr>
            </w:pPr>
            <w:r w:rsidRPr="00006FA0">
              <w:rPr>
                <w:sz w:val="18"/>
                <w:szCs w:val="18"/>
              </w:rPr>
              <w:t xml:space="preserve">(c) </w:t>
            </w:r>
            <w:r>
              <w:rPr>
                <w:sz w:val="18"/>
                <w:szCs w:val="18"/>
              </w:rPr>
              <w:t xml:space="preserve">Calculated by taking the </w:t>
            </w:r>
            <w:r w:rsidRPr="00006FA0">
              <w:rPr>
                <w:sz w:val="18"/>
                <w:szCs w:val="18"/>
              </w:rPr>
              <w:t xml:space="preserve">totals from </w:t>
            </w:r>
            <w:r>
              <w:rPr>
                <w:sz w:val="18"/>
                <w:szCs w:val="18"/>
              </w:rPr>
              <w:t xml:space="preserve">the </w:t>
            </w:r>
            <w:r w:rsidRPr="00006FA0">
              <w:rPr>
                <w:sz w:val="18"/>
                <w:szCs w:val="18"/>
              </w:rPr>
              <w:t>Tables in section 6(b) of this renewal ICR</w:t>
            </w:r>
            <w:r w:rsidR="00555521">
              <w:rPr>
                <w:sz w:val="18"/>
                <w:szCs w:val="18"/>
              </w:rPr>
              <w:t xml:space="preserve"> (see also Table 16)</w:t>
            </w:r>
            <w:r>
              <w:rPr>
                <w:sz w:val="18"/>
                <w:szCs w:val="18"/>
              </w:rPr>
              <w:t>, and dividing by 3</w:t>
            </w:r>
            <w:r w:rsidRPr="00006FA0">
              <w:rPr>
                <w:sz w:val="18"/>
                <w:szCs w:val="18"/>
              </w:rPr>
              <w:t xml:space="preserve">. </w:t>
            </w:r>
            <w:r>
              <w:rPr>
                <w:sz w:val="18"/>
                <w:szCs w:val="18"/>
              </w:rPr>
              <w:t>Numbers are rounded.</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shd w:val="clear" w:color="auto" w:fill="auto"/>
          </w:tcPr>
          <w:p w:rsidR="00006FA0" w:rsidRPr="00006FA0" w:rsidRDefault="00006FA0" w:rsidP="00006FA0">
            <w:pPr>
              <w:spacing w:after="0"/>
              <w:rPr>
                <w:sz w:val="18"/>
                <w:szCs w:val="18"/>
              </w:rPr>
            </w:pPr>
            <w:r w:rsidRPr="00006FA0">
              <w:rPr>
                <w:sz w:val="18"/>
                <w:szCs w:val="18"/>
              </w:rPr>
              <w:t>(d) Total = (b) x (c)</w:t>
            </w:r>
          </w:p>
        </w:tc>
      </w:tr>
      <w:tr w:rsidR="00006FA0" w:rsidRPr="00006FA0" w:rsidTr="00006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96" w:type="dxa"/>
            <w:gridSpan w:val="8"/>
            <w:tcBorders>
              <w:top w:val="nil"/>
              <w:left w:val="nil"/>
              <w:bottom w:val="nil"/>
              <w:right w:val="nil"/>
            </w:tcBorders>
            <w:shd w:val="clear" w:color="auto" w:fill="auto"/>
          </w:tcPr>
          <w:p w:rsidR="00006FA0" w:rsidRPr="00006FA0" w:rsidRDefault="00006FA0" w:rsidP="00006FA0">
            <w:pPr>
              <w:spacing w:after="0"/>
              <w:rPr>
                <w:sz w:val="18"/>
                <w:szCs w:val="18"/>
              </w:rPr>
            </w:pPr>
            <w:r w:rsidRPr="00006FA0">
              <w:rPr>
                <w:sz w:val="18"/>
                <w:szCs w:val="18"/>
              </w:rPr>
              <w:t xml:space="preserve">(e) </w:t>
            </w:r>
            <w:r>
              <w:rPr>
                <w:sz w:val="18"/>
                <w:szCs w:val="18"/>
              </w:rPr>
              <w:t>Calculated by adding the column</w:t>
            </w:r>
            <w:r w:rsidRPr="00006FA0">
              <w:rPr>
                <w:sz w:val="18"/>
                <w:szCs w:val="18"/>
              </w:rPr>
              <w:t>.</w:t>
            </w:r>
          </w:p>
        </w:tc>
      </w:tr>
    </w:tbl>
    <w:p w:rsidR="00804A22" w:rsidRPr="00804A22" w:rsidRDefault="00804A22" w:rsidP="00804A22">
      <w:pPr>
        <w:spacing w:before="240"/>
      </w:pPr>
      <w:r w:rsidRPr="00804A22">
        <w:t xml:space="preserve">To calculate the </w:t>
      </w:r>
      <w:r w:rsidRPr="00804A22">
        <w:rPr>
          <w:b/>
        </w:rPr>
        <w:t>total potential agency burden and cost</w:t>
      </w:r>
      <w:r w:rsidRPr="00804A22">
        <w:t xml:space="preserve"> over the three years, the EPA has multiplied the per chemical </w:t>
      </w:r>
      <w:r>
        <w:t xml:space="preserve">burden and </w:t>
      </w:r>
      <w:r w:rsidRPr="00804A22">
        <w:t>cost in Table</w:t>
      </w:r>
      <w:r>
        <w:t>s</w:t>
      </w:r>
      <w:r w:rsidRPr="00804A22">
        <w:t xml:space="preserve"> </w:t>
      </w:r>
      <w:r>
        <w:t xml:space="preserve">13 and </w:t>
      </w:r>
      <w:r w:rsidRPr="00804A22">
        <w:t>14 by the total number of chemicals</w:t>
      </w:r>
      <w:r>
        <w:t xml:space="preserve"> for a total agency burden of </w:t>
      </w:r>
      <w:r w:rsidRPr="00804A22">
        <w:rPr>
          <w:b/>
        </w:rPr>
        <w:t>35,204 hours</w:t>
      </w:r>
      <w:r>
        <w:t xml:space="preserve"> (677 x 52 chemicals) and a cost of </w:t>
      </w:r>
      <w:r w:rsidRPr="00804A22">
        <w:rPr>
          <w:b/>
        </w:rPr>
        <w:t>$2,667,444</w:t>
      </w:r>
      <w:r w:rsidRPr="00804A22">
        <w:t xml:space="preserve"> ($51,297 x 52 chemicals).</w:t>
      </w:r>
      <w:r w:rsidR="007575DC">
        <w:t xml:space="preserve"> </w:t>
      </w:r>
      <w:proofErr w:type="gramStart"/>
      <w:r w:rsidR="007575DC">
        <w:t>D</w:t>
      </w:r>
      <w:r w:rsidR="007575DC" w:rsidRPr="007575DC">
        <w:t xml:space="preserve">ivided by 3 to get an </w:t>
      </w:r>
      <w:r w:rsidR="007575DC" w:rsidRPr="007575DC">
        <w:rPr>
          <w:b/>
        </w:rPr>
        <w:t>estimated annualized burden of 11,735 hours</w:t>
      </w:r>
      <w:r w:rsidR="007575DC">
        <w:t xml:space="preserve"> (35,204 </w:t>
      </w:r>
      <w:r w:rsidR="007575DC" w:rsidRPr="007575DC">
        <w:t xml:space="preserve">÷ 3) and an estimated annualized cost of </w:t>
      </w:r>
      <w:r w:rsidR="007575DC" w:rsidRPr="007575DC">
        <w:rPr>
          <w:b/>
        </w:rPr>
        <w:t>$</w:t>
      </w:r>
      <w:r w:rsidR="007575DC">
        <w:rPr>
          <w:b/>
        </w:rPr>
        <w:t>889,148</w:t>
      </w:r>
      <w:r w:rsidR="007575DC" w:rsidRPr="007575DC">
        <w:rPr>
          <w:b/>
        </w:rPr>
        <w:t xml:space="preserve"> </w:t>
      </w:r>
      <w:r w:rsidR="007575DC" w:rsidRPr="007575DC">
        <w:t>($</w:t>
      </w:r>
      <w:r w:rsidR="007575DC">
        <w:t>2,667,444</w:t>
      </w:r>
      <w:r w:rsidR="007575DC" w:rsidRPr="007575DC">
        <w:t xml:space="preserve"> ÷ 3).</w:t>
      </w:r>
      <w:proofErr w:type="gramEnd"/>
    </w:p>
    <w:p w:rsidR="000F0DF3" w:rsidRPr="00F52A3C" w:rsidRDefault="001F435B" w:rsidP="002F2414">
      <w:pPr>
        <w:pStyle w:val="Heading2"/>
      </w:pPr>
      <w:r w:rsidRPr="00F52A3C">
        <w:t>6(e)</w:t>
      </w:r>
      <w:r w:rsidR="00123223" w:rsidRPr="00F52A3C">
        <w:tab/>
      </w:r>
      <w:r w:rsidRPr="00F52A3C">
        <w:t>Reasons for Changes in Burden Estimates</w:t>
      </w:r>
    </w:p>
    <w:p w:rsidR="00733994" w:rsidRPr="00F52A3C" w:rsidRDefault="006E48B5" w:rsidP="00F16932">
      <w:r w:rsidRPr="006E48B5">
        <w:t xml:space="preserve">This request represents </w:t>
      </w:r>
      <w:r w:rsidRPr="00023018">
        <w:rPr>
          <w:b/>
        </w:rPr>
        <w:t>a decrease of the annualized burden by 63,01</w:t>
      </w:r>
      <w:r w:rsidR="00E9484A">
        <w:rPr>
          <w:b/>
        </w:rPr>
        <w:t>2</w:t>
      </w:r>
      <w:r w:rsidRPr="00023018">
        <w:rPr>
          <w:b/>
        </w:rPr>
        <w:t xml:space="preserve"> hours</w:t>
      </w:r>
      <w:r w:rsidRPr="006E48B5">
        <w:t xml:space="preserve"> from that currently in the OMB inventory (from 161,415 hours to 98,40</w:t>
      </w:r>
      <w:r w:rsidR="00E9484A">
        <w:t>3</w:t>
      </w:r>
      <w:r w:rsidRPr="006E48B5">
        <w:t xml:space="preserve"> hours). This change is an adjustment in burden estimates due to the planned progression of the collection activities associated with the initial list of chemicals to be screened under the EDSP. This change is an adjustment.</w:t>
      </w:r>
    </w:p>
    <w:p w:rsidR="000F0DF3" w:rsidRPr="00F52A3C" w:rsidRDefault="001F435B" w:rsidP="002F2414">
      <w:pPr>
        <w:pStyle w:val="Heading2"/>
      </w:pPr>
      <w:r w:rsidRPr="00427C5D">
        <w:t>6(f)</w:t>
      </w:r>
      <w:r w:rsidR="00123223" w:rsidRPr="00427C5D">
        <w:tab/>
      </w:r>
      <w:r w:rsidRPr="00427C5D">
        <w:t>Burden Statement for this ICR</w:t>
      </w:r>
    </w:p>
    <w:p w:rsidR="001F435B" w:rsidRDefault="001F435B" w:rsidP="00F16932">
      <w:r w:rsidRPr="00F52A3C">
        <w:t xml:space="preserve">The annual public burden for this information collection activity is estimated to range between </w:t>
      </w:r>
      <w:r w:rsidR="00FD425C" w:rsidRPr="00F52A3C">
        <w:t>204</w:t>
      </w:r>
      <w:r w:rsidRPr="00F52A3C">
        <w:t xml:space="preserve"> and </w:t>
      </w:r>
      <w:r w:rsidR="00970C53">
        <w:t>4,</w:t>
      </w:r>
      <w:r w:rsidR="00601EFB">
        <w:t>9</w:t>
      </w:r>
      <w:r w:rsidR="00875F73">
        <w:t>1</w:t>
      </w:r>
      <w:r w:rsidR="00601EFB">
        <w:t>9</w:t>
      </w:r>
      <w:r w:rsidR="00FD425C" w:rsidRPr="00F52A3C">
        <w:t xml:space="preserve"> </w:t>
      </w:r>
      <w:r w:rsidRPr="00F52A3C">
        <w:t>hours, depending on the respondent category, with an estimated cost between $</w:t>
      </w:r>
      <w:r w:rsidR="00A31A91" w:rsidRPr="00F52A3C">
        <w:t>18,572</w:t>
      </w:r>
      <w:r w:rsidR="00FD425C" w:rsidRPr="00F52A3C">
        <w:t xml:space="preserve"> </w:t>
      </w:r>
      <w:r w:rsidRPr="00F52A3C">
        <w:t>and</w:t>
      </w:r>
      <w:r w:rsidR="00601EFB" w:rsidRPr="00601EFB">
        <w:t xml:space="preserve"> $31</w:t>
      </w:r>
      <w:r w:rsidR="00A7677D">
        <w:t>0</w:t>
      </w:r>
      <w:r w:rsidR="00601EFB" w:rsidRPr="00601EFB">
        <w:t>,</w:t>
      </w:r>
      <w:r w:rsidR="00A7677D">
        <w:t>729</w:t>
      </w:r>
      <w:r w:rsidR="00FD425C" w:rsidRPr="00F52A3C">
        <w:t>.</w:t>
      </w:r>
      <w:r w:rsidR="000C6CB0" w:rsidRPr="00F52A3C">
        <w:t xml:space="preserve"> </w:t>
      </w:r>
      <w:r w:rsidRPr="00F52A3C">
        <w:t>Burden is defined in 5</w:t>
      </w:r>
      <w:r w:rsidR="00F92A48">
        <w:t> CFR </w:t>
      </w:r>
      <w:r w:rsidRPr="00F52A3C">
        <w:t>1320.3(b).</w:t>
      </w:r>
      <w:r w:rsidR="000C6CB0" w:rsidRPr="00F52A3C">
        <w:t xml:space="preserve"> </w:t>
      </w:r>
      <w:r w:rsidRPr="00F52A3C">
        <w:t xml:space="preserve">An agency may not conduct or sponsor, and a person is not required to respond to a collection of information unless it displays a current and valid OMB control number. The OMB control numbers for </w:t>
      </w:r>
      <w:r w:rsidR="002F2414">
        <w:t>the EPA</w:t>
      </w:r>
      <w:r w:rsidR="00CF1D4B" w:rsidRPr="00F52A3C">
        <w:t>'</w:t>
      </w:r>
      <w:r w:rsidRPr="00F52A3C">
        <w:t>s regulations in title 40 of the CFR, after</w:t>
      </w:r>
      <w:r>
        <w:t xml:space="preserve"> appearing in the </w:t>
      </w:r>
      <w:r w:rsidRPr="00CF1D4B">
        <w:rPr>
          <w:i/>
        </w:rPr>
        <w:t>Federal Register</w:t>
      </w:r>
      <w:r>
        <w:t xml:space="preserve">, are listed in 40 CFR </w:t>
      </w:r>
      <w:proofErr w:type="gramStart"/>
      <w:r>
        <w:t>part</w:t>
      </w:r>
      <w:proofErr w:type="gramEnd"/>
      <w:r>
        <w:t xml:space="preserve"> 9 and included on the related collection instrument or form, if applicable.</w:t>
      </w:r>
    </w:p>
    <w:p w:rsidR="000F0DF3" w:rsidRDefault="002F2414" w:rsidP="00F16932">
      <w:r>
        <w:t>The EPA</w:t>
      </w:r>
      <w:r w:rsidR="001F435B">
        <w:t xml:space="preserve"> has established a docket for this ICR under docket ID No. </w:t>
      </w:r>
      <w:proofErr w:type="gramStart"/>
      <w:r w:rsidR="001F435B">
        <w:t>EPA</w:t>
      </w:r>
      <w:r w:rsidR="00677D4B">
        <w:noBreakHyphen/>
        <w:t>HQ</w:t>
      </w:r>
      <w:r w:rsidR="00677D4B">
        <w:noBreakHyphen/>
      </w:r>
      <w:r w:rsidR="001F435B">
        <w:t>OPPT</w:t>
      </w:r>
      <w:r w:rsidR="00677D4B">
        <w:noBreakHyphen/>
      </w:r>
      <w:r w:rsidR="001F435B">
        <w:t>2011</w:t>
      </w:r>
      <w:r w:rsidR="00677D4B">
        <w:noBreakHyphen/>
      </w:r>
      <w:r w:rsidR="001F435B">
        <w:t xml:space="preserve">0966, which is available electronically at </w:t>
      </w:r>
      <w:hyperlink r:id="rId24" w:history="1">
        <w:r w:rsidR="00733994" w:rsidRPr="00BA5628">
          <w:rPr>
            <w:rStyle w:val="Hyperlink"/>
          </w:rPr>
          <w:t>http://www.regulations.gov</w:t>
        </w:r>
      </w:hyperlink>
      <w:r w:rsidR="001F435B">
        <w:t>.</w:t>
      </w:r>
      <w:proofErr w:type="gramEnd"/>
      <w:r w:rsidR="000C6CB0">
        <w:t xml:space="preserve"> </w:t>
      </w:r>
      <w:r w:rsidR="001F435B">
        <w:t>A hard copy of the docket materials are also available for public viewing at the OPPT Docket, which is located in the EPA Docket Center (EPA/DC) at Rm. 3334, EPA West Bldg., 1301 Constitution Ave., NW., Washington, DC. The EPA/DC Public Reading Room hours of operation are 8:30 a.m. to 4:30 p.m., Monday through Friday, excluding Federal holidays. The telephone number of the EPA/DC Public Reading Room is (202) 566</w:t>
      </w:r>
      <w:r w:rsidR="00BD2C85">
        <w:t>–</w:t>
      </w:r>
      <w:r w:rsidR="001F435B">
        <w:t>1744, and the telephone number for the OPPT Docket is (202) 566–0280.</w:t>
      </w:r>
      <w:r w:rsidR="000C6CB0">
        <w:t xml:space="preserve"> </w:t>
      </w:r>
      <w:r w:rsidR="001F435B">
        <w:t xml:space="preserve">Docket visitors are required to show </w:t>
      </w:r>
      <w:r w:rsidR="001F435B">
        <w:lastRenderedPageBreak/>
        <w:t>photographic identification, pass through a metal detector, and sign the EPA visitor log. All visitor bags are processed through an X-ray machine and subject to search. Visitors will be provided an EPA/DC badge that must be visible at all times in the building and returned upon departure.</w:t>
      </w:r>
    </w:p>
    <w:p w:rsidR="000F0DF3" w:rsidRDefault="00D53E0A" w:rsidP="00D53E0A">
      <w:pPr>
        <w:pStyle w:val="Heading1"/>
      </w:pPr>
      <w:r>
        <w:t>7.</w:t>
      </w:r>
      <w:r>
        <w:tab/>
        <w:t xml:space="preserve">List </w:t>
      </w:r>
      <w:r w:rsidR="00733994">
        <w:t>of</w:t>
      </w:r>
      <w:r>
        <w:t xml:space="preserve"> References</w:t>
      </w:r>
    </w:p>
    <w:p w:rsidR="000F0DF3" w:rsidRDefault="001F435B" w:rsidP="006B4926">
      <w:r>
        <w:t>The following is a list of the documents that are specifically referenced in this document, along with information about where to access the documents:</w:t>
      </w:r>
    </w:p>
    <w:p w:rsidR="001F435B" w:rsidRDefault="001F435B" w:rsidP="0072554E">
      <w:pPr>
        <w:pStyle w:val="ListParagraph"/>
        <w:numPr>
          <w:ilvl w:val="0"/>
          <w:numId w:val="12"/>
        </w:numPr>
        <w:spacing w:after="120"/>
        <w:contextualSpacing w:val="0"/>
      </w:pPr>
      <w:r>
        <w:t xml:space="preserve">Endocrine Disruptor Screening Program; Notice (63 FR 42852, August 11, 1998) </w:t>
      </w:r>
      <w:hyperlink r:id="rId25" w:history="1">
        <w:r w:rsidR="00733994" w:rsidRPr="00BA5628">
          <w:rPr>
            <w:rStyle w:val="Hyperlink"/>
          </w:rPr>
          <w:t>http://www.epa.gov/scipoly/oscpendo/pubs/081198frnotice.pdf</w:t>
        </w:r>
      </w:hyperlink>
      <w:r>
        <w:t>.</w:t>
      </w:r>
    </w:p>
    <w:p w:rsidR="001F435B" w:rsidRDefault="001F435B" w:rsidP="0072554E">
      <w:pPr>
        <w:pStyle w:val="ListParagraph"/>
        <w:numPr>
          <w:ilvl w:val="0"/>
          <w:numId w:val="12"/>
        </w:numPr>
        <w:spacing w:after="120"/>
        <w:contextualSpacing w:val="0"/>
      </w:pPr>
      <w:r>
        <w:t xml:space="preserve">Endocrine Disruptor Screening Program; Proposed Statement of Policy; Notice (63 FR 71541, December 28, 1998) </w:t>
      </w:r>
      <w:hyperlink r:id="rId26" w:history="1">
        <w:r w:rsidR="00733994" w:rsidRPr="00BA5628">
          <w:rPr>
            <w:rStyle w:val="Hyperlink"/>
          </w:rPr>
          <w:t>http://www.epa.gov/scipoly/oscpendo/pubs/122898frnotice.pdf</w:t>
        </w:r>
      </w:hyperlink>
      <w:r>
        <w:t>.</w:t>
      </w:r>
    </w:p>
    <w:p w:rsidR="001F435B" w:rsidRDefault="001F435B" w:rsidP="0072554E">
      <w:pPr>
        <w:pStyle w:val="ListParagraph"/>
        <w:numPr>
          <w:ilvl w:val="0"/>
          <w:numId w:val="12"/>
        </w:numPr>
        <w:spacing w:after="120"/>
        <w:contextualSpacing w:val="0"/>
      </w:pPr>
      <w:r>
        <w:t xml:space="preserve">Draft List of Initial Pesticide Active Ingredients and Pesticide Inerts to be Considered for Screening under the Federal Food, Drug, and Cosmetic Act; Notice (72 FR 33486, June 18, 2007) </w:t>
      </w:r>
      <w:hyperlink r:id="rId27" w:history="1">
        <w:r w:rsidR="00733994" w:rsidRPr="00BA5628">
          <w:rPr>
            <w:rStyle w:val="Hyperlink"/>
          </w:rPr>
          <w:t>http://www.epa.gov/scipoly/oscpendo/pubs/draft_list_frn_061807.pdf</w:t>
        </w:r>
      </w:hyperlink>
      <w:r>
        <w:t>.</w:t>
      </w:r>
    </w:p>
    <w:p w:rsidR="001F435B" w:rsidRDefault="001F435B" w:rsidP="0072554E">
      <w:pPr>
        <w:pStyle w:val="ListParagraph"/>
        <w:numPr>
          <w:ilvl w:val="0"/>
          <w:numId w:val="12"/>
        </w:numPr>
        <w:spacing w:after="120"/>
        <w:contextualSpacing w:val="0"/>
      </w:pPr>
      <w:r>
        <w:t>Final List of Initial Pesticide Active Ingredients and Pesticide Inerts to be Considered for Screening under the Federal Food, Drug, and Cosmetic Act; Notice (74 FR 17579, April 15, 2009)</w:t>
      </w:r>
      <w:r w:rsidR="00A7677D">
        <w:t xml:space="preserve"> </w:t>
      </w:r>
      <w:hyperlink r:id="rId28" w:history="1">
        <w:r w:rsidR="002C4FFA" w:rsidRPr="002E0240">
          <w:rPr>
            <w:rStyle w:val="Hyperlink"/>
          </w:rPr>
          <w:t>http://www.epa.gov/fedrgstr/EPA-PEST/2009/April/Day-15/p8709.pdf</w:t>
        </w:r>
      </w:hyperlink>
      <w:r>
        <w:t>.</w:t>
      </w:r>
    </w:p>
    <w:p w:rsidR="001F435B" w:rsidRDefault="001F435B" w:rsidP="0072554E">
      <w:pPr>
        <w:pStyle w:val="ListParagraph"/>
        <w:numPr>
          <w:ilvl w:val="0"/>
          <w:numId w:val="12"/>
        </w:numPr>
        <w:spacing w:after="120"/>
        <w:contextualSpacing w:val="0"/>
      </w:pPr>
      <w:r>
        <w:t>Endocrine Disruptor Screening Program (EDSP); Draft Polic</w:t>
      </w:r>
      <w:r w:rsidR="002F5096">
        <w:t>ies</w:t>
      </w:r>
      <w:r>
        <w:t xml:space="preserve"> and Procedures Document; Request for Comment; Notice (72 FR 70842, December 13, 2007) </w:t>
      </w:r>
      <w:hyperlink r:id="rId29" w:history="1">
        <w:r w:rsidR="00733994" w:rsidRPr="00BA5628">
          <w:rPr>
            <w:rStyle w:val="Hyperlink"/>
          </w:rPr>
          <w:t>http://www.epa.gov/scipoly/oscpendo/pubs/draft_policies_frn.pdf</w:t>
        </w:r>
      </w:hyperlink>
      <w:r>
        <w:t>.</w:t>
      </w:r>
    </w:p>
    <w:p w:rsidR="00733994" w:rsidRDefault="001F435B" w:rsidP="0072554E">
      <w:pPr>
        <w:pStyle w:val="ListParagraph"/>
        <w:numPr>
          <w:ilvl w:val="0"/>
          <w:numId w:val="12"/>
        </w:numPr>
        <w:spacing w:after="120"/>
        <w:contextualSpacing w:val="0"/>
      </w:pPr>
      <w:r>
        <w:t>Endocrine Disruptor Screening Program (EDSP); Policies and Procedures for Initial Screening; Notice (74 FR 17560, April 15, 2009) (</w:t>
      </w:r>
      <w:r w:rsidR="00873A4A">
        <w:t>s</w:t>
      </w:r>
      <w:r>
        <w:t>ee Attachment B to this ICR)</w:t>
      </w:r>
      <w:r w:rsidR="0072554E" w:rsidRPr="0072554E">
        <w:t xml:space="preserve"> </w:t>
      </w:r>
      <w:hyperlink r:id="rId30" w:history="1">
        <w:r w:rsidR="002C4FFA" w:rsidRPr="002E0240">
          <w:rPr>
            <w:rStyle w:val="Hyperlink"/>
          </w:rPr>
          <w:t>http://www.epa.gov/fedrgstr/EPA-PEST/2009/April/Day-15/p8706.pdf</w:t>
        </w:r>
      </w:hyperlink>
      <w:r>
        <w:t>.</w:t>
      </w:r>
    </w:p>
    <w:p w:rsidR="000F0DF3" w:rsidRDefault="001F435B" w:rsidP="0072554E">
      <w:pPr>
        <w:pStyle w:val="ListParagraph"/>
        <w:numPr>
          <w:ilvl w:val="0"/>
          <w:numId w:val="12"/>
        </w:numPr>
        <w:spacing w:after="120"/>
        <w:contextualSpacing w:val="0"/>
      </w:pPr>
      <w:r>
        <w:t>U.S. Postal Service, Online Rate Calculator, as of May 7, 2012.</w:t>
      </w:r>
      <w:r w:rsidR="002F5096">
        <w:t xml:space="preserve"> </w:t>
      </w:r>
      <w:hyperlink r:id="rId31" w:history="1">
        <w:r w:rsidR="004D53FA" w:rsidRPr="00422E94">
          <w:rPr>
            <w:rStyle w:val="Hyperlink"/>
          </w:rPr>
          <w:t>http://postcalc.usps.gov/</w:t>
        </w:r>
      </w:hyperlink>
      <w:r>
        <w:t>.</w:t>
      </w:r>
    </w:p>
    <w:p w:rsidR="004D53FA" w:rsidRDefault="004D53FA" w:rsidP="0072554E">
      <w:pPr>
        <w:pStyle w:val="ListParagraph"/>
        <w:numPr>
          <w:ilvl w:val="0"/>
          <w:numId w:val="12"/>
        </w:numPr>
        <w:spacing w:after="120"/>
        <w:contextualSpacing w:val="0"/>
      </w:pPr>
      <w:r w:rsidRPr="004D53FA">
        <w:t xml:space="preserve">EPA </w:t>
      </w:r>
      <w:r w:rsidR="00AC2756">
        <w:t>R</w:t>
      </w:r>
      <w:r w:rsidRPr="004D53FA">
        <w:t xml:space="preserve">eport </w:t>
      </w:r>
      <w:r w:rsidR="00CF1D4B">
        <w:t>"</w:t>
      </w:r>
      <w:r w:rsidRPr="004D53FA">
        <w:t>Laboratory Testing of Chemicals for Endocrine Disruption Potential - Analysis of Market Factors</w:t>
      </w:r>
      <w:r w:rsidR="00CF1D4B">
        <w:t>"</w:t>
      </w:r>
      <w:r w:rsidRPr="004D53FA">
        <w:t xml:space="preserve"> (October 14, 2009)</w:t>
      </w:r>
      <w:r>
        <w:t>.</w:t>
      </w:r>
    </w:p>
    <w:p w:rsidR="004D53FA" w:rsidRDefault="00E623DB" w:rsidP="0072554E">
      <w:pPr>
        <w:pStyle w:val="ListParagraph"/>
        <w:numPr>
          <w:ilvl w:val="0"/>
          <w:numId w:val="12"/>
        </w:numPr>
        <w:spacing w:after="120"/>
        <w:contextualSpacing w:val="0"/>
      </w:pPr>
      <w:r w:rsidRPr="00E623DB">
        <w:t>Crop Life America</w:t>
      </w:r>
      <w:r>
        <w:t>,</w:t>
      </w:r>
      <w:r w:rsidRPr="00E623DB">
        <w:t xml:space="preserve"> </w:t>
      </w:r>
      <w:r w:rsidR="004D53FA" w:rsidRPr="004D53FA">
        <w:t>EDSP Tier 1 Screening; Preliminary Burden Report dated November 2010 submitted by Crop Life America</w:t>
      </w:r>
      <w:r w:rsidR="00CF1D4B">
        <w:t>'</w:t>
      </w:r>
      <w:r w:rsidR="004D53FA" w:rsidRPr="004D53FA">
        <w:t>s Endocrine Policy Forum.</w:t>
      </w:r>
    </w:p>
    <w:p w:rsidR="00733994" w:rsidRDefault="00D53E0A" w:rsidP="00D53E0A">
      <w:pPr>
        <w:pStyle w:val="Heading1"/>
      </w:pPr>
      <w:r>
        <w:t>8.</w:t>
      </w:r>
      <w:r>
        <w:tab/>
        <w:t>Attachments</w:t>
      </w:r>
    </w:p>
    <w:p w:rsidR="000F0DF3" w:rsidRDefault="001F435B" w:rsidP="000F7ABE">
      <w:pPr>
        <w:keepNext/>
      </w:pPr>
      <w:r>
        <w:t xml:space="preserve">All of the attachments listed below can be found in the docket for this ICR (unless otherwise noted); and are accessible electronically through </w:t>
      </w:r>
      <w:hyperlink r:id="rId32" w:history="1">
        <w:r w:rsidR="00C20FC8" w:rsidRPr="00BA5628">
          <w:rPr>
            <w:rStyle w:val="Hyperlink"/>
          </w:rPr>
          <w:t>http://www.regulations.gov</w:t>
        </w:r>
      </w:hyperlink>
      <w:r>
        <w:t>, under Docket ID Number</w:t>
      </w:r>
      <w:r w:rsidR="000C6CB0">
        <w:t xml:space="preserve">:  </w:t>
      </w:r>
      <w:r>
        <w:t>EPA</w:t>
      </w:r>
      <w:r w:rsidR="00677D4B">
        <w:noBreakHyphen/>
        <w:t>HQ</w:t>
      </w:r>
      <w:r w:rsidR="00677D4B">
        <w:noBreakHyphen/>
      </w:r>
      <w:r>
        <w:t>OPPT</w:t>
      </w:r>
      <w:r w:rsidR="00677D4B">
        <w:noBreakHyphen/>
      </w:r>
      <w:r>
        <w:t>2011</w:t>
      </w:r>
      <w:r w:rsidR="00677D4B">
        <w:noBreakHyphen/>
      </w:r>
      <w:r>
        <w:t>0966.</w:t>
      </w:r>
    </w:p>
    <w:tbl>
      <w:tblPr>
        <w:tblStyle w:val="TableGri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48"/>
        <w:gridCol w:w="8838"/>
      </w:tblGrid>
      <w:tr w:rsidR="00D53E0A" w:rsidRPr="00D53E0A" w:rsidTr="00741890">
        <w:trPr>
          <w:tblHeader/>
        </w:trPr>
        <w:tc>
          <w:tcPr>
            <w:tcW w:w="1548" w:type="dxa"/>
            <w:tcBorders>
              <w:bottom w:val="single" w:sz="4" w:space="0" w:color="auto"/>
            </w:tcBorders>
          </w:tcPr>
          <w:p w:rsidR="00D53E0A" w:rsidRPr="006A394B" w:rsidRDefault="00D53E0A" w:rsidP="00154DD3">
            <w:pPr>
              <w:keepNext/>
              <w:spacing w:after="0"/>
              <w:rPr>
                <w:b/>
              </w:rPr>
            </w:pPr>
            <w:r w:rsidRPr="006A394B">
              <w:rPr>
                <w:b/>
              </w:rPr>
              <w:t>Attachment</w:t>
            </w:r>
          </w:p>
        </w:tc>
        <w:tc>
          <w:tcPr>
            <w:tcW w:w="8838" w:type="dxa"/>
            <w:tcBorders>
              <w:bottom w:val="single" w:sz="4" w:space="0" w:color="auto"/>
            </w:tcBorders>
          </w:tcPr>
          <w:p w:rsidR="00D53E0A" w:rsidRPr="006A394B" w:rsidRDefault="00D53E0A" w:rsidP="00154DD3">
            <w:pPr>
              <w:keepNext/>
              <w:spacing w:after="0"/>
              <w:jc w:val="both"/>
              <w:rPr>
                <w:b/>
              </w:rPr>
            </w:pPr>
            <w:r w:rsidRPr="006A394B">
              <w:rPr>
                <w:b/>
              </w:rPr>
              <w:t>Description</w:t>
            </w:r>
          </w:p>
        </w:tc>
      </w:tr>
      <w:tr w:rsidR="00D53E0A" w:rsidRPr="00D53E0A" w:rsidTr="00741890">
        <w:tc>
          <w:tcPr>
            <w:tcW w:w="1548" w:type="dxa"/>
            <w:tcBorders>
              <w:top w:val="single" w:sz="4" w:space="0" w:color="auto"/>
            </w:tcBorders>
          </w:tcPr>
          <w:p w:rsidR="00D53E0A" w:rsidRPr="006A394B" w:rsidRDefault="00D53E0A" w:rsidP="004B2927">
            <w:pPr>
              <w:spacing w:after="0"/>
              <w:jc w:val="center"/>
            </w:pPr>
            <w:r w:rsidRPr="006A394B">
              <w:t>A</w:t>
            </w:r>
          </w:p>
        </w:tc>
        <w:tc>
          <w:tcPr>
            <w:tcW w:w="8838" w:type="dxa"/>
            <w:tcBorders>
              <w:top w:val="single" w:sz="4" w:space="0" w:color="auto"/>
            </w:tcBorders>
          </w:tcPr>
          <w:p w:rsidR="00D53E0A" w:rsidRPr="006A394B" w:rsidRDefault="00D53E0A" w:rsidP="00DB16F5">
            <w:pPr>
              <w:spacing w:after="0"/>
            </w:pPr>
            <w:r w:rsidRPr="006A394B">
              <w:t>FFDCA sections 408(p), 408(</w:t>
            </w:r>
            <w:proofErr w:type="spellStart"/>
            <w:r w:rsidRPr="006A394B">
              <w:t>i</w:t>
            </w:r>
            <w:proofErr w:type="spellEnd"/>
            <w:r w:rsidRPr="006A394B">
              <w:t>).</w:t>
            </w:r>
            <w:r w:rsidR="000C6CB0">
              <w:t xml:space="preserve"> </w:t>
            </w:r>
            <w:r w:rsidRPr="006A394B">
              <w:t>Available at</w:t>
            </w:r>
            <w:r w:rsidR="00DB16F5">
              <w:t xml:space="preserve"> </w:t>
            </w:r>
            <w:hyperlink r:id="rId33" w:history="1">
              <w:r w:rsidR="00DB16F5" w:rsidRPr="002352AE">
                <w:rPr>
                  <w:rStyle w:val="Hyperlink"/>
                </w:rPr>
                <w:t>http://epw.senate.gov/FDA_001.pdf</w:t>
              </w:r>
            </w:hyperlink>
            <w:r w:rsidR="00DB16F5" w:rsidRPr="006A394B">
              <w:t>.</w:t>
            </w:r>
            <w:r w:rsidR="00DB16F5">
              <w:t xml:space="preserve"> Paragraph 408(p) begins on page 84. Paragraph 408(</w:t>
            </w:r>
            <w:proofErr w:type="spellStart"/>
            <w:r w:rsidR="00DB16F5">
              <w:t>i</w:t>
            </w:r>
            <w:proofErr w:type="spellEnd"/>
            <w:r w:rsidR="00DB16F5">
              <w:t>) begins on page 77</w:t>
            </w:r>
            <w:r w:rsidR="002628DE">
              <w:t>.</w:t>
            </w:r>
          </w:p>
        </w:tc>
      </w:tr>
      <w:tr w:rsidR="00D53E0A" w:rsidRPr="00D53E0A" w:rsidTr="00741890">
        <w:tc>
          <w:tcPr>
            <w:tcW w:w="1548" w:type="dxa"/>
          </w:tcPr>
          <w:p w:rsidR="00D53E0A" w:rsidRPr="006A394B" w:rsidRDefault="00D53E0A" w:rsidP="004B2927">
            <w:pPr>
              <w:spacing w:after="0"/>
              <w:jc w:val="center"/>
            </w:pPr>
            <w:r w:rsidRPr="006A394B">
              <w:t>B</w:t>
            </w:r>
          </w:p>
        </w:tc>
        <w:tc>
          <w:tcPr>
            <w:tcW w:w="8838" w:type="dxa"/>
          </w:tcPr>
          <w:p w:rsidR="00D53E0A" w:rsidRPr="006A394B" w:rsidRDefault="00D53E0A" w:rsidP="00AE35F7">
            <w:pPr>
              <w:spacing w:after="0"/>
            </w:pPr>
            <w:r w:rsidRPr="006A394B">
              <w:t>Endocrine Disruptor Screening Program (EDSP); Policies and Procedures for Initial Screening; Notice (74 FR 17560, April 15, 2009)</w:t>
            </w:r>
            <w:r w:rsidR="00556C33">
              <w:br/>
            </w:r>
            <w:hyperlink r:id="rId34" w:history="1">
              <w:r w:rsidR="00AE35F7" w:rsidRPr="002352AE">
                <w:rPr>
                  <w:rStyle w:val="Hyperlink"/>
                </w:rPr>
                <w:t>http://www.gpo.gov/fdsys/pkg/FR-2009-04-15/pdf/E9-8706.pdf</w:t>
              </w:r>
            </w:hyperlink>
          </w:p>
        </w:tc>
      </w:tr>
      <w:tr w:rsidR="00970C53" w:rsidRPr="00D53E0A" w:rsidTr="00741890">
        <w:tc>
          <w:tcPr>
            <w:tcW w:w="1548" w:type="dxa"/>
          </w:tcPr>
          <w:p w:rsidR="00970C53" w:rsidRPr="006A394B" w:rsidRDefault="00970C53" w:rsidP="00BE31FE">
            <w:pPr>
              <w:spacing w:after="0"/>
              <w:jc w:val="center"/>
            </w:pPr>
            <w:r w:rsidRPr="006A394B">
              <w:t>C</w:t>
            </w:r>
          </w:p>
        </w:tc>
        <w:tc>
          <w:tcPr>
            <w:tcW w:w="8838" w:type="dxa"/>
          </w:tcPr>
          <w:p w:rsidR="00970C53" w:rsidRDefault="00970C53" w:rsidP="00552B46">
            <w:pPr>
              <w:pStyle w:val="ListParagraph"/>
              <w:numPr>
                <w:ilvl w:val="0"/>
                <w:numId w:val="19"/>
              </w:numPr>
              <w:spacing w:after="0"/>
            </w:pPr>
            <w:r w:rsidRPr="00970C53">
              <w:t>FFDCA 408(p) Order Template for Pesticide Registrants</w:t>
            </w:r>
            <w:r w:rsidR="00833C22">
              <w:t xml:space="preserve"> </w:t>
            </w:r>
            <w:r w:rsidR="00833C22" w:rsidRPr="00970C53">
              <w:t xml:space="preserve">(As of </w:t>
            </w:r>
            <w:r w:rsidR="00833C22">
              <w:t>September</w:t>
            </w:r>
            <w:r w:rsidR="00833C22" w:rsidRPr="00970C53">
              <w:t xml:space="preserve"> </w:t>
            </w:r>
            <w:r w:rsidR="00833C22">
              <w:t>16</w:t>
            </w:r>
            <w:r w:rsidR="00833C22" w:rsidRPr="00970C53">
              <w:t>, 2009).</w:t>
            </w:r>
          </w:p>
          <w:p w:rsidR="00970C53" w:rsidRPr="006A394B" w:rsidRDefault="00970C53" w:rsidP="00552B46">
            <w:pPr>
              <w:pStyle w:val="ListParagraph"/>
              <w:numPr>
                <w:ilvl w:val="0"/>
                <w:numId w:val="19"/>
              </w:numPr>
              <w:spacing w:after="0"/>
            </w:pPr>
            <w:r w:rsidRPr="00970C53">
              <w:lastRenderedPageBreak/>
              <w:t xml:space="preserve">FFDCA 408(p) Order Template for Pesticide Inert </w:t>
            </w:r>
            <w:r w:rsidR="00833C22" w:rsidRPr="00970C53">
              <w:t>Ingredients</w:t>
            </w:r>
            <w:r w:rsidR="00741890">
              <w:t xml:space="preserve"> (</w:t>
            </w:r>
            <w:r w:rsidRPr="00970C53">
              <w:t xml:space="preserve">As of </w:t>
            </w:r>
            <w:r>
              <w:t>September</w:t>
            </w:r>
            <w:r w:rsidRPr="00970C53">
              <w:t xml:space="preserve"> </w:t>
            </w:r>
            <w:r>
              <w:t>16</w:t>
            </w:r>
            <w:r w:rsidRPr="00970C53">
              <w:t>, 2009).</w:t>
            </w:r>
          </w:p>
        </w:tc>
      </w:tr>
      <w:tr w:rsidR="00D53E0A" w:rsidRPr="00D53E0A" w:rsidTr="00741890">
        <w:tc>
          <w:tcPr>
            <w:tcW w:w="1548" w:type="dxa"/>
          </w:tcPr>
          <w:p w:rsidR="00D53E0A" w:rsidRPr="006A394B" w:rsidRDefault="00D53E0A" w:rsidP="004B2927">
            <w:pPr>
              <w:spacing w:after="0"/>
              <w:jc w:val="center"/>
            </w:pPr>
            <w:r w:rsidRPr="006A394B">
              <w:lastRenderedPageBreak/>
              <w:t>D</w:t>
            </w:r>
          </w:p>
        </w:tc>
        <w:tc>
          <w:tcPr>
            <w:tcW w:w="8838" w:type="dxa"/>
          </w:tcPr>
          <w:p w:rsidR="00466136" w:rsidRDefault="00D53E0A" w:rsidP="00552B46">
            <w:pPr>
              <w:pStyle w:val="ListParagraph"/>
              <w:numPr>
                <w:ilvl w:val="0"/>
                <w:numId w:val="20"/>
              </w:numPr>
              <w:spacing w:after="0"/>
            </w:pPr>
            <w:r w:rsidRPr="006A394B">
              <w:t>Initial Response Form for Individual Order Recipients (As of April 3, 2009).</w:t>
            </w:r>
          </w:p>
          <w:p w:rsidR="00D53E0A" w:rsidRPr="006A394B" w:rsidRDefault="00D53E0A" w:rsidP="00552B46">
            <w:pPr>
              <w:pStyle w:val="ListParagraph"/>
              <w:numPr>
                <w:ilvl w:val="0"/>
                <w:numId w:val="20"/>
              </w:numPr>
              <w:spacing w:after="0"/>
            </w:pPr>
            <w:r w:rsidRPr="006A394B">
              <w:t>Initial Response Form for Consortium/Task Force (As of April 3, 2009).</w:t>
            </w:r>
          </w:p>
        </w:tc>
      </w:tr>
      <w:tr w:rsidR="00D53E0A" w:rsidRPr="00D53E0A" w:rsidTr="00741890">
        <w:tc>
          <w:tcPr>
            <w:tcW w:w="1548" w:type="dxa"/>
          </w:tcPr>
          <w:p w:rsidR="00D53E0A" w:rsidRPr="006A394B" w:rsidRDefault="00D53E0A" w:rsidP="004B2927">
            <w:pPr>
              <w:spacing w:after="0"/>
              <w:jc w:val="center"/>
            </w:pPr>
            <w:r w:rsidRPr="006A394B">
              <w:t>E</w:t>
            </w:r>
          </w:p>
        </w:tc>
        <w:tc>
          <w:tcPr>
            <w:tcW w:w="8838" w:type="dxa"/>
          </w:tcPr>
          <w:p w:rsidR="00D53E0A" w:rsidRPr="006A394B" w:rsidRDefault="00D53E0A" w:rsidP="004B2927">
            <w:pPr>
              <w:spacing w:after="0"/>
            </w:pPr>
            <w:r w:rsidRPr="006A394B">
              <w:t xml:space="preserve">Overall Process for EDSP Orders (April 3, 2009). </w:t>
            </w:r>
          </w:p>
        </w:tc>
      </w:tr>
      <w:tr w:rsidR="00D53E0A" w:rsidRPr="00D53E0A" w:rsidTr="00741890">
        <w:tc>
          <w:tcPr>
            <w:tcW w:w="1548" w:type="dxa"/>
          </w:tcPr>
          <w:p w:rsidR="00D53E0A" w:rsidRPr="006A394B" w:rsidRDefault="00D53E0A" w:rsidP="004B2927">
            <w:pPr>
              <w:spacing w:after="0"/>
              <w:jc w:val="center"/>
            </w:pPr>
            <w:r w:rsidRPr="006A394B">
              <w:t>F</w:t>
            </w:r>
          </w:p>
        </w:tc>
        <w:tc>
          <w:tcPr>
            <w:tcW w:w="8838" w:type="dxa"/>
          </w:tcPr>
          <w:p w:rsidR="00D53E0A" w:rsidRPr="006A394B" w:rsidRDefault="00D53E0A" w:rsidP="00D362DE">
            <w:pPr>
              <w:spacing w:after="0"/>
            </w:pPr>
            <w:r w:rsidRPr="006A394B">
              <w:t>Calculations for Paperwork Burden and Costs for Data Generation Activities (</w:t>
            </w:r>
            <w:r w:rsidR="006A394B">
              <w:t xml:space="preserve">July </w:t>
            </w:r>
            <w:r w:rsidR="00D362DE">
              <w:t>30</w:t>
            </w:r>
            <w:r w:rsidRPr="006A394B">
              <w:t>, 2012).</w:t>
            </w:r>
          </w:p>
        </w:tc>
      </w:tr>
      <w:tr w:rsidR="00D53E0A" w:rsidRPr="00D53E0A" w:rsidTr="00741890">
        <w:tc>
          <w:tcPr>
            <w:tcW w:w="1548" w:type="dxa"/>
          </w:tcPr>
          <w:p w:rsidR="00D53E0A" w:rsidRPr="006A394B" w:rsidRDefault="00D53E0A" w:rsidP="004B2927">
            <w:pPr>
              <w:spacing w:after="0"/>
              <w:jc w:val="center"/>
            </w:pPr>
            <w:r w:rsidRPr="006A394B">
              <w:t>G</w:t>
            </w:r>
          </w:p>
        </w:tc>
        <w:tc>
          <w:tcPr>
            <w:tcW w:w="8838" w:type="dxa"/>
          </w:tcPr>
          <w:p w:rsidR="00D53E0A" w:rsidRPr="006A394B" w:rsidRDefault="00D53E0A" w:rsidP="004B2927">
            <w:pPr>
              <w:spacing w:after="0"/>
            </w:pPr>
            <w:r w:rsidRPr="006A394B">
              <w:t xml:space="preserve">Final List of Chemicals for Initial Tier 1 Screening in the EDSP (April 3, 2009). </w:t>
            </w:r>
          </w:p>
        </w:tc>
      </w:tr>
      <w:tr w:rsidR="00367DF2" w:rsidRPr="00D53E0A" w:rsidTr="00741890">
        <w:tc>
          <w:tcPr>
            <w:tcW w:w="1548" w:type="dxa"/>
          </w:tcPr>
          <w:p w:rsidR="00367DF2" w:rsidRPr="006A394B" w:rsidRDefault="00367DF2" w:rsidP="004B2927">
            <w:pPr>
              <w:spacing w:after="0"/>
              <w:jc w:val="center"/>
            </w:pPr>
            <w:r>
              <w:t>H</w:t>
            </w:r>
          </w:p>
        </w:tc>
        <w:tc>
          <w:tcPr>
            <w:tcW w:w="8838" w:type="dxa"/>
          </w:tcPr>
          <w:p w:rsidR="00367DF2" w:rsidRPr="006A394B" w:rsidRDefault="004100CE" w:rsidP="004B2927">
            <w:pPr>
              <w:spacing w:after="0"/>
            </w:pPr>
            <w:r>
              <w:t>Compendium of Consultation Responses</w:t>
            </w:r>
          </w:p>
        </w:tc>
      </w:tr>
      <w:tr w:rsidR="00367DF2" w:rsidRPr="00D53E0A" w:rsidTr="00741890">
        <w:tc>
          <w:tcPr>
            <w:tcW w:w="1548" w:type="dxa"/>
          </w:tcPr>
          <w:p w:rsidR="00367DF2" w:rsidRDefault="00367DF2" w:rsidP="004B2927">
            <w:pPr>
              <w:spacing w:after="0"/>
              <w:jc w:val="center"/>
            </w:pPr>
            <w:r>
              <w:t>I</w:t>
            </w:r>
          </w:p>
        </w:tc>
        <w:tc>
          <w:tcPr>
            <w:tcW w:w="8838" w:type="dxa"/>
          </w:tcPr>
          <w:p w:rsidR="00367DF2" w:rsidRPr="00367DF2" w:rsidRDefault="004100CE" w:rsidP="004100CE">
            <w:pPr>
              <w:spacing w:after="0"/>
            </w:pPr>
            <w:r w:rsidRPr="00367DF2">
              <w:t>Response to Public Comments Document</w:t>
            </w:r>
            <w:r>
              <w:t xml:space="preserve"> </w:t>
            </w:r>
          </w:p>
        </w:tc>
      </w:tr>
    </w:tbl>
    <w:p w:rsidR="00775455" w:rsidRDefault="00775455" w:rsidP="00924FAB">
      <w:pPr>
        <w:suppressLineNumbers/>
      </w:pPr>
    </w:p>
    <w:sectPr w:rsidR="00775455" w:rsidSect="00A35BC3">
      <w:headerReference w:type="default" r:id="rId35"/>
      <w:footerReference w:type="default" r:id="rId36"/>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038" w:rsidRPr="00F9327E" w:rsidRDefault="00420038" w:rsidP="001F435B">
      <w:pPr>
        <w:spacing w:after="0"/>
      </w:pPr>
      <w:r>
        <w:separator/>
      </w:r>
    </w:p>
    <w:p w:rsidR="00420038" w:rsidRDefault="00420038"/>
  </w:endnote>
  <w:endnote w:type="continuationSeparator" w:id="0">
    <w:p w:rsidR="00420038" w:rsidRPr="00F9327E" w:rsidRDefault="00420038" w:rsidP="001F435B">
      <w:pPr>
        <w:spacing w:after="0"/>
      </w:pPr>
      <w:r>
        <w:continuationSeparator/>
      </w:r>
    </w:p>
    <w:p w:rsidR="00420038" w:rsidRDefault="0042003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38" w:rsidRDefault="00420038" w:rsidP="000C6CB0">
    <w:pPr>
      <w:pStyle w:val="Footer"/>
      <w:pBdr>
        <w:top w:val="single" w:sz="4" w:space="1" w:color="auto"/>
      </w:pBdr>
    </w:pPr>
    <w:r w:rsidRPr="001F435B">
      <w:t xml:space="preserve">Page </w:t>
    </w:r>
    <w:fldSimple w:instr=" PAGE   \* MERGEFORMAT ">
      <w:r w:rsidR="00555521">
        <w:rPr>
          <w:noProof/>
        </w:rPr>
        <w:t>42</w:t>
      </w:r>
    </w:fldSimple>
    <w:r w:rsidRPr="001F435B">
      <w:t xml:space="preserve"> of </w:t>
    </w:r>
    <w:fldSimple w:instr=" NUMPAGES   \* MERGEFORMAT ">
      <w:r w:rsidR="00555521">
        <w:rPr>
          <w:noProof/>
        </w:rPr>
        <w:t>44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038" w:rsidRPr="00F9327E" w:rsidRDefault="00420038" w:rsidP="001F435B">
      <w:pPr>
        <w:spacing w:after="0"/>
      </w:pPr>
      <w:r>
        <w:separator/>
      </w:r>
    </w:p>
  </w:footnote>
  <w:footnote w:type="continuationSeparator" w:id="0">
    <w:p w:rsidR="00420038" w:rsidRPr="00F9327E" w:rsidRDefault="00420038" w:rsidP="001F435B">
      <w:pPr>
        <w:spacing w:after="0"/>
      </w:pPr>
      <w:r>
        <w:continuationSeparator/>
      </w:r>
    </w:p>
  </w:footnote>
  <w:footnote w:type="continuationNotice" w:id="1">
    <w:p w:rsidR="00420038" w:rsidRDefault="00420038">
      <w:pPr>
        <w:spacing w:after="0"/>
      </w:pPr>
    </w:p>
  </w:footnote>
  <w:footnote w:id="2">
    <w:p w:rsidR="00420038" w:rsidRDefault="00420038">
      <w:pPr>
        <w:pStyle w:val="FootnoteText"/>
      </w:pPr>
      <w:r>
        <w:rPr>
          <w:rStyle w:val="FootnoteReference"/>
        </w:rPr>
        <w:footnoteRef/>
      </w:r>
      <w:r>
        <w:t xml:space="preserve"> </w:t>
      </w:r>
      <w:proofErr w:type="gramStart"/>
      <w:r>
        <w:t xml:space="preserve">44 USC 3501 </w:t>
      </w:r>
      <w:r w:rsidRPr="00924FAB">
        <w:rPr>
          <w:i/>
        </w:rPr>
        <w:t>et seq</w:t>
      </w:r>
      <w:r>
        <w:t>.</w:t>
      </w:r>
      <w:proofErr w:type="gramEnd"/>
    </w:p>
  </w:footnote>
  <w:footnote w:id="3">
    <w:p w:rsidR="00420038" w:rsidRDefault="00420038">
      <w:pPr>
        <w:pStyle w:val="FootnoteText"/>
      </w:pPr>
      <w:r>
        <w:rPr>
          <w:rStyle w:val="FootnoteReference"/>
        </w:rPr>
        <w:footnoteRef/>
      </w:r>
      <w:r>
        <w:t xml:space="preserve"> </w:t>
      </w:r>
      <w:r w:rsidRPr="000F0DF3">
        <w:t>See Attachment A</w:t>
      </w:r>
      <w:r>
        <w:t>.</w:t>
      </w:r>
    </w:p>
  </w:footnote>
  <w:footnote w:id="4">
    <w:p w:rsidR="00420038" w:rsidRDefault="00420038">
      <w:pPr>
        <w:pStyle w:val="FootnoteText"/>
      </w:pPr>
      <w:r>
        <w:rPr>
          <w:rStyle w:val="FootnoteReference"/>
        </w:rPr>
        <w:footnoteRef/>
      </w:r>
      <w:r>
        <w:t xml:space="preserve"> </w:t>
      </w:r>
      <w:r w:rsidRPr="000F0DF3">
        <w:t>Nothing in the identification of chemicals for Tier 1 screening under the EDSP provides a basis to infer that these chemicals are suspected to interfere with the endocrine systems of humans or other species, and it would be inappropriate to do so.</w:t>
      </w:r>
      <w:r>
        <w:t xml:space="preserve"> </w:t>
      </w:r>
      <w:r w:rsidRPr="000F0DF3">
        <w:t>As such, the list of chemicals identified for screening under Tier 1 of the EDSP should not be construed as a list of known or likely endocrine disruptors.</w:t>
      </w:r>
    </w:p>
  </w:footnote>
  <w:footnote w:id="5">
    <w:p w:rsidR="00420038" w:rsidRDefault="00420038">
      <w:pPr>
        <w:pStyle w:val="FootnoteText"/>
      </w:pPr>
      <w:r>
        <w:rPr>
          <w:rStyle w:val="FootnoteReference"/>
        </w:rPr>
        <w:footnoteRef/>
      </w:r>
      <w:r w:rsidRPr="002F5096">
        <w:t>See Attachment G</w:t>
      </w:r>
      <w:r>
        <w:t>.</w:t>
      </w:r>
    </w:p>
  </w:footnote>
  <w:footnote w:id="6">
    <w:p w:rsidR="00420038" w:rsidRDefault="00420038">
      <w:pPr>
        <w:pStyle w:val="FootnoteText"/>
      </w:pPr>
      <w:r>
        <w:rPr>
          <w:rStyle w:val="FootnoteReference"/>
        </w:rPr>
        <w:footnoteRef/>
      </w:r>
      <w:r>
        <w:t xml:space="preserve"> </w:t>
      </w:r>
      <w:r w:rsidRPr="00CB7A1A">
        <w:t xml:space="preserve">To access an overview of the endocrine system go to </w:t>
      </w:r>
      <w:hyperlink r:id="rId1" w:history="1">
        <w:r w:rsidRPr="00BA5628">
          <w:rPr>
            <w:rStyle w:val="Hyperlink"/>
          </w:rPr>
          <w:t>http://www.epa.gov/endo/pubs/edspoverview/primer.htm</w:t>
        </w:r>
      </w:hyperlink>
      <w:r w:rsidRPr="00CB7A1A">
        <w:t>.</w:t>
      </w:r>
    </w:p>
  </w:footnote>
  <w:footnote w:id="7">
    <w:p w:rsidR="00420038" w:rsidRDefault="00420038" w:rsidP="00DF73FD">
      <w:pPr>
        <w:pStyle w:val="FootnoteText"/>
      </w:pPr>
      <w:r>
        <w:rPr>
          <w:rStyle w:val="FootnoteReference"/>
        </w:rPr>
        <w:footnoteRef/>
      </w:r>
      <w:r>
        <w:t xml:space="preserve"> The collection of Tier 2 data is not part of this information collection activity.</w:t>
      </w:r>
    </w:p>
  </w:footnote>
  <w:footnote w:id="8">
    <w:p w:rsidR="00420038" w:rsidRDefault="00420038">
      <w:pPr>
        <w:pStyle w:val="FootnoteText"/>
      </w:pPr>
      <w:r>
        <w:rPr>
          <w:rStyle w:val="FootnoteReference"/>
        </w:rPr>
        <w:footnoteRef/>
      </w:r>
      <w:r>
        <w:t xml:space="preserve"> This refers to other information that is available to EPA at the time of its analysis, including information that is not covered by this ICR. </w:t>
      </w:r>
    </w:p>
  </w:footnote>
  <w:footnote w:id="9">
    <w:p w:rsidR="00420038" w:rsidRDefault="00420038">
      <w:pPr>
        <w:pStyle w:val="FootnoteText"/>
      </w:pPr>
      <w:r>
        <w:rPr>
          <w:rStyle w:val="FootnoteReference"/>
        </w:rPr>
        <w:footnoteRef/>
      </w:r>
      <w:r>
        <w:t xml:space="preserve"> To access the procymidone d</w:t>
      </w:r>
      <w:r w:rsidRPr="0002616D">
        <w:t>ecision</w:t>
      </w:r>
      <w:r>
        <w:t xml:space="preserve">, go to </w:t>
      </w:r>
      <w:hyperlink r:id="rId2" w:history="1">
        <w:r w:rsidRPr="00AE6488">
          <w:rPr>
            <w:rStyle w:val="Hyperlink"/>
          </w:rPr>
          <w:t>http://www.epa.gov/pesticides/reregistration/procymidone/</w:t>
        </w:r>
      </w:hyperlink>
      <w:r>
        <w:t>.</w:t>
      </w:r>
    </w:p>
  </w:footnote>
  <w:footnote w:id="10">
    <w:p w:rsidR="00420038" w:rsidRDefault="00420038">
      <w:pPr>
        <w:pStyle w:val="FootnoteText"/>
      </w:pPr>
      <w:r>
        <w:rPr>
          <w:rStyle w:val="FootnoteReference"/>
        </w:rPr>
        <w:footnoteRef/>
      </w:r>
      <w:r>
        <w:t xml:space="preserve"> </w:t>
      </w:r>
      <w:r w:rsidRPr="00CB7A1A">
        <w:t xml:space="preserve">To access the vinclozolin decision, go to </w:t>
      </w:r>
      <w:hyperlink r:id="rId3" w:history="1">
        <w:r w:rsidRPr="00BA5628">
          <w:rPr>
            <w:rStyle w:val="Hyperlink"/>
          </w:rPr>
          <w:t>http://www.epa.gov/pesticides/reregistration/vinclozolin/</w:t>
        </w:r>
      </w:hyperlink>
      <w:r w:rsidRPr="00CB7A1A">
        <w:t>.</w:t>
      </w:r>
    </w:p>
  </w:footnote>
  <w:footnote w:id="11">
    <w:p w:rsidR="00420038" w:rsidRDefault="00420038">
      <w:pPr>
        <w:pStyle w:val="FootnoteText"/>
      </w:pPr>
      <w:r>
        <w:rPr>
          <w:rStyle w:val="FootnoteReference"/>
        </w:rPr>
        <w:footnoteRef/>
      </w:r>
      <w:r>
        <w:t xml:space="preserve"> </w:t>
      </w:r>
      <w:hyperlink r:id="rId4" w:history="1">
        <w:r w:rsidRPr="00F044ED">
          <w:rPr>
            <w:rStyle w:val="Hyperlink"/>
          </w:rPr>
          <w:t>http://www.epa.gov/ocspp/pubs/frs/home/testmeth.htm</w:t>
        </w:r>
      </w:hyperlink>
      <w:r>
        <w:t xml:space="preserve">. </w:t>
      </w:r>
    </w:p>
  </w:footnote>
  <w:footnote w:id="12">
    <w:p w:rsidR="00420038" w:rsidRDefault="00420038" w:rsidP="00662542">
      <w:pPr>
        <w:pStyle w:val="FootnoteText"/>
      </w:pPr>
      <w:r>
        <w:rPr>
          <w:rStyle w:val="FootnoteReference"/>
        </w:rPr>
        <w:footnoteRef/>
      </w:r>
      <w:r>
        <w:t xml:space="preserve"> </w:t>
      </w:r>
      <w:r w:rsidRPr="00662542">
        <w:t>Prior to April 22, 2010, this office was known as the Office of Prevention, Pesticides and Toxic Substances (OPPTS).</w:t>
      </w:r>
    </w:p>
  </w:footnote>
  <w:footnote w:id="13">
    <w:p w:rsidR="00420038" w:rsidRDefault="00420038">
      <w:pPr>
        <w:pStyle w:val="FootnoteText"/>
      </w:pPr>
      <w:r>
        <w:rPr>
          <w:rStyle w:val="FootnoteReference"/>
        </w:rPr>
        <w:footnoteRef/>
      </w:r>
      <w:r>
        <w:t xml:space="preserve"> DOL, Bureau of Labor, September 11, 2012 Announcement of June 2012 Data</w:t>
      </w:r>
      <w:r>
        <w:br/>
      </w:r>
      <w:r w:rsidRPr="00AB6D85">
        <w:t>http://www.bls.gov/news.release/archives/ecec_09112012.htm</w:t>
      </w:r>
    </w:p>
  </w:footnote>
  <w:footnote w:id="14">
    <w:p w:rsidR="00420038" w:rsidRDefault="00420038">
      <w:pPr>
        <w:pStyle w:val="FootnoteText"/>
      </w:pPr>
      <w:r>
        <w:rPr>
          <w:rStyle w:val="FootnoteReference"/>
        </w:rPr>
        <w:footnoteRef/>
      </w:r>
      <w:r>
        <w:t xml:space="preserve"> The total in the article of $544,397 was in 2010 dollars, which were adjusted for 2012 using the inflation calculator at </w:t>
      </w:r>
      <w:hyperlink r:id="rId5" w:history="1">
        <w:r w:rsidRPr="001B322C">
          <w:rPr>
            <w:rStyle w:val="Hyperlink"/>
          </w:rPr>
          <w:t>http://www.bls.gov/data/inflation_calculator.htm</w:t>
        </w:r>
      </w:hyperlink>
      <w:r>
        <w:t xml:space="preserve">. </w:t>
      </w:r>
    </w:p>
  </w:footnote>
  <w:footnote w:id="15">
    <w:p w:rsidR="00420038" w:rsidRDefault="00420038">
      <w:pPr>
        <w:pStyle w:val="FootnoteText"/>
      </w:pPr>
      <w:r>
        <w:rPr>
          <w:rStyle w:val="FootnoteReference"/>
        </w:rPr>
        <w:footnoteRef/>
      </w:r>
      <w:r>
        <w:t xml:space="preserve"> </w:t>
      </w:r>
      <w:r w:rsidRPr="00D5348B">
        <w:t>http://www.bls.gov/oes/current/naics4_999100.htm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38" w:rsidRPr="00696B65" w:rsidRDefault="00420038" w:rsidP="00696B65">
    <w:pPr>
      <w:pStyle w:val="Header"/>
      <w:pBdr>
        <w:bottom w:val="single" w:sz="4" w:space="1" w:color="auto"/>
      </w:pBdr>
      <w:tabs>
        <w:tab w:val="right" w:pos="10080"/>
      </w:tabs>
      <w:jc w:val="left"/>
      <w:rPr>
        <w:b w:val="0"/>
      </w:rPr>
    </w:pPr>
    <w:r>
      <w:rPr>
        <w:color w:val="FF0000"/>
      </w:rPr>
      <w:tab/>
    </w:r>
    <w:r w:rsidRPr="00696B65">
      <w:t xml:space="preserve">October </w:t>
    </w:r>
    <w:r>
      <w:t>25</w:t>
    </w:r>
    <w:r w:rsidRPr="00696B65">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FD09DB8"/>
    <w:lvl w:ilvl="0">
      <w:start w:val="1"/>
      <w:numFmt w:val="bullet"/>
      <w:lvlText w:val=""/>
      <w:lvlJc w:val="left"/>
      <w:pPr>
        <w:tabs>
          <w:tab w:val="num" w:pos="1800"/>
        </w:tabs>
        <w:ind w:left="1800" w:hanging="360"/>
      </w:pPr>
      <w:rPr>
        <w:rFonts w:ascii="Symbol" w:hAnsi="Symbol" w:hint="default"/>
      </w:rPr>
    </w:lvl>
  </w:abstractNum>
  <w:abstractNum w:abstractNumId="1">
    <w:nsid w:val="FFFFFF89"/>
    <w:multiLevelType w:val="singleLevel"/>
    <w:tmpl w:val="6B505252"/>
    <w:lvl w:ilvl="0">
      <w:start w:val="1"/>
      <w:numFmt w:val="bullet"/>
      <w:lvlText w:val=""/>
      <w:lvlJc w:val="left"/>
      <w:pPr>
        <w:tabs>
          <w:tab w:val="num" w:pos="360"/>
        </w:tabs>
        <w:ind w:left="360" w:hanging="360"/>
      </w:pPr>
      <w:rPr>
        <w:rFonts w:ascii="Symbol" w:hAnsi="Symbol" w:hint="default"/>
      </w:rPr>
    </w:lvl>
  </w:abstractNum>
  <w:abstractNum w:abstractNumId="2">
    <w:nsid w:val="01FD6DAD"/>
    <w:multiLevelType w:val="hybridMultilevel"/>
    <w:tmpl w:val="898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C1414"/>
    <w:multiLevelType w:val="hybridMultilevel"/>
    <w:tmpl w:val="E160E476"/>
    <w:lvl w:ilvl="0" w:tplc="503EC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9D7B57"/>
    <w:multiLevelType w:val="hybridMultilevel"/>
    <w:tmpl w:val="0FB25F4A"/>
    <w:lvl w:ilvl="0" w:tplc="503EC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5F6366"/>
    <w:multiLevelType w:val="hybridMultilevel"/>
    <w:tmpl w:val="34B46E5C"/>
    <w:lvl w:ilvl="0" w:tplc="A5C035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D400C"/>
    <w:multiLevelType w:val="hybridMultilevel"/>
    <w:tmpl w:val="93A81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44FA5"/>
    <w:multiLevelType w:val="hybridMultilevel"/>
    <w:tmpl w:val="43D6BF8E"/>
    <w:lvl w:ilvl="0" w:tplc="63EA67A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E4341"/>
    <w:multiLevelType w:val="hybridMultilevel"/>
    <w:tmpl w:val="B98846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176617"/>
    <w:multiLevelType w:val="hybridMultilevel"/>
    <w:tmpl w:val="E96C5FAC"/>
    <w:lvl w:ilvl="0" w:tplc="302A270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001883"/>
    <w:multiLevelType w:val="hybridMultilevel"/>
    <w:tmpl w:val="405C5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441F9"/>
    <w:multiLevelType w:val="hybridMultilevel"/>
    <w:tmpl w:val="3B6601A4"/>
    <w:lvl w:ilvl="0" w:tplc="E88616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439DA"/>
    <w:multiLevelType w:val="hybridMultilevel"/>
    <w:tmpl w:val="45CA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BC458C"/>
    <w:multiLevelType w:val="hybridMultilevel"/>
    <w:tmpl w:val="31FC02B4"/>
    <w:lvl w:ilvl="0" w:tplc="E27096C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A5E7B3E">
      <w:start w:val="1"/>
      <w:numFmt w:val="lowerRoman"/>
      <w:lvlText w:val="(%3)"/>
      <w:lvlJc w:val="left"/>
      <w:pPr>
        <w:ind w:left="2340" w:hanging="720"/>
      </w:pPr>
      <w:rPr>
        <w:rFonts w:hint="default"/>
      </w:rPr>
    </w:lvl>
    <w:lvl w:ilvl="3" w:tplc="1752EC9A">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175563"/>
    <w:multiLevelType w:val="hybridMultilevel"/>
    <w:tmpl w:val="E0A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051C0"/>
    <w:multiLevelType w:val="hybridMultilevel"/>
    <w:tmpl w:val="D0A4D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962F3"/>
    <w:multiLevelType w:val="hybridMultilevel"/>
    <w:tmpl w:val="B6F2F838"/>
    <w:lvl w:ilvl="0" w:tplc="503ECD3A">
      <w:start w:val="1"/>
      <w:numFmt w:val="decimal"/>
      <w:lvlText w:val="(%1)"/>
      <w:lvlJc w:val="left"/>
      <w:pPr>
        <w:ind w:left="360" w:hanging="360"/>
      </w:pPr>
      <w:rPr>
        <w:rFonts w:hint="default"/>
      </w:rPr>
    </w:lvl>
    <w:lvl w:ilvl="1" w:tplc="3CB07CA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6F79DA"/>
    <w:multiLevelType w:val="hybridMultilevel"/>
    <w:tmpl w:val="823221B4"/>
    <w:lvl w:ilvl="0" w:tplc="C9E034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62170B"/>
    <w:multiLevelType w:val="hybridMultilevel"/>
    <w:tmpl w:val="5240F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9413EF"/>
    <w:multiLevelType w:val="hybridMultilevel"/>
    <w:tmpl w:val="B2AC1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11B16"/>
    <w:multiLevelType w:val="hybridMultilevel"/>
    <w:tmpl w:val="9BE2B938"/>
    <w:lvl w:ilvl="0" w:tplc="A5C035C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A5C035CE">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2D062D"/>
    <w:multiLevelType w:val="hybridMultilevel"/>
    <w:tmpl w:val="1796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5E1C2C"/>
    <w:multiLevelType w:val="hybridMultilevel"/>
    <w:tmpl w:val="D46A90F8"/>
    <w:lvl w:ilvl="0" w:tplc="503E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03ECD3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91B77"/>
    <w:multiLevelType w:val="hybridMultilevel"/>
    <w:tmpl w:val="9B76854C"/>
    <w:lvl w:ilvl="0" w:tplc="9514A1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195430"/>
    <w:multiLevelType w:val="hybridMultilevel"/>
    <w:tmpl w:val="F8F8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4354F1"/>
    <w:multiLevelType w:val="hybridMultilevel"/>
    <w:tmpl w:val="B98846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F353F5"/>
    <w:multiLevelType w:val="hybridMultilevel"/>
    <w:tmpl w:val="DC28844A"/>
    <w:lvl w:ilvl="0" w:tplc="881C43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4"/>
  </w:num>
  <w:num w:numId="3">
    <w:abstractNumId w:val="21"/>
  </w:num>
  <w:num w:numId="4">
    <w:abstractNumId w:val="12"/>
  </w:num>
  <w:num w:numId="5">
    <w:abstractNumId w:val="24"/>
  </w:num>
  <w:num w:numId="6">
    <w:abstractNumId w:val="9"/>
  </w:num>
  <w:num w:numId="7">
    <w:abstractNumId w:val="4"/>
  </w:num>
  <w:num w:numId="8">
    <w:abstractNumId w:val="8"/>
  </w:num>
  <w:num w:numId="9">
    <w:abstractNumId w:val="25"/>
  </w:num>
  <w:num w:numId="10">
    <w:abstractNumId w:val="11"/>
  </w:num>
  <w:num w:numId="11">
    <w:abstractNumId w:val="23"/>
  </w:num>
  <w:num w:numId="12">
    <w:abstractNumId w:val="19"/>
  </w:num>
  <w:num w:numId="13">
    <w:abstractNumId w:val="3"/>
  </w:num>
  <w:num w:numId="14">
    <w:abstractNumId w:val="16"/>
  </w:num>
  <w:num w:numId="15">
    <w:abstractNumId w:val="6"/>
  </w:num>
  <w:num w:numId="16">
    <w:abstractNumId w:val="5"/>
  </w:num>
  <w:num w:numId="17">
    <w:abstractNumId w:val="13"/>
  </w:num>
  <w:num w:numId="18">
    <w:abstractNumId w:val="20"/>
  </w:num>
  <w:num w:numId="19">
    <w:abstractNumId w:val="26"/>
  </w:num>
  <w:num w:numId="20">
    <w:abstractNumId w:val="17"/>
  </w:num>
  <w:num w:numId="21">
    <w:abstractNumId w:val="22"/>
  </w:num>
  <w:num w:numId="22">
    <w:abstractNumId w:val="10"/>
  </w:num>
  <w:num w:numId="23">
    <w:abstractNumId w:val="18"/>
  </w:num>
  <w:num w:numId="24">
    <w:abstractNumId w:val="7"/>
  </w:num>
  <w:num w:numId="25">
    <w:abstractNumId w:val="15"/>
  </w:num>
  <w:num w:numId="26">
    <w:abstractNumId w:val="0"/>
  </w:num>
  <w:num w:numId="27">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4"/>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 w:id="1"/>
  </w:footnotePr>
  <w:endnotePr>
    <w:endnote w:id="-1"/>
    <w:endnote w:id="0"/>
  </w:endnotePr>
  <w:compat/>
  <w:rsids>
    <w:rsidRoot w:val="001F435B"/>
    <w:rsid w:val="00006FA0"/>
    <w:rsid w:val="0001330C"/>
    <w:rsid w:val="0001467E"/>
    <w:rsid w:val="00021B08"/>
    <w:rsid w:val="00023018"/>
    <w:rsid w:val="00025C00"/>
    <w:rsid w:val="00025F23"/>
    <w:rsid w:val="00033525"/>
    <w:rsid w:val="000503D7"/>
    <w:rsid w:val="000547A4"/>
    <w:rsid w:val="000554A0"/>
    <w:rsid w:val="00057BE4"/>
    <w:rsid w:val="000644E1"/>
    <w:rsid w:val="000655EC"/>
    <w:rsid w:val="00070D1C"/>
    <w:rsid w:val="00080B7B"/>
    <w:rsid w:val="00084217"/>
    <w:rsid w:val="000A0E96"/>
    <w:rsid w:val="000A2F01"/>
    <w:rsid w:val="000A47F0"/>
    <w:rsid w:val="000C16EC"/>
    <w:rsid w:val="000C2A08"/>
    <w:rsid w:val="000C4708"/>
    <w:rsid w:val="000C6CB0"/>
    <w:rsid w:val="000D51DB"/>
    <w:rsid w:val="000E0276"/>
    <w:rsid w:val="000F0DF3"/>
    <w:rsid w:val="000F377D"/>
    <w:rsid w:val="000F7ABE"/>
    <w:rsid w:val="00100D8F"/>
    <w:rsid w:val="00105B66"/>
    <w:rsid w:val="00114DC4"/>
    <w:rsid w:val="00115A8F"/>
    <w:rsid w:val="00123223"/>
    <w:rsid w:val="00127A1A"/>
    <w:rsid w:val="0013716F"/>
    <w:rsid w:val="001417D1"/>
    <w:rsid w:val="00150EE0"/>
    <w:rsid w:val="00154DD3"/>
    <w:rsid w:val="00163816"/>
    <w:rsid w:val="0017425E"/>
    <w:rsid w:val="001853D9"/>
    <w:rsid w:val="001B3A83"/>
    <w:rsid w:val="001B4D0B"/>
    <w:rsid w:val="001C7C6E"/>
    <w:rsid w:val="001D0909"/>
    <w:rsid w:val="001D1ED6"/>
    <w:rsid w:val="001D3504"/>
    <w:rsid w:val="001E640A"/>
    <w:rsid w:val="001E75B3"/>
    <w:rsid w:val="001F0651"/>
    <w:rsid w:val="001F1F29"/>
    <w:rsid w:val="001F435B"/>
    <w:rsid w:val="002007EE"/>
    <w:rsid w:val="002074F6"/>
    <w:rsid w:val="002161BA"/>
    <w:rsid w:val="0021660C"/>
    <w:rsid w:val="00236F4C"/>
    <w:rsid w:val="00241AE8"/>
    <w:rsid w:val="00244597"/>
    <w:rsid w:val="00250466"/>
    <w:rsid w:val="0025535B"/>
    <w:rsid w:val="002628DE"/>
    <w:rsid w:val="00273B98"/>
    <w:rsid w:val="002765F8"/>
    <w:rsid w:val="00276C6B"/>
    <w:rsid w:val="00290F41"/>
    <w:rsid w:val="00293AA5"/>
    <w:rsid w:val="002C151C"/>
    <w:rsid w:val="002C1ECC"/>
    <w:rsid w:val="002C4FFA"/>
    <w:rsid w:val="002E7C21"/>
    <w:rsid w:val="002F2414"/>
    <w:rsid w:val="002F5096"/>
    <w:rsid w:val="0031016B"/>
    <w:rsid w:val="003221ED"/>
    <w:rsid w:val="00327BCC"/>
    <w:rsid w:val="00346812"/>
    <w:rsid w:val="0035544F"/>
    <w:rsid w:val="00367DF2"/>
    <w:rsid w:val="00373C19"/>
    <w:rsid w:val="00377215"/>
    <w:rsid w:val="00382AB0"/>
    <w:rsid w:val="00384E80"/>
    <w:rsid w:val="00385BD8"/>
    <w:rsid w:val="00386B78"/>
    <w:rsid w:val="00387E5C"/>
    <w:rsid w:val="00393942"/>
    <w:rsid w:val="003A1362"/>
    <w:rsid w:val="003B03F1"/>
    <w:rsid w:val="003B25B4"/>
    <w:rsid w:val="003B31BE"/>
    <w:rsid w:val="003C06EF"/>
    <w:rsid w:val="003D2886"/>
    <w:rsid w:val="003D68FE"/>
    <w:rsid w:val="003F3DB1"/>
    <w:rsid w:val="003F70EE"/>
    <w:rsid w:val="00401B02"/>
    <w:rsid w:val="004100CE"/>
    <w:rsid w:val="00420038"/>
    <w:rsid w:val="00421D74"/>
    <w:rsid w:val="00427C5D"/>
    <w:rsid w:val="00453CDD"/>
    <w:rsid w:val="0045523E"/>
    <w:rsid w:val="00466136"/>
    <w:rsid w:val="00472D6A"/>
    <w:rsid w:val="004751F8"/>
    <w:rsid w:val="004767F2"/>
    <w:rsid w:val="0047768A"/>
    <w:rsid w:val="00480852"/>
    <w:rsid w:val="004864EF"/>
    <w:rsid w:val="00491B9E"/>
    <w:rsid w:val="004964A1"/>
    <w:rsid w:val="004A4A32"/>
    <w:rsid w:val="004B1979"/>
    <w:rsid w:val="004B2927"/>
    <w:rsid w:val="004D12AC"/>
    <w:rsid w:val="004D4738"/>
    <w:rsid w:val="004D53FA"/>
    <w:rsid w:val="004D779E"/>
    <w:rsid w:val="004E1354"/>
    <w:rsid w:val="004F0782"/>
    <w:rsid w:val="00506B35"/>
    <w:rsid w:val="00510480"/>
    <w:rsid w:val="005122E6"/>
    <w:rsid w:val="005214B2"/>
    <w:rsid w:val="005245D3"/>
    <w:rsid w:val="00526234"/>
    <w:rsid w:val="00537AEB"/>
    <w:rsid w:val="00543DDA"/>
    <w:rsid w:val="00543EAB"/>
    <w:rsid w:val="00544E76"/>
    <w:rsid w:val="00545B35"/>
    <w:rsid w:val="005471DB"/>
    <w:rsid w:val="00552B46"/>
    <w:rsid w:val="00555521"/>
    <w:rsid w:val="00556B54"/>
    <w:rsid w:val="00556C33"/>
    <w:rsid w:val="005736C1"/>
    <w:rsid w:val="005826AF"/>
    <w:rsid w:val="00594728"/>
    <w:rsid w:val="005A058F"/>
    <w:rsid w:val="005A0645"/>
    <w:rsid w:val="005B3758"/>
    <w:rsid w:val="005B4EA1"/>
    <w:rsid w:val="005C37A8"/>
    <w:rsid w:val="005D286C"/>
    <w:rsid w:val="005D3697"/>
    <w:rsid w:val="005E1B6C"/>
    <w:rsid w:val="005F48A8"/>
    <w:rsid w:val="00601B20"/>
    <w:rsid w:val="00601EFB"/>
    <w:rsid w:val="00613EC8"/>
    <w:rsid w:val="00614FA9"/>
    <w:rsid w:val="0062657D"/>
    <w:rsid w:val="006351DD"/>
    <w:rsid w:val="00637F6C"/>
    <w:rsid w:val="00640AC0"/>
    <w:rsid w:val="006466FB"/>
    <w:rsid w:val="006578F0"/>
    <w:rsid w:val="00662542"/>
    <w:rsid w:val="00674E1C"/>
    <w:rsid w:val="0067595B"/>
    <w:rsid w:val="00677D4B"/>
    <w:rsid w:val="00680675"/>
    <w:rsid w:val="006857B9"/>
    <w:rsid w:val="006957CE"/>
    <w:rsid w:val="00695DC5"/>
    <w:rsid w:val="00696B65"/>
    <w:rsid w:val="006A075B"/>
    <w:rsid w:val="006A189D"/>
    <w:rsid w:val="006A34CC"/>
    <w:rsid w:val="006A394B"/>
    <w:rsid w:val="006B4926"/>
    <w:rsid w:val="006B5A9B"/>
    <w:rsid w:val="006D2911"/>
    <w:rsid w:val="006E358D"/>
    <w:rsid w:val="006E48B5"/>
    <w:rsid w:val="006E5058"/>
    <w:rsid w:val="006E528C"/>
    <w:rsid w:val="006E662A"/>
    <w:rsid w:val="006F1778"/>
    <w:rsid w:val="006F1C1E"/>
    <w:rsid w:val="00710112"/>
    <w:rsid w:val="00711197"/>
    <w:rsid w:val="00711D37"/>
    <w:rsid w:val="0072554E"/>
    <w:rsid w:val="00733994"/>
    <w:rsid w:val="00733BBC"/>
    <w:rsid w:val="00741890"/>
    <w:rsid w:val="00741C9C"/>
    <w:rsid w:val="0075056C"/>
    <w:rsid w:val="007575DC"/>
    <w:rsid w:val="0076212E"/>
    <w:rsid w:val="00762863"/>
    <w:rsid w:val="00765ECB"/>
    <w:rsid w:val="00773F62"/>
    <w:rsid w:val="00775455"/>
    <w:rsid w:val="00780CEE"/>
    <w:rsid w:val="00784BF5"/>
    <w:rsid w:val="00786D03"/>
    <w:rsid w:val="00787663"/>
    <w:rsid w:val="00795E68"/>
    <w:rsid w:val="007B609C"/>
    <w:rsid w:val="007D3345"/>
    <w:rsid w:val="007D46C1"/>
    <w:rsid w:val="007F41D7"/>
    <w:rsid w:val="00804A22"/>
    <w:rsid w:val="00812153"/>
    <w:rsid w:val="00821DFF"/>
    <w:rsid w:val="008310C3"/>
    <w:rsid w:val="00831D26"/>
    <w:rsid w:val="00833C22"/>
    <w:rsid w:val="00835563"/>
    <w:rsid w:val="00854E88"/>
    <w:rsid w:val="00857893"/>
    <w:rsid w:val="008613D5"/>
    <w:rsid w:val="00862A03"/>
    <w:rsid w:val="00873A4A"/>
    <w:rsid w:val="00875336"/>
    <w:rsid w:val="0087538C"/>
    <w:rsid w:val="00875F73"/>
    <w:rsid w:val="00876F70"/>
    <w:rsid w:val="008A0EBD"/>
    <w:rsid w:val="008A11A0"/>
    <w:rsid w:val="008A5C2D"/>
    <w:rsid w:val="008B42BA"/>
    <w:rsid w:val="008C1EA9"/>
    <w:rsid w:val="008D06E9"/>
    <w:rsid w:val="008E69CC"/>
    <w:rsid w:val="008F07BA"/>
    <w:rsid w:val="009047A1"/>
    <w:rsid w:val="00912A3A"/>
    <w:rsid w:val="00924FAB"/>
    <w:rsid w:val="00926FDF"/>
    <w:rsid w:val="00927717"/>
    <w:rsid w:val="0093522A"/>
    <w:rsid w:val="00941A45"/>
    <w:rsid w:val="009474D7"/>
    <w:rsid w:val="009554A7"/>
    <w:rsid w:val="009630B6"/>
    <w:rsid w:val="009639CD"/>
    <w:rsid w:val="00970C53"/>
    <w:rsid w:val="009908EE"/>
    <w:rsid w:val="009917C7"/>
    <w:rsid w:val="009919DD"/>
    <w:rsid w:val="00991ACB"/>
    <w:rsid w:val="00992779"/>
    <w:rsid w:val="009A0E80"/>
    <w:rsid w:val="009A5239"/>
    <w:rsid w:val="009A6860"/>
    <w:rsid w:val="009B4170"/>
    <w:rsid w:val="009C2019"/>
    <w:rsid w:val="009D1904"/>
    <w:rsid w:val="009D48FC"/>
    <w:rsid w:val="009F263B"/>
    <w:rsid w:val="009F27B5"/>
    <w:rsid w:val="009F5DA9"/>
    <w:rsid w:val="00A0099A"/>
    <w:rsid w:val="00A02219"/>
    <w:rsid w:val="00A149F2"/>
    <w:rsid w:val="00A20C66"/>
    <w:rsid w:val="00A31010"/>
    <w:rsid w:val="00A31609"/>
    <w:rsid w:val="00A31A91"/>
    <w:rsid w:val="00A32F43"/>
    <w:rsid w:val="00A344DE"/>
    <w:rsid w:val="00A35BC3"/>
    <w:rsid w:val="00A377A4"/>
    <w:rsid w:val="00A44B78"/>
    <w:rsid w:val="00A50151"/>
    <w:rsid w:val="00A540B8"/>
    <w:rsid w:val="00A577E5"/>
    <w:rsid w:val="00A75B46"/>
    <w:rsid w:val="00A7677D"/>
    <w:rsid w:val="00A8797F"/>
    <w:rsid w:val="00A91659"/>
    <w:rsid w:val="00AA1FCC"/>
    <w:rsid w:val="00AA548D"/>
    <w:rsid w:val="00AB16C3"/>
    <w:rsid w:val="00AB6D85"/>
    <w:rsid w:val="00AC2756"/>
    <w:rsid w:val="00AC3862"/>
    <w:rsid w:val="00AC777B"/>
    <w:rsid w:val="00AD06C5"/>
    <w:rsid w:val="00AD2C69"/>
    <w:rsid w:val="00AD471B"/>
    <w:rsid w:val="00AD6A35"/>
    <w:rsid w:val="00AE089C"/>
    <w:rsid w:val="00AE0B2E"/>
    <w:rsid w:val="00AE35F7"/>
    <w:rsid w:val="00AF3F8D"/>
    <w:rsid w:val="00B037DC"/>
    <w:rsid w:val="00B115E0"/>
    <w:rsid w:val="00B11854"/>
    <w:rsid w:val="00B24D1E"/>
    <w:rsid w:val="00B25860"/>
    <w:rsid w:val="00B31625"/>
    <w:rsid w:val="00B35E9F"/>
    <w:rsid w:val="00B3629F"/>
    <w:rsid w:val="00B36954"/>
    <w:rsid w:val="00B72DA4"/>
    <w:rsid w:val="00B73C71"/>
    <w:rsid w:val="00B75D56"/>
    <w:rsid w:val="00B77957"/>
    <w:rsid w:val="00B831C5"/>
    <w:rsid w:val="00B83425"/>
    <w:rsid w:val="00B86F26"/>
    <w:rsid w:val="00B947F1"/>
    <w:rsid w:val="00BA2FCE"/>
    <w:rsid w:val="00BD2C85"/>
    <w:rsid w:val="00BD485C"/>
    <w:rsid w:val="00BD7697"/>
    <w:rsid w:val="00BE1B32"/>
    <w:rsid w:val="00BE31FE"/>
    <w:rsid w:val="00BF1119"/>
    <w:rsid w:val="00C0376B"/>
    <w:rsid w:val="00C10AA0"/>
    <w:rsid w:val="00C20FC8"/>
    <w:rsid w:val="00C2410C"/>
    <w:rsid w:val="00C270A7"/>
    <w:rsid w:val="00C27F91"/>
    <w:rsid w:val="00C35690"/>
    <w:rsid w:val="00C8589B"/>
    <w:rsid w:val="00C90C7B"/>
    <w:rsid w:val="00C91FB9"/>
    <w:rsid w:val="00CA4243"/>
    <w:rsid w:val="00CA70B2"/>
    <w:rsid w:val="00CB29BE"/>
    <w:rsid w:val="00CB4991"/>
    <w:rsid w:val="00CB7A1A"/>
    <w:rsid w:val="00CC053F"/>
    <w:rsid w:val="00CC52E9"/>
    <w:rsid w:val="00CC7695"/>
    <w:rsid w:val="00CD0CA3"/>
    <w:rsid w:val="00CD6549"/>
    <w:rsid w:val="00CD765B"/>
    <w:rsid w:val="00CF1D4B"/>
    <w:rsid w:val="00D04B2A"/>
    <w:rsid w:val="00D16F25"/>
    <w:rsid w:val="00D21E08"/>
    <w:rsid w:val="00D25179"/>
    <w:rsid w:val="00D27F6D"/>
    <w:rsid w:val="00D362DE"/>
    <w:rsid w:val="00D500D7"/>
    <w:rsid w:val="00D5348B"/>
    <w:rsid w:val="00D538D3"/>
    <w:rsid w:val="00D53E0A"/>
    <w:rsid w:val="00D60F3D"/>
    <w:rsid w:val="00D642B2"/>
    <w:rsid w:val="00D6457E"/>
    <w:rsid w:val="00D70092"/>
    <w:rsid w:val="00D80EEB"/>
    <w:rsid w:val="00D8706B"/>
    <w:rsid w:val="00D93D78"/>
    <w:rsid w:val="00D94A90"/>
    <w:rsid w:val="00DA3466"/>
    <w:rsid w:val="00DA5072"/>
    <w:rsid w:val="00DB16F5"/>
    <w:rsid w:val="00DC6A9C"/>
    <w:rsid w:val="00DD59EF"/>
    <w:rsid w:val="00DE01F7"/>
    <w:rsid w:val="00DE13DA"/>
    <w:rsid w:val="00DF3C22"/>
    <w:rsid w:val="00DF7306"/>
    <w:rsid w:val="00DF73FD"/>
    <w:rsid w:val="00E01DE7"/>
    <w:rsid w:val="00E14CFD"/>
    <w:rsid w:val="00E16820"/>
    <w:rsid w:val="00E21C22"/>
    <w:rsid w:val="00E244CD"/>
    <w:rsid w:val="00E24E2D"/>
    <w:rsid w:val="00E25AA1"/>
    <w:rsid w:val="00E308C0"/>
    <w:rsid w:val="00E35878"/>
    <w:rsid w:val="00E5097F"/>
    <w:rsid w:val="00E623DB"/>
    <w:rsid w:val="00E6512C"/>
    <w:rsid w:val="00E85ED5"/>
    <w:rsid w:val="00E913B5"/>
    <w:rsid w:val="00E94111"/>
    <w:rsid w:val="00E9484A"/>
    <w:rsid w:val="00E975EF"/>
    <w:rsid w:val="00EB15D8"/>
    <w:rsid w:val="00EB34E5"/>
    <w:rsid w:val="00EB5743"/>
    <w:rsid w:val="00EC52B0"/>
    <w:rsid w:val="00EC788C"/>
    <w:rsid w:val="00ED4985"/>
    <w:rsid w:val="00ED6993"/>
    <w:rsid w:val="00ED79B3"/>
    <w:rsid w:val="00EE5FFA"/>
    <w:rsid w:val="00EE71CC"/>
    <w:rsid w:val="00EF62D9"/>
    <w:rsid w:val="00EF7B9A"/>
    <w:rsid w:val="00F03A98"/>
    <w:rsid w:val="00F04510"/>
    <w:rsid w:val="00F113DE"/>
    <w:rsid w:val="00F16932"/>
    <w:rsid w:val="00F35EDF"/>
    <w:rsid w:val="00F40A4F"/>
    <w:rsid w:val="00F50C9A"/>
    <w:rsid w:val="00F52A3C"/>
    <w:rsid w:val="00F54B9F"/>
    <w:rsid w:val="00F62DD4"/>
    <w:rsid w:val="00F92A48"/>
    <w:rsid w:val="00F95C2A"/>
    <w:rsid w:val="00F9771B"/>
    <w:rsid w:val="00FA7DE2"/>
    <w:rsid w:val="00FB70F3"/>
    <w:rsid w:val="00FB7E55"/>
    <w:rsid w:val="00FD425C"/>
    <w:rsid w:val="00FD508A"/>
    <w:rsid w:val="00FD5EDF"/>
    <w:rsid w:val="00FD6886"/>
    <w:rsid w:val="00FE138C"/>
    <w:rsid w:val="00FF2E75"/>
    <w:rsid w:val="00FF5F75"/>
    <w:rsid w:val="00FF7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239"/>
    <w:pPr>
      <w:spacing w:after="240"/>
    </w:pPr>
    <w:rPr>
      <w:sz w:val="24"/>
      <w:szCs w:val="24"/>
    </w:rPr>
  </w:style>
  <w:style w:type="paragraph" w:styleId="Heading1">
    <w:name w:val="heading 1"/>
    <w:basedOn w:val="ListParagraph"/>
    <w:next w:val="Normal"/>
    <w:link w:val="Heading1Char"/>
    <w:qFormat/>
    <w:rsid w:val="000F0DF3"/>
    <w:pPr>
      <w:keepNext/>
      <w:ind w:left="360" w:hanging="360"/>
      <w:outlineLvl w:val="0"/>
    </w:pPr>
    <w:rPr>
      <w:b/>
      <w:sz w:val="28"/>
      <w:szCs w:val="28"/>
    </w:rPr>
  </w:style>
  <w:style w:type="paragraph" w:styleId="Heading2">
    <w:name w:val="heading 2"/>
    <w:basedOn w:val="Heading1"/>
    <w:next w:val="Normal"/>
    <w:link w:val="Heading2Char"/>
    <w:unhideWhenUsed/>
    <w:qFormat/>
    <w:rsid w:val="002F2414"/>
    <w:pPr>
      <w:spacing w:before="240"/>
      <w:ind w:left="1080" w:hanging="720"/>
      <w:outlineLvl w:val="1"/>
    </w:pPr>
    <w:rPr>
      <w:i/>
    </w:rPr>
  </w:style>
  <w:style w:type="paragraph" w:styleId="Heading3">
    <w:name w:val="heading 3"/>
    <w:basedOn w:val="Heading2"/>
    <w:next w:val="Normal"/>
    <w:link w:val="Heading3Char"/>
    <w:unhideWhenUsed/>
    <w:qFormat/>
    <w:rsid w:val="000F0DF3"/>
    <w:pPr>
      <w:tabs>
        <w:tab w:val="left" w:pos="3960"/>
      </w:tabs>
      <w:ind w:left="1800" w:hanging="1080"/>
      <w:contextualSpacing w:val="0"/>
      <w:outlineLvl w:val="2"/>
    </w:pPr>
    <w:rPr>
      <w:i w:val="0"/>
      <w:sz w:val="24"/>
      <w:szCs w:val="24"/>
    </w:rPr>
  </w:style>
  <w:style w:type="paragraph" w:styleId="Heading4">
    <w:name w:val="heading 4"/>
    <w:basedOn w:val="Normal"/>
    <w:next w:val="Normal"/>
    <w:link w:val="Heading4Char"/>
    <w:unhideWhenUsed/>
    <w:qFormat/>
    <w:rsid w:val="000F0DF3"/>
    <w:pPr>
      <w:keepNext/>
      <w:outlineLvl w:val="3"/>
    </w:pPr>
    <w:rPr>
      <w:i/>
      <w:u w:val="single"/>
    </w:rPr>
  </w:style>
  <w:style w:type="paragraph" w:styleId="Heading5">
    <w:name w:val="heading 5"/>
    <w:basedOn w:val="Heading3"/>
    <w:next w:val="Normal"/>
    <w:link w:val="Heading5Char"/>
    <w:unhideWhenUsed/>
    <w:qFormat/>
    <w:rsid w:val="000F0DF3"/>
    <w:pPr>
      <w:tabs>
        <w:tab w:val="clear" w:pos="3960"/>
      </w:tabs>
      <w:ind w:left="2160"/>
      <w:outlineLvl w:val="4"/>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DF3"/>
    <w:rPr>
      <w:rFonts w:ascii="Arial" w:hAnsi="Arial"/>
      <w:b/>
      <w:sz w:val="28"/>
      <w:szCs w:val="28"/>
    </w:rPr>
  </w:style>
  <w:style w:type="paragraph" w:styleId="Header">
    <w:name w:val="header"/>
    <w:basedOn w:val="Normal"/>
    <w:link w:val="HeaderChar"/>
    <w:rsid w:val="000C6CB0"/>
    <w:pPr>
      <w:spacing w:after="0"/>
      <w:jc w:val="right"/>
    </w:pPr>
    <w:rPr>
      <w:rFonts w:cs="Arial"/>
      <w:b/>
      <w:sz w:val="20"/>
      <w:szCs w:val="20"/>
    </w:rPr>
  </w:style>
  <w:style w:type="character" w:customStyle="1" w:styleId="HeaderChar">
    <w:name w:val="Header Char"/>
    <w:basedOn w:val="DefaultParagraphFont"/>
    <w:link w:val="Header"/>
    <w:rsid w:val="000C6CB0"/>
    <w:rPr>
      <w:rFonts w:ascii="Arial" w:hAnsi="Arial" w:cs="Arial"/>
      <w:b/>
    </w:rPr>
  </w:style>
  <w:style w:type="paragraph" w:styleId="Footer">
    <w:name w:val="footer"/>
    <w:basedOn w:val="Normal"/>
    <w:link w:val="FooterChar"/>
    <w:uiPriority w:val="99"/>
    <w:rsid w:val="000F0DF3"/>
    <w:pPr>
      <w:spacing w:after="0"/>
      <w:jc w:val="center"/>
    </w:pPr>
    <w:rPr>
      <w:rFonts w:cs="Arial"/>
      <w:sz w:val="20"/>
      <w:szCs w:val="20"/>
    </w:rPr>
  </w:style>
  <w:style w:type="character" w:customStyle="1" w:styleId="FooterChar">
    <w:name w:val="Footer Char"/>
    <w:basedOn w:val="DefaultParagraphFont"/>
    <w:link w:val="Footer"/>
    <w:uiPriority w:val="99"/>
    <w:rsid w:val="001F435B"/>
    <w:rPr>
      <w:rFonts w:ascii="Arial" w:hAnsi="Arial" w:cs="Arial"/>
    </w:rPr>
  </w:style>
  <w:style w:type="paragraph" w:styleId="Title">
    <w:name w:val="Title"/>
    <w:basedOn w:val="Normal"/>
    <w:next w:val="Normal"/>
    <w:link w:val="TitleChar"/>
    <w:qFormat/>
    <w:rsid w:val="000F0DF3"/>
    <w:pPr>
      <w:jc w:val="center"/>
    </w:pPr>
    <w:rPr>
      <w:b/>
    </w:rPr>
  </w:style>
  <w:style w:type="character" w:customStyle="1" w:styleId="TitleChar">
    <w:name w:val="Title Char"/>
    <w:basedOn w:val="DefaultParagraphFont"/>
    <w:link w:val="Title"/>
    <w:rsid w:val="000F0DF3"/>
    <w:rPr>
      <w:rFonts w:ascii="Arial" w:hAnsi="Arial"/>
      <w:b/>
      <w:sz w:val="24"/>
      <w:szCs w:val="24"/>
    </w:rPr>
  </w:style>
  <w:style w:type="character" w:customStyle="1" w:styleId="Heading2Char">
    <w:name w:val="Heading 2 Char"/>
    <w:basedOn w:val="DefaultParagraphFont"/>
    <w:link w:val="Heading2"/>
    <w:rsid w:val="002F2414"/>
    <w:rPr>
      <w:b/>
      <w:i/>
      <w:sz w:val="28"/>
      <w:szCs w:val="28"/>
    </w:rPr>
  </w:style>
  <w:style w:type="character" w:customStyle="1" w:styleId="Heading3Char">
    <w:name w:val="Heading 3 Char"/>
    <w:basedOn w:val="DefaultParagraphFont"/>
    <w:link w:val="Heading3"/>
    <w:rsid w:val="001F435B"/>
    <w:rPr>
      <w:rFonts w:ascii="Arial" w:hAnsi="Arial"/>
      <w:b/>
      <w:sz w:val="24"/>
      <w:szCs w:val="24"/>
    </w:rPr>
  </w:style>
  <w:style w:type="character" w:styleId="FootnoteReference">
    <w:name w:val="footnote reference"/>
    <w:basedOn w:val="DefaultParagraphFont"/>
    <w:uiPriority w:val="99"/>
    <w:rsid w:val="000F0DF3"/>
    <w:rPr>
      <w:vertAlign w:val="superscript"/>
    </w:rPr>
  </w:style>
  <w:style w:type="paragraph" w:styleId="FootnoteText">
    <w:name w:val="footnote text"/>
    <w:basedOn w:val="Normal"/>
    <w:link w:val="FootnoteTextChar"/>
    <w:uiPriority w:val="99"/>
    <w:rsid w:val="000F0DF3"/>
    <w:pPr>
      <w:spacing w:after="0"/>
    </w:pPr>
    <w:rPr>
      <w:sz w:val="20"/>
      <w:szCs w:val="20"/>
    </w:rPr>
  </w:style>
  <w:style w:type="character" w:customStyle="1" w:styleId="FootnoteTextChar">
    <w:name w:val="Footnote Text Char"/>
    <w:basedOn w:val="DefaultParagraphFont"/>
    <w:link w:val="FootnoteText"/>
    <w:uiPriority w:val="99"/>
    <w:rsid w:val="000F0DF3"/>
    <w:rPr>
      <w:rFonts w:ascii="Arial" w:hAnsi="Arial"/>
    </w:rPr>
  </w:style>
  <w:style w:type="paragraph" w:styleId="ListParagraph">
    <w:name w:val="List Paragraph"/>
    <w:basedOn w:val="Normal"/>
    <w:uiPriority w:val="34"/>
    <w:qFormat/>
    <w:rsid w:val="000F0DF3"/>
    <w:pPr>
      <w:ind w:left="720"/>
      <w:contextualSpacing/>
    </w:pPr>
  </w:style>
  <w:style w:type="character" w:customStyle="1" w:styleId="Heading4Char">
    <w:name w:val="Heading 4 Char"/>
    <w:basedOn w:val="DefaultParagraphFont"/>
    <w:link w:val="Heading4"/>
    <w:rsid w:val="000F0DF3"/>
    <w:rPr>
      <w:rFonts w:ascii="Arial" w:hAnsi="Arial"/>
      <w:i/>
      <w:sz w:val="24"/>
      <w:szCs w:val="24"/>
      <w:u w:val="single"/>
    </w:rPr>
  </w:style>
  <w:style w:type="character" w:customStyle="1" w:styleId="Heading5Char">
    <w:name w:val="Heading 5 Char"/>
    <w:basedOn w:val="DefaultParagraphFont"/>
    <w:link w:val="Heading5"/>
    <w:rsid w:val="000F0DF3"/>
    <w:rPr>
      <w:rFonts w:ascii="Arial" w:hAnsi="Arial"/>
      <w:b/>
      <w:i/>
      <w:sz w:val="24"/>
      <w:szCs w:val="24"/>
    </w:rPr>
  </w:style>
  <w:style w:type="character" w:styleId="Hyperlink">
    <w:name w:val="Hyperlink"/>
    <w:basedOn w:val="DefaultParagraphFont"/>
    <w:rsid w:val="000F0DF3"/>
    <w:rPr>
      <w:color w:val="0000FF" w:themeColor="hyperlink"/>
      <w:u w:val="single"/>
    </w:rPr>
  </w:style>
  <w:style w:type="character" w:styleId="LineNumber">
    <w:name w:val="line number"/>
    <w:basedOn w:val="DefaultParagraphFont"/>
    <w:rsid w:val="009A5239"/>
    <w:rPr>
      <w:rFonts w:asciiTheme="minorHAnsi" w:hAnsiTheme="minorHAnsi"/>
      <w:sz w:val="20"/>
    </w:rPr>
  </w:style>
  <w:style w:type="paragraph" w:customStyle="1" w:styleId="TableCaption">
    <w:name w:val="Table Caption"/>
    <w:basedOn w:val="Normal"/>
    <w:rsid w:val="002F2414"/>
    <w:pPr>
      <w:keepNext/>
      <w:spacing w:before="240" w:after="0"/>
    </w:pPr>
    <w:rPr>
      <w:b/>
    </w:rPr>
  </w:style>
  <w:style w:type="table" w:styleId="TableGrid">
    <w:name w:val="Table Grid"/>
    <w:basedOn w:val="TableNormal"/>
    <w:rsid w:val="000F0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0F0DF3"/>
    <w:rPr>
      <w:sz w:val="16"/>
      <w:szCs w:val="16"/>
    </w:rPr>
  </w:style>
  <w:style w:type="paragraph" w:styleId="CommentText">
    <w:name w:val="annotation text"/>
    <w:basedOn w:val="Normal"/>
    <w:link w:val="CommentTextChar"/>
    <w:rsid w:val="000F0DF3"/>
    <w:rPr>
      <w:sz w:val="20"/>
      <w:szCs w:val="20"/>
    </w:rPr>
  </w:style>
  <w:style w:type="character" w:customStyle="1" w:styleId="CommentTextChar">
    <w:name w:val="Comment Text Char"/>
    <w:basedOn w:val="DefaultParagraphFont"/>
    <w:link w:val="CommentText"/>
    <w:rsid w:val="000F0DF3"/>
    <w:rPr>
      <w:rFonts w:ascii="Arial" w:hAnsi="Arial"/>
    </w:rPr>
  </w:style>
  <w:style w:type="paragraph" w:styleId="CommentSubject">
    <w:name w:val="annotation subject"/>
    <w:basedOn w:val="CommentText"/>
    <w:next w:val="CommentText"/>
    <w:link w:val="CommentSubjectChar"/>
    <w:rsid w:val="000F0DF3"/>
    <w:rPr>
      <w:b/>
      <w:bCs/>
    </w:rPr>
  </w:style>
  <w:style w:type="character" w:customStyle="1" w:styleId="CommentSubjectChar">
    <w:name w:val="Comment Subject Char"/>
    <w:basedOn w:val="CommentTextChar"/>
    <w:link w:val="CommentSubject"/>
    <w:rsid w:val="000F0DF3"/>
    <w:rPr>
      <w:b/>
      <w:bCs/>
    </w:rPr>
  </w:style>
  <w:style w:type="paragraph" w:styleId="BalloonText">
    <w:name w:val="Balloon Text"/>
    <w:basedOn w:val="Normal"/>
    <w:link w:val="BalloonTextChar"/>
    <w:rsid w:val="000F0DF3"/>
    <w:pPr>
      <w:spacing w:after="0"/>
    </w:pPr>
    <w:rPr>
      <w:rFonts w:ascii="Tahoma" w:hAnsi="Tahoma" w:cs="Tahoma"/>
      <w:sz w:val="16"/>
      <w:szCs w:val="16"/>
    </w:rPr>
  </w:style>
  <w:style w:type="character" w:customStyle="1" w:styleId="BalloonTextChar">
    <w:name w:val="Balloon Text Char"/>
    <w:basedOn w:val="DefaultParagraphFont"/>
    <w:link w:val="BalloonText"/>
    <w:rsid w:val="000F0DF3"/>
    <w:rPr>
      <w:rFonts w:ascii="Tahoma" w:hAnsi="Tahoma" w:cs="Tahoma"/>
      <w:sz w:val="16"/>
      <w:szCs w:val="16"/>
    </w:rPr>
  </w:style>
  <w:style w:type="paragraph" w:styleId="Caption">
    <w:name w:val="caption"/>
    <w:basedOn w:val="Normal"/>
    <w:next w:val="Normal"/>
    <w:unhideWhenUsed/>
    <w:qFormat/>
    <w:rsid w:val="0087538C"/>
    <w:pPr>
      <w:keepNext/>
      <w:spacing w:after="0"/>
    </w:pPr>
    <w:rPr>
      <w:b/>
    </w:rPr>
  </w:style>
  <w:style w:type="paragraph" w:customStyle="1" w:styleId="Table">
    <w:name w:val="Table"/>
    <w:basedOn w:val="Normal"/>
    <w:rsid w:val="00293AA5"/>
    <w:pPr>
      <w:jc w:val="center"/>
    </w:pPr>
    <w:rPr>
      <w:rFonts w:ascii="Calibri" w:hAnsi="Calibri"/>
      <w:b/>
      <w:bCs/>
      <w:color w:val="000000"/>
      <w:sz w:val="22"/>
      <w:szCs w:val="22"/>
    </w:rPr>
  </w:style>
  <w:style w:type="paragraph" w:customStyle="1" w:styleId="TableSmall">
    <w:name w:val="Table Small"/>
    <w:basedOn w:val="Normal"/>
    <w:rsid w:val="00293AA5"/>
  </w:style>
</w:styles>
</file>

<file path=word/webSettings.xml><?xml version="1.0" encoding="utf-8"?>
<w:webSettings xmlns:r="http://schemas.openxmlformats.org/officeDocument/2006/relationships" xmlns:w="http://schemas.openxmlformats.org/wordprocessingml/2006/main">
  <w:divs>
    <w:div w:id="57174649">
      <w:bodyDiv w:val="1"/>
      <w:marLeft w:val="0"/>
      <w:marRight w:val="0"/>
      <w:marTop w:val="0"/>
      <w:marBottom w:val="0"/>
      <w:divBdr>
        <w:top w:val="none" w:sz="0" w:space="0" w:color="auto"/>
        <w:left w:val="none" w:sz="0" w:space="0" w:color="auto"/>
        <w:bottom w:val="none" w:sz="0" w:space="0" w:color="auto"/>
        <w:right w:val="none" w:sz="0" w:space="0" w:color="auto"/>
      </w:divBdr>
    </w:div>
    <w:div w:id="59401028">
      <w:bodyDiv w:val="1"/>
      <w:marLeft w:val="0"/>
      <w:marRight w:val="0"/>
      <w:marTop w:val="0"/>
      <w:marBottom w:val="0"/>
      <w:divBdr>
        <w:top w:val="none" w:sz="0" w:space="0" w:color="auto"/>
        <w:left w:val="none" w:sz="0" w:space="0" w:color="auto"/>
        <w:bottom w:val="none" w:sz="0" w:space="0" w:color="auto"/>
        <w:right w:val="none" w:sz="0" w:space="0" w:color="auto"/>
      </w:divBdr>
    </w:div>
    <w:div w:id="128207766">
      <w:bodyDiv w:val="1"/>
      <w:marLeft w:val="0"/>
      <w:marRight w:val="0"/>
      <w:marTop w:val="0"/>
      <w:marBottom w:val="0"/>
      <w:divBdr>
        <w:top w:val="none" w:sz="0" w:space="0" w:color="auto"/>
        <w:left w:val="none" w:sz="0" w:space="0" w:color="auto"/>
        <w:bottom w:val="none" w:sz="0" w:space="0" w:color="auto"/>
        <w:right w:val="none" w:sz="0" w:space="0" w:color="auto"/>
      </w:divBdr>
    </w:div>
    <w:div w:id="274603737">
      <w:bodyDiv w:val="1"/>
      <w:marLeft w:val="0"/>
      <w:marRight w:val="0"/>
      <w:marTop w:val="0"/>
      <w:marBottom w:val="0"/>
      <w:divBdr>
        <w:top w:val="none" w:sz="0" w:space="0" w:color="auto"/>
        <w:left w:val="none" w:sz="0" w:space="0" w:color="auto"/>
        <w:bottom w:val="none" w:sz="0" w:space="0" w:color="auto"/>
        <w:right w:val="none" w:sz="0" w:space="0" w:color="auto"/>
      </w:divBdr>
    </w:div>
    <w:div w:id="295766127">
      <w:bodyDiv w:val="1"/>
      <w:marLeft w:val="0"/>
      <w:marRight w:val="0"/>
      <w:marTop w:val="0"/>
      <w:marBottom w:val="0"/>
      <w:divBdr>
        <w:top w:val="none" w:sz="0" w:space="0" w:color="auto"/>
        <w:left w:val="none" w:sz="0" w:space="0" w:color="auto"/>
        <w:bottom w:val="none" w:sz="0" w:space="0" w:color="auto"/>
        <w:right w:val="none" w:sz="0" w:space="0" w:color="auto"/>
      </w:divBdr>
    </w:div>
    <w:div w:id="726297930">
      <w:bodyDiv w:val="1"/>
      <w:marLeft w:val="0"/>
      <w:marRight w:val="0"/>
      <w:marTop w:val="0"/>
      <w:marBottom w:val="0"/>
      <w:divBdr>
        <w:top w:val="none" w:sz="0" w:space="0" w:color="auto"/>
        <w:left w:val="none" w:sz="0" w:space="0" w:color="auto"/>
        <w:bottom w:val="none" w:sz="0" w:space="0" w:color="auto"/>
        <w:right w:val="none" w:sz="0" w:space="0" w:color="auto"/>
      </w:divBdr>
    </w:div>
    <w:div w:id="826432960">
      <w:bodyDiv w:val="1"/>
      <w:marLeft w:val="0"/>
      <w:marRight w:val="0"/>
      <w:marTop w:val="0"/>
      <w:marBottom w:val="0"/>
      <w:divBdr>
        <w:top w:val="none" w:sz="0" w:space="0" w:color="auto"/>
        <w:left w:val="none" w:sz="0" w:space="0" w:color="auto"/>
        <w:bottom w:val="none" w:sz="0" w:space="0" w:color="auto"/>
        <w:right w:val="none" w:sz="0" w:space="0" w:color="auto"/>
      </w:divBdr>
    </w:div>
    <w:div w:id="872881099">
      <w:bodyDiv w:val="1"/>
      <w:marLeft w:val="0"/>
      <w:marRight w:val="0"/>
      <w:marTop w:val="0"/>
      <w:marBottom w:val="0"/>
      <w:divBdr>
        <w:top w:val="none" w:sz="0" w:space="0" w:color="auto"/>
        <w:left w:val="none" w:sz="0" w:space="0" w:color="auto"/>
        <w:bottom w:val="none" w:sz="0" w:space="0" w:color="auto"/>
        <w:right w:val="none" w:sz="0" w:space="0" w:color="auto"/>
      </w:divBdr>
    </w:div>
    <w:div w:id="1444374003">
      <w:bodyDiv w:val="1"/>
      <w:marLeft w:val="0"/>
      <w:marRight w:val="0"/>
      <w:marTop w:val="0"/>
      <w:marBottom w:val="0"/>
      <w:divBdr>
        <w:top w:val="none" w:sz="0" w:space="0" w:color="auto"/>
        <w:left w:val="none" w:sz="0" w:space="0" w:color="auto"/>
        <w:bottom w:val="none" w:sz="0" w:space="0" w:color="auto"/>
        <w:right w:val="none" w:sz="0" w:space="0" w:color="auto"/>
      </w:divBdr>
    </w:div>
    <w:div w:id="1492285006">
      <w:bodyDiv w:val="1"/>
      <w:marLeft w:val="0"/>
      <w:marRight w:val="0"/>
      <w:marTop w:val="0"/>
      <w:marBottom w:val="0"/>
      <w:divBdr>
        <w:top w:val="none" w:sz="0" w:space="0" w:color="auto"/>
        <w:left w:val="none" w:sz="0" w:space="0" w:color="auto"/>
        <w:bottom w:val="none" w:sz="0" w:space="0" w:color="auto"/>
        <w:right w:val="none" w:sz="0" w:space="0" w:color="auto"/>
      </w:divBdr>
    </w:div>
    <w:div w:id="1570848638">
      <w:bodyDiv w:val="1"/>
      <w:marLeft w:val="0"/>
      <w:marRight w:val="0"/>
      <w:marTop w:val="0"/>
      <w:marBottom w:val="0"/>
      <w:divBdr>
        <w:top w:val="none" w:sz="0" w:space="0" w:color="auto"/>
        <w:left w:val="none" w:sz="0" w:space="0" w:color="auto"/>
        <w:bottom w:val="none" w:sz="0" w:space="0" w:color="auto"/>
        <w:right w:val="none" w:sz="0" w:space="0" w:color="auto"/>
      </w:divBdr>
    </w:div>
    <w:div w:id="20006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endo/pubs/toresources/seps.htm" TargetMode="External"/><Relationship Id="rId18" Type="http://schemas.openxmlformats.org/officeDocument/2006/relationships/hyperlink" Target="http://www.epa.gov/endo/pubs/toresources/index.htm" TargetMode="External"/><Relationship Id="rId26" Type="http://schemas.openxmlformats.org/officeDocument/2006/relationships/hyperlink" Target="http://www.epa.gov/scipoly/oscpendo/pubs/122898frnotice.pdf" TargetMode="External"/><Relationship Id="rId3" Type="http://schemas.openxmlformats.org/officeDocument/2006/relationships/numbering" Target="numbering.xml"/><Relationship Id="rId21" Type="http://schemas.openxmlformats.org/officeDocument/2006/relationships/hyperlink" Target="http://www.bls.gov/oes/current/naics4_325300.htm" TargetMode="External"/><Relationship Id="rId34" Type="http://schemas.openxmlformats.org/officeDocument/2006/relationships/hyperlink" Target="http://www.gpo.gov/fdsys/pkg/FR-2009-04-15/pdf/E9-8706.pdf" TargetMode="Externa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hyperlink" Target="http://www.epa.gov/pesticides/regulating/registering/submissions/index.htm" TargetMode="External"/><Relationship Id="rId25" Type="http://schemas.openxmlformats.org/officeDocument/2006/relationships/hyperlink" Target="http://www.epa.gov/scipoly/oscpendo/pubs/081198frnotice.pdf" TargetMode="External"/><Relationship Id="rId33" Type="http://schemas.openxmlformats.org/officeDocument/2006/relationships/hyperlink" Target="http://epw.senate.gov/FDA_001.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pa.gov/PR_Notices/pr2003-3.pdf" TargetMode="External"/><Relationship Id="rId20" Type="http://schemas.openxmlformats.org/officeDocument/2006/relationships/hyperlink" Target="http://www.bls.gov/oes/current/oes_nat.htm" TargetMode="External"/><Relationship Id="rId29" Type="http://schemas.openxmlformats.org/officeDocument/2006/relationships/hyperlink" Target="http://www.epa.gov/scipoly/oscpendo/pubs/draft_policies_fr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24" Type="http://schemas.openxmlformats.org/officeDocument/2006/relationships/hyperlink" Target="http://www.regulations.gov" TargetMode="External"/><Relationship Id="rId32" Type="http://schemas.openxmlformats.org/officeDocument/2006/relationships/hyperlink" Target="http://www.regulations.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pa.gov/PR_Notices/pr86-5.html" TargetMode="External"/><Relationship Id="rId23" Type="http://schemas.openxmlformats.org/officeDocument/2006/relationships/hyperlink" Target="http://www.bls.gov/oes/current/naics4_325300.htm" TargetMode="External"/><Relationship Id="rId28" Type="http://schemas.openxmlformats.org/officeDocument/2006/relationships/hyperlink" Target="http://www.epa.gov/fedrgstr/EPA-PEST/2009/April/Day-15/p8709.pdf" TargetMode="External"/><Relationship Id="rId36" Type="http://schemas.openxmlformats.org/officeDocument/2006/relationships/footer" Target="footer1.xml"/><Relationship Id="rId10" Type="http://schemas.openxmlformats.org/officeDocument/2006/relationships/hyperlink" Target="http://www.epa.gov/endo" TargetMode="External"/><Relationship Id="rId19" Type="http://schemas.openxmlformats.org/officeDocument/2006/relationships/hyperlink" Target="http://www.regulations.gov" TargetMode="External"/><Relationship Id="rId31" Type="http://schemas.openxmlformats.org/officeDocument/2006/relationships/hyperlink" Target="http://postcalc.usps.gov/" TargetMode="External"/><Relationship Id="rId4" Type="http://schemas.openxmlformats.org/officeDocument/2006/relationships/styles" Target="styles.xml"/><Relationship Id="rId9" Type="http://schemas.openxmlformats.org/officeDocument/2006/relationships/hyperlink" Target="http://www.epa.gov/endo" TargetMode="External"/><Relationship Id="rId14" Type="http://schemas.openxmlformats.org/officeDocument/2006/relationships/hyperlink" Target="http://www.epa.gov/pesticides/regulating/studyprofile_templates/" TargetMode="External"/><Relationship Id="rId22" Type="http://schemas.openxmlformats.org/officeDocument/2006/relationships/hyperlink" Target="http://www.bls.gov/oes/current/oes_stru.htm" TargetMode="External"/><Relationship Id="rId27" Type="http://schemas.openxmlformats.org/officeDocument/2006/relationships/hyperlink" Target="http://www.epa.gov/scipoly/oscpendo/pubs/draft_list_frn_061807.pdf" TargetMode="External"/><Relationship Id="rId30" Type="http://schemas.openxmlformats.org/officeDocument/2006/relationships/hyperlink" Target="http://www.epa.gov/fedrgstr/EPA-PEST/2009/April/Day-15/p8706.pdf"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pesticides/reregistration/vinclozolin/" TargetMode="External"/><Relationship Id="rId2" Type="http://schemas.openxmlformats.org/officeDocument/2006/relationships/hyperlink" Target="http://www.epa.gov/pesticides/reregistration/procymidone/" TargetMode="External"/><Relationship Id="rId1" Type="http://schemas.openxmlformats.org/officeDocument/2006/relationships/hyperlink" Target="http://www.epa.gov/endo/pubs/edspoverview/primer.htm" TargetMode="External"/><Relationship Id="rId5" Type="http://schemas.openxmlformats.org/officeDocument/2006/relationships/hyperlink" Target="http://www.bls.gov/data/inflation_calculator.htm" TargetMode="External"/><Relationship Id="rId4" Type="http://schemas.openxmlformats.org/officeDocument/2006/relationships/hyperlink" Target="http://www.epa.gov/ocspp/pubs/frs/home/testme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AC498-C210-479C-83CD-BADC4807D050}">
  <ds:schemaRefs>
    <ds:schemaRef ds:uri="http://schemas.openxmlformats.org/officeDocument/2006/bibliography"/>
  </ds:schemaRefs>
</ds:datastoreItem>
</file>

<file path=customXml/itemProps2.xml><?xml version="1.0" encoding="utf-8"?>
<ds:datastoreItem xmlns:ds="http://schemas.openxmlformats.org/officeDocument/2006/customXml" ds:itemID="{64F6455F-5B75-46AB-B8DA-FA9730AB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21907</Words>
  <Characters>119497</Characters>
  <Application>Microsoft Office Word</Application>
  <DocSecurity>0</DocSecurity>
  <Lines>995</Lines>
  <Paragraphs>282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Green</dc:creator>
  <cp:lastModifiedBy>Angela Hofmann</cp:lastModifiedBy>
  <cp:revision>2</cp:revision>
  <cp:lastPrinted>2012-10-18T20:52:00Z</cp:lastPrinted>
  <dcterms:created xsi:type="dcterms:W3CDTF">2012-10-25T18:17:00Z</dcterms:created>
  <dcterms:modified xsi:type="dcterms:W3CDTF">2012-10-25T18:17:00Z</dcterms:modified>
</cp:coreProperties>
</file>