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675BB9" w:rsidP="004C72D6">
      <w:pPr>
        <w:jc w:val="center"/>
      </w:pPr>
      <w:r>
        <w:t>Final</w:t>
      </w:r>
    </w:p>
    <w:p w:rsidR="004C72D6" w:rsidRPr="00EC5F7A" w:rsidRDefault="004C72D6" w:rsidP="004C72D6">
      <w:pPr>
        <w:jc w:val="center"/>
      </w:pPr>
      <w:r w:rsidRPr="00EC5F7A">
        <w:t>Supporting Statement</w:t>
      </w:r>
      <w:r w:rsidRPr="00EC5F7A">
        <w:br/>
        <w:t>for</w:t>
      </w:r>
      <w:r w:rsidRPr="00EC5F7A">
        <w:br/>
        <w:t>Information Collection Request</w:t>
      </w:r>
    </w:p>
    <w:p w:rsidR="004C72D6" w:rsidRPr="00EC5F7A" w:rsidRDefault="004C72D6" w:rsidP="004C72D6">
      <w:pPr>
        <w:jc w:val="center"/>
      </w:pPr>
      <w:r w:rsidRPr="00EC5F7A">
        <w:t xml:space="preserve">Certification and In-use Testing of Motor Vehicles: </w:t>
      </w:r>
    </w:p>
    <w:p w:rsidR="003049B1" w:rsidRPr="00EC5F7A" w:rsidRDefault="004C72D6" w:rsidP="004C72D6">
      <w:pPr>
        <w:jc w:val="center"/>
      </w:pPr>
      <w:bookmarkStart w:id="0" w:name="OLE_LINK1"/>
      <w:r w:rsidRPr="00EC5F7A">
        <w:t xml:space="preserve">Revisions to Reduce </w:t>
      </w:r>
      <w:r w:rsidR="003049B1" w:rsidRPr="00EC5F7A">
        <w:t xml:space="preserve">Light-Duty Vehicle </w:t>
      </w:r>
      <w:r w:rsidRPr="00EC5F7A">
        <w:t>Emissions of Greenhouse Gases</w:t>
      </w:r>
      <w:r w:rsidR="003049B1" w:rsidRPr="00EC5F7A">
        <w:t xml:space="preserve">: </w:t>
      </w:r>
    </w:p>
    <w:p w:rsidR="004C72D6" w:rsidRPr="00EC5F7A" w:rsidRDefault="003049B1" w:rsidP="004C72D6">
      <w:pPr>
        <w:jc w:val="center"/>
      </w:pPr>
      <w:r w:rsidRPr="00EC5F7A">
        <w:t>Model Years 2017 – 2025</w:t>
      </w:r>
      <w:bookmarkEnd w:id="0"/>
    </w:p>
    <w:p w:rsidR="003049B1" w:rsidRPr="00EC5F7A" w:rsidRDefault="003049B1" w:rsidP="004C72D6">
      <w:pPr>
        <w:jc w:val="center"/>
      </w:pPr>
    </w:p>
    <w:p w:rsidR="004C72D6" w:rsidRPr="00EC5F7A" w:rsidRDefault="004C72D6" w:rsidP="004C72D6">
      <w:pPr>
        <w:jc w:val="center"/>
      </w:pPr>
      <w:r w:rsidRPr="00EC5F7A">
        <w:t xml:space="preserve">EPA ICR </w:t>
      </w:r>
      <w:r w:rsidR="003049B1" w:rsidRPr="00AC41DE">
        <w:t>0783.6</w:t>
      </w:r>
      <w:r w:rsidR="00AC41DE">
        <w:t>2</w:t>
      </w:r>
    </w:p>
    <w:p w:rsidR="004C72D6" w:rsidRPr="00EC5F7A" w:rsidRDefault="004C72D6" w:rsidP="004C72D6">
      <w:pPr>
        <w:pStyle w:val="Style13"/>
        <w:spacing w:line="240" w:lineRule="auto"/>
        <w:rPr>
          <w:spacing w:val="8"/>
        </w:rPr>
      </w:pPr>
    </w:p>
    <w:p w:rsidR="004C72D6" w:rsidRDefault="004C72D6" w:rsidP="004C72D6">
      <w:pPr>
        <w:pStyle w:val="Style13"/>
        <w:spacing w:line="240" w:lineRule="auto"/>
        <w:rPr>
          <w:spacing w:val="8"/>
        </w:rPr>
      </w:pPr>
      <w:r w:rsidRPr="00EC5F7A">
        <w:rPr>
          <w:spacing w:val="8"/>
        </w:rPr>
        <w:br/>
      </w: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3049B1" w:rsidRDefault="003049B1" w:rsidP="004C72D6">
      <w:pPr>
        <w:jc w:val="center"/>
      </w:pPr>
    </w:p>
    <w:p w:rsidR="003049B1" w:rsidRDefault="003049B1" w:rsidP="004C72D6">
      <w:pPr>
        <w:jc w:val="center"/>
      </w:pPr>
    </w:p>
    <w:p w:rsidR="003049B1" w:rsidRDefault="003049B1" w:rsidP="004C72D6">
      <w:pPr>
        <w:jc w:val="center"/>
      </w:pPr>
    </w:p>
    <w:p w:rsidR="004C72D6" w:rsidRPr="00EC5F7A" w:rsidRDefault="004C72D6" w:rsidP="004C72D6">
      <w:pPr>
        <w:jc w:val="center"/>
      </w:pPr>
      <w:r w:rsidRPr="00EC5F7A">
        <w:t>Compliance Division</w:t>
      </w:r>
    </w:p>
    <w:p w:rsidR="004C72D6" w:rsidRPr="005379F3" w:rsidRDefault="004C72D6" w:rsidP="004C72D6">
      <w:pPr>
        <w:pStyle w:val="Style14"/>
        <w:spacing w:before="0"/>
        <w:rPr>
          <w:spacing w:val="8"/>
        </w:rPr>
      </w:pPr>
      <w:r w:rsidRPr="00EC5F7A">
        <w:rPr>
          <w:spacing w:val="8"/>
        </w:rPr>
        <w:t>Office of Transportation and Air Quality</w:t>
      </w:r>
      <w:r w:rsidRPr="00EC5F7A">
        <w:rPr>
          <w:spacing w:val="8"/>
        </w:rPr>
        <w:br/>
        <w:t>Office of Air and Radiation</w:t>
      </w:r>
      <w:r w:rsidRPr="00EC5F7A">
        <w:rPr>
          <w:spacing w:val="8"/>
        </w:rPr>
        <w:br/>
      </w:r>
      <w:smartTag w:uri="urn:schemas-microsoft-com:office:smarttags" w:element="country-region">
        <w:smartTag w:uri="urn:schemas-microsoft-com:office:smarttags" w:element="place">
          <w:r w:rsidRPr="00EC5F7A">
            <w:rPr>
              <w:spacing w:val="8"/>
            </w:rPr>
            <w:t>U.S.</w:t>
          </w:r>
        </w:smartTag>
      </w:smartTag>
      <w:r w:rsidRPr="00EC5F7A">
        <w:rPr>
          <w:spacing w:val="8"/>
        </w:rPr>
        <w:t xml:space="preserve"> Environmental Protection Agency</w:t>
      </w:r>
    </w:p>
    <w:p w:rsidR="004C72D6" w:rsidRPr="005379F3" w:rsidRDefault="004C72D6" w:rsidP="004C72D6">
      <w:pPr>
        <w:pStyle w:val="Style14"/>
        <w:jc w:val="left"/>
        <w:sectPr w:rsidR="004C72D6" w:rsidRPr="005379F3" w:rsidSect="009F7CD6">
          <w:headerReference w:type="even" r:id="rId8"/>
          <w:headerReference w:type="default" r:id="rId9"/>
          <w:footerReference w:type="even" r:id="rId10"/>
          <w:footerReference w:type="default" r:id="rId11"/>
          <w:headerReference w:type="first" r:id="rId12"/>
          <w:footerReference w:type="first" r:id="rId13"/>
          <w:pgSz w:w="12240" w:h="15840"/>
          <w:pgMar w:top="1440" w:right="2572" w:bottom="1440" w:left="2141" w:header="720" w:footer="720" w:gutter="0"/>
          <w:cols w:space="720"/>
          <w:noEndnote/>
          <w:titlePg/>
        </w:sectPr>
      </w:pPr>
    </w:p>
    <w:p w:rsidR="00EF49BE" w:rsidRDefault="004C72D6" w:rsidP="00EF49BE">
      <w:pPr>
        <w:spacing w:line="480" w:lineRule="auto"/>
        <w:ind w:right="3456"/>
        <w:rPr>
          <w:spacing w:val="6"/>
        </w:rPr>
      </w:pPr>
      <w:r w:rsidRPr="005379F3">
        <w:rPr>
          <w:spacing w:val="6"/>
        </w:rPr>
        <w:lastRenderedPageBreak/>
        <w:t>Part A</w:t>
      </w:r>
    </w:p>
    <w:p w:rsidR="004C72D6" w:rsidRPr="00EC5F7A" w:rsidRDefault="004C72D6" w:rsidP="00EF49BE">
      <w:pPr>
        <w:spacing w:line="480" w:lineRule="auto"/>
        <w:rPr>
          <w:spacing w:val="6"/>
          <w:u w:val="single"/>
        </w:rPr>
      </w:pPr>
      <w:r w:rsidRPr="00EC5F7A">
        <w:rPr>
          <w:spacing w:val="6"/>
        </w:rPr>
        <w:t xml:space="preserve">SUBMISSION </w:t>
      </w:r>
      <w:r w:rsidRPr="00EC5F7A">
        <w:rPr>
          <w:spacing w:val="6"/>
          <w:u w:val="single"/>
        </w:rPr>
        <w:t>Section 1: Identification Of The</w:t>
      </w:r>
      <w:r w:rsidR="00EF49BE" w:rsidRPr="00EC5F7A">
        <w:rPr>
          <w:spacing w:val="6"/>
          <w:u w:val="single"/>
        </w:rPr>
        <w:t xml:space="preserve"> In</w:t>
      </w:r>
      <w:r w:rsidRPr="00EC5F7A">
        <w:rPr>
          <w:spacing w:val="6"/>
          <w:u w:val="single"/>
        </w:rPr>
        <w:t>formation Collection</w:t>
      </w:r>
    </w:p>
    <w:p w:rsidR="004C72D6" w:rsidRPr="00EC5F7A" w:rsidRDefault="004C72D6" w:rsidP="004C72D6">
      <w:pPr>
        <w:outlineLvl w:val="0"/>
      </w:pPr>
      <w:r w:rsidRPr="00EC5F7A">
        <w:t xml:space="preserve">1(a) </w:t>
      </w:r>
      <w:r w:rsidRPr="00EC5F7A">
        <w:rPr>
          <w:u w:val="single"/>
        </w:rPr>
        <w:t>Title And Number Of The Information Collection</w:t>
      </w:r>
      <w:r w:rsidRPr="00EC5F7A">
        <w:tab/>
        <w:t xml:space="preserve"> </w:t>
      </w:r>
    </w:p>
    <w:p w:rsidR="004C72D6" w:rsidRPr="00EC5F7A" w:rsidRDefault="004C72D6" w:rsidP="004C72D6">
      <w:pPr>
        <w:outlineLvl w:val="0"/>
      </w:pPr>
    </w:p>
    <w:p w:rsidR="004C72D6" w:rsidRPr="007D7227" w:rsidRDefault="004C72D6" w:rsidP="004C72D6">
      <w:pPr>
        <w:outlineLvl w:val="0"/>
      </w:pPr>
      <w:r w:rsidRPr="00EC5F7A">
        <w:tab/>
        <w:t xml:space="preserve">Certification and In-use Testing of Motor Vehicles: Revisions to Reduce Emissions of </w:t>
      </w:r>
      <w:r w:rsidR="003049B1" w:rsidRPr="00EC5F7A">
        <w:t xml:space="preserve">Light-Duty Vehicle </w:t>
      </w:r>
      <w:r w:rsidRPr="00EC5F7A">
        <w:t>Greenhouse Gases</w:t>
      </w:r>
      <w:r w:rsidR="000F239D">
        <w:t>,</w:t>
      </w:r>
      <w:r w:rsidR="003049B1" w:rsidRPr="00EC5F7A">
        <w:t xml:space="preserve"> Model Year 2017 - 2025</w:t>
      </w:r>
      <w:r w:rsidRPr="00EC5F7A">
        <w:t xml:space="preserve">; EPA ICR number </w:t>
      </w:r>
      <w:r w:rsidR="003049B1" w:rsidRPr="00AC41DE">
        <w:t>0783.6</w:t>
      </w:r>
      <w:r w:rsidR="00AC41DE">
        <w:t>2</w:t>
      </w:r>
      <w:r w:rsidRPr="00EC5F7A">
        <w:t>, OMB control number 2060-</w:t>
      </w:r>
      <w:r w:rsidR="003049B1" w:rsidRPr="00EC5F7A">
        <w:t>0104</w:t>
      </w:r>
      <w:r w:rsidRPr="00EC5F7A">
        <w:t>.</w:t>
      </w:r>
    </w:p>
    <w:p w:rsidR="004C72D6" w:rsidRPr="005379F3" w:rsidRDefault="004C72D6" w:rsidP="004C72D6">
      <w:pPr>
        <w:pStyle w:val="Style6"/>
        <w:jc w:val="left"/>
        <w:rPr>
          <w:spacing w:val="6"/>
        </w:rPr>
      </w:pPr>
    </w:p>
    <w:p w:rsidR="004C72D6" w:rsidRDefault="004C72D6" w:rsidP="004C72D6">
      <w:pPr>
        <w:rPr>
          <w:spacing w:val="6"/>
        </w:rPr>
      </w:pPr>
      <w:r w:rsidRPr="00EC5F7A">
        <w:rPr>
          <w:spacing w:val="6"/>
        </w:rPr>
        <w:t xml:space="preserve">1(b) </w:t>
      </w:r>
      <w:r w:rsidRPr="00EC5F7A">
        <w:rPr>
          <w:spacing w:val="6"/>
          <w:u w:val="single"/>
        </w:rPr>
        <w:t>Short Characterization/Abstract</w:t>
      </w:r>
    </w:p>
    <w:p w:rsidR="00EB77F4" w:rsidRDefault="00EB77F4" w:rsidP="004C72D6">
      <w:pPr>
        <w:rPr>
          <w:spacing w:val="6"/>
        </w:rPr>
      </w:pPr>
    </w:p>
    <w:p w:rsidR="00EB77F4" w:rsidRPr="00EB77F4" w:rsidRDefault="00EB77F4" w:rsidP="004C72D6">
      <w:pPr>
        <w:rPr>
          <w:spacing w:val="6"/>
          <w:u w:val="single"/>
        </w:rPr>
      </w:pPr>
      <w:r>
        <w:rPr>
          <w:spacing w:val="6"/>
        </w:rPr>
        <w:tab/>
      </w:r>
      <w:r w:rsidRPr="00EB77F4">
        <w:rPr>
          <w:spacing w:val="6"/>
          <w:u w:val="single"/>
        </w:rPr>
        <w:t>Introduction</w:t>
      </w:r>
      <w:r w:rsidR="00D679AE">
        <w:rPr>
          <w:spacing w:val="6"/>
          <w:u w:val="single"/>
        </w:rPr>
        <w:t xml:space="preserve"> and Short Characterization</w:t>
      </w:r>
    </w:p>
    <w:p w:rsidR="004C72D6" w:rsidRPr="005379F3" w:rsidRDefault="004C72D6" w:rsidP="004C72D6">
      <w:pPr>
        <w:rPr>
          <w:spacing w:val="6"/>
        </w:rPr>
      </w:pPr>
    </w:p>
    <w:p w:rsidR="004C72D6" w:rsidRDefault="004C72D6" w:rsidP="004C72D6">
      <w:pPr>
        <w:pStyle w:val="Style6"/>
        <w:jc w:val="left"/>
        <w:rPr>
          <w:spacing w:val="6"/>
        </w:rPr>
      </w:pPr>
      <w:r>
        <w:rPr>
          <w:spacing w:val="6"/>
        </w:rPr>
        <w:tab/>
      </w:r>
      <w:r w:rsidRPr="00EC5F7A">
        <w:rPr>
          <w:spacing w:val="6"/>
        </w:rPr>
        <w:t xml:space="preserve">The Environmental Protection Agency and the National Highway Traffic and Safety Administration are jointly </w:t>
      </w:r>
      <w:r w:rsidR="00245DDF">
        <w:rPr>
          <w:spacing w:val="6"/>
        </w:rPr>
        <w:t>finalizing</w:t>
      </w:r>
      <w:r w:rsidR="00245DDF" w:rsidRPr="00EC5F7A">
        <w:rPr>
          <w:spacing w:val="6"/>
        </w:rPr>
        <w:t xml:space="preserve"> </w:t>
      </w:r>
      <w:r w:rsidRPr="00EC5F7A">
        <w:rPr>
          <w:spacing w:val="6"/>
        </w:rPr>
        <w:t>Light-Duty Vehicle Greenhouse Gas Emission Standards and Corporate Average Fuel Economy Standards changes designed to decrease emissions of greenhouse gases (GHG)</w:t>
      </w:r>
      <w:r w:rsidR="003049B1" w:rsidRPr="00EC5F7A">
        <w:rPr>
          <w:spacing w:val="6"/>
        </w:rPr>
        <w:t xml:space="preserve"> for model year (MY) 2017 to 2025 light duty vehicles (LDVs)</w:t>
      </w:r>
      <w:r w:rsidRPr="00EC5F7A">
        <w:rPr>
          <w:spacing w:val="6"/>
        </w:rPr>
        <w:t xml:space="preserve">. </w:t>
      </w:r>
      <w:r w:rsidR="003049B1" w:rsidRPr="00EC5F7A">
        <w:rPr>
          <w:spacing w:val="6"/>
        </w:rPr>
        <w:t xml:space="preserve">This is an extension of the national GHG program rulemaking recently completed for MY 2012 to 2016 (75 FR 25324, May 7, 2010). </w:t>
      </w:r>
      <w:r w:rsidRPr="002206B9">
        <w:rPr>
          <w:spacing w:val="6"/>
        </w:rPr>
        <w:t xml:space="preserve">This ICR deals with EPA’s portion of the </w:t>
      </w:r>
      <w:r w:rsidR="00B07B21" w:rsidRPr="002206B9">
        <w:rPr>
          <w:spacing w:val="6"/>
        </w:rPr>
        <w:t>rule</w:t>
      </w:r>
      <w:r w:rsidRPr="002206B9">
        <w:rPr>
          <w:spacing w:val="6"/>
        </w:rPr>
        <w:t>, which concerns EPA’s motor vehicle certification and in-use testing programs, covered by the ICR 0783 series.</w:t>
      </w:r>
      <w:r w:rsidRPr="00EC5F7A">
        <w:rPr>
          <w:spacing w:val="6"/>
        </w:rPr>
        <w:t xml:space="preserve"> </w:t>
      </w:r>
      <w:r w:rsidR="002206B9">
        <w:rPr>
          <w:spacing w:val="6"/>
        </w:rPr>
        <w:t xml:space="preserve">As with the ICR on the prior rule, EPA is not aware of, and has not analyzed, any NHTSA-specific paperwork burdens in this ICR. </w:t>
      </w:r>
      <w:r w:rsidRPr="00EC5F7A">
        <w:rPr>
          <w:spacing w:val="6"/>
        </w:rPr>
        <w:t>Th</w:t>
      </w:r>
      <w:r w:rsidR="004A10DE" w:rsidRPr="00EC5F7A">
        <w:rPr>
          <w:spacing w:val="6"/>
        </w:rPr>
        <w:t>e</w:t>
      </w:r>
      <w:r w:rsidRPr="00EC5F7A">
        <w:rPr>
          <w:spacing w:val="6"/>
        </w:rPr>
        <w:t xml:space="preserve"> ICR addresses </w:t>
      </w:r>
      <w:r w:rsidR="004A10DE" w:rsidRPr="00EC5F7A">
        <w:rPr>
          <w:spacing w:val="6"/>
        </w:rPr>
        <w:t>changes to</w:t>
      </w:r>
      <w:r w:rsidRPr="00EC5F7A">
        <w:rPr>
          <w:spacing w:val="6"/>
        </w:rPr>
        <w:t xml:space="preserve"> paperwork burdens on these programs</w:t>
      </w:r>
      <w:r w:rsidR="00334958" w:rsidRPr="00EC5F7A">
        <w:rPr>
          <w:spacing w:val="6"/>
        </w:rPr>
        <w:t xml:space="preserve"> dealt with in the ICR on the MY 2012 – 2016 final rule (ICR 0783.58)</w:t>
      </w:r>
      <w:r w:rsidRPr="00EC5F7A">
        <w:rPr>
          <w:spacing w:val="6"/>
        </w:rPr>
        <w:t>, which include</w:t>
      </w:r>
      <w:r w:rsidR="00C93335" w:rsidRPr="00EC5F7A">
        <w:rPr>
          <w:spacing w:val="6"/>
        </w:rPr>
        <w:t>d</w:t>
      </w:r>
      <w:r w:rsidRPr="00EC5F7A">
        <w:rPr>
          <w:spacing w:val="6"/>
        </w:rPr>
        <w:t xml:space="preserve"> the cost of upgrading information systems to comply with new reporting requirements, and new testing requirements. Other economic impacts, such as the industry’s costs of complying with the new standards, are discussed in the cost analysis portions of the preamble and Regulatory Impact Analysis associated with the regulations.</w:t>
      </w:r>
      <w:r>
        <w:rPr>
          <w:spacing w:val="6"/>
        </w:rPr>
        <w:t xml:space="preserve"> </w:t>
      </w:r>
      <w:r w:rsidR="002206B9">
        <w:rPr>
          <w:spacing w:val="6"/>
        </w:rPr>
        <w:t>Th</w:t>
      </w:r>
      <w:r w:rsidR="00A67A96">
        <w:rPr>
          <w:spacing w:val="6"/>
        </w:rPr>
        <w:t xml:space="preserve">at </w:t>
      </w:r>
      <w:r w:rsidR="002206B9">
        <w:rPr>
          <w:spacing w:val="6"/>
        </w:rPr>
        <w:t>e</w:t>
      </w:r>
      <w:r w:rsidR="002206B9">
        <w:t xml:space="preserve">conomic analysis includes "cost markups for manufacturer indirect costs" based on multipliers. The individual components of those indirect costs, such as paperwork costs, were not </w:t>
      </w:r>
      <w:r w:rsidR="000F239D">
        <w:t xml:space="preserve">specifically </w:t>
      </w:r>
      <w:r w:rsidR="002206B9">
        <w:t>addressed.</w:t>
      </w:r>
    </w:p>
    <w:p w:rsidR="007716C4" w:rsidRDefault="007716C4" w:rsidP="004C72D6">
      <w:pPr>
        <w:pStyle w:val="Style6"/>
        <w:jc w:val="left"/>
        <w:rPr>
          <w:spacing w:val="6"/>
        </w:rPr>
      </w:pPr>
    </w:p>
    <w:p w:rsidR="004C72D6" w:rsidRDefault="007716C4" w:rsidP="004C72D6">
      <w:pPr>
        <w:pStyle w:val="Style6"/>
        <w:jc w:val="left"/>
        <w:rPr>
          <w:spacing w:val="6"/>
        </w:rPr>
      </w:pPr>
      <w:r>
        <w:rPr>
          <w:spacing w:val="6"/>
        </w:rPr>
        <w:tab/>
      </w:r>
      <w:r w:rsidR="004C72D6" w:rsidRPr="00EC5F7A">
        <w:rPr>
          <w:spacing w:val="6"/>
        </w:rPr>
        <w:t xml:space="preserve">At OMB’s request, EPA previously disaggregated the 0783 certification ICR into separate Information Collections (ICs) for Emissions (also called Certification) and Fuel Economy (as well as ICs for DR/VERR defect reporting, IUVP in-use testing, and highway motorcycles). </w:t>
      </w:r>
      <w:r w:rsidR="00334958" w:rsidRPr="00EC5F7A">
        <w:rPr>
          <w:spacing w:val="6"/>
        </w:rPr>
        <w:t xml:space="preserve">As with ICR 0783.58, </w:t>
      </w:r>
      <w:r w:rsidR="004C72D6" w:rsidRPr="00EC5F7A">
        <w:rPr>
          <w:spacing w:val="6"/>
        </w:rPr>
        <w:t xml:space="preserve">the burdens in this ICR have been allocated to the emissions </w:t>
      </w:r>
      <w:r w:rsidR="004C72D6" w:rsidRPr="002206B9">
        <w:rPr>
          <w:spacing w:val="6"/>
        </w:rPr>
        <w:t>and IUVP ICs</w:t>
      </w:r>
      <w:r w:rsidR="004C72D6" w:rsidRPr="00EC5F7A">
        <w:rPr>
          <w:spacing w:val="6"/>
        </w:rPr>
        <w:t>, even though the rule includes changes to EPA’s fuel economy regulations and the emissions reporting is done in a CAFE-compatible format.</w:t>
      </w:r>
      <w:r w:rsidR="004C72D6">
        <w:rPr>
          <w:spacing w:val="6"/>
        </w:rPr>
        <w:t xml:space="preserve"> </w:t>
      </w:r>
    </w:p>
    <w:p w:rsidR="004C72D6" w:rsidRDefault="004C72D6" w:rsidP="004C72D6">
      <w:pPr>
        <w:pStyle w:val="Style6"/>
        <w:jc w:val="left"/>
        <w:rPr>
          <w:spacing w:val="6"/>
        </w:rPr>
      </w:pPr>
    </w:p>
    <w:p w:rsidR="0095178E" w:rsidRPr="00EC5F7A" w:rsidRDefault="004C72D6" w:rsidP="0095178E">
      <w:pPr>
        <w:pStyle w:val="Style6"/>
        <w:jc w:val="left"/>
        <w:rPr>
          <w:spacing w:val="6"/>
        </w:rPr>
      </w:pPr>
      <w:r>
        <w:rPr>
          <w:spacing w:val="6"/>
        </w:rPr>
        <w:tab/>
      </w:r>
      <w:r w:rsidR="004A10DE" w:rsidRPr="00EC5F7A">
        <w:rPr>
          <w:spacing w:val="6"/>
        </w:rPr>
        <w:t xml:space="preserve">Some of the changes occur as early as MY 2012, and constitute modifications of the prior rule. Other </w:t>
      </w:r>
      <w:r w:rsidRPr="00EC5F7A">
        <w:rPr>
          <w:spacing w:val="6"/>
        </w:rPr>
        <w:t>changes will start taking effect with 201</w:t>
      </w:r>
      <w:r w:rsidR="00334958" w:rsidRPr="00EC5F7A">
        <w:rPr>
          <w:spacing w:val="6"/>
        </w:rPr>
        <w:t>7</w:t>
      </w:r>
      <w:r w:rsidRPr="00EC5F7A">
        <w:rPr>
          <w:spacing w:val="6"/>
        </w:rPr>
        <w:t xml:space="preserve"> model year </w:t>
      </w:r>
      <w:r w:rsidR="00334958" w:rsidRPr="00EC5F7A">
        <w:rPr>
          <w:spacing w:val="6"/>
        </w:rPr>
        <w:t xml:space="preserve">light-duty </w:t>
      </w:r>
      <w:r w:rsidRPr="00EC5F7A">
        <w:rPr>
          <w:spacing w:val="6"/>
        </w:rPr>
        <w:t>vehicles and will phase in through model year 20</w:t>
      </w:r>
      <w:r w:rsidR="00334958" w:rsidRPr="00EC5F7A">
        <w:rPr>
          <w:spacing w:val="6"/>
        </w:rPr>
        <w:t>25</w:t>
      </w:r>
      <w:r w:rsidRPr="00EC5F7A">
        <w:rPr>
          <w:spacing w:val="6"/>
        </w:rPr>
        <w:t xml:space="preserve">.  </w:t>
      </w:r>
      <w:r w:rsidR="0034079F" w:rsidRPr="00EC5F7A">
        <w:rPr>
          <w:spacing w:val="6"/>
        </w:rPr>
        <w:t xml:space="preserve">The core of the </w:t>
      </w:r>
      <w:r w:rsidR="00AC41DE">
        <w:rPr>
          <w:spacing w:val="6"/>
        </w:rPr>
        <w:t>rule</w:t>
      </w:r>
      <w:r w:rsidR="00AC41DE" w:rsidRPr="00EC5F7A">
        <w:rPr>
          <w:spacing w:val="6"/>
        </w:rPr>
        <w:t xml:space="preserve"> </w:t>
      </w:r>
      <w:r w:rsidR="0034079F" w:rsidRPr="00EC5F7A">
        <w:rPr>
          <w:spacing w:val="6"/>
        </w:rPr>
        <w:t xml:space="preserve">is to set standards for emissions of greenhouse gasses for </w:t>
      </w:r>
      <w:r w:rsidR="004A10DE" w:rsidRPr="00EC5F7A">
        <w:rPr>
          <w:spacing w:val="6"/>
        </w:rPr>
        <w:t>MY 2017 - 2025</w:t>
      </w:r>
      <w:r w:rsidR="0034079F" w:rsidRPr="00EC5F7A">
        <w:rPr>
          <w:spacing w:val="6"/>
        </w:rPr>
        <w:t xml:space="preserve">, continuing the information reporting structure established in the prior rulemaking. Most of the costs </w:t>
      </w:r>
      <w:r w:rsidR="0034079F" w:rsidRPr="00EC5F7A">
        <w:rPr>
          <w:spacing w:val="6"/>
        </w:rPr>
        <w:lastRenderedPageBreak/>
        <w:t>associated with the rulemaking therefore involve an assessment of the available technology and the costs of using it and as such and are outside the scope of this ICR.</w:t>
      </w:r>
      <w:r w:rsidR="000F239D">
        <w:rPr>
          <w:spacing w:val="6"/>
        </w:rPr>
        <w:t xml:space="preserve"> </w:t>
      </w:r>
      <w:r w:rsidR="00F56F79" w:rsidRPr="00EC5F7A">
        <w:rPr>
          <w:spacing w:val="6"/>
        </w:rPr>
        <w:t>In addition, the standards incorporate assumptions about the extent to which credits based on air conditioning improvements will be used for compliance</w:t>
      </w:r>
      <w:r w:rsidR="00BB76E8" w:rsidRPr="00EC5F7A">
        <w:rPr>
          <w:spacing w:val="6"/>
        </w:rPr>
        <w:t xml:space="preserve">. These and other credit and incentive provisions in the </w:t>
      </w:r>
      <w:r w:rsidR="00AC41DE">
        <w:rPr>
          <w:spacing w:val="6"/>
        </w:rPr>
        <w:t>rule</w:t>
      </w:r>
      <w:r w:rsidR="00AC41DE" w:rsidRPr="00EC5F7A">
        <w:rPr>
          <w:spacing w:val="6"/>
        </w:rPr>
        <w:t xml:space="preserve"> </w:t>
      </w:r>
      <w:r w:rsidR="00BB76E8" w:rsidRPr="00EC5F7A">
        <w:rPr>
          <w:spacing w:val="6"/>
        </w:rPr>
        <w:t xml:space="preserve">have to be applied for with the submission of information to EPA. </w:t>
      </w:r>
      <w:r w:rsidR="0095178E" w:rsidRPr="00EC5F7A">
        <w:rPr>
          <w:spacing w:val="6"/>
        </w:rPr>
        <w:t xml:space="preserve">All credits </w:t>
      </w:r>
      <w:r w:rsidR="000F239D">
        <w:rPr>
          <w:spacing w:val="6"/>
        </w:rPr>
        <w:t xml:space="preserve">and incentives </w:t>
      </w:r>
      <w:r w:rsidR="0095178E" w:rsidRPr="00EC5F7A">
        <w:rPr>
          <w:spacing w:val="6"/>
        </w:rPr>
        <w:t xml:space="preserve">that are alternatives to the normal emissions based methods of compliance with the standards will presumptively be used because they are less expensive that the normal methods of meeting the standards, even when taking the information costs into account. Paperwork burdens of these optional credits and incentives should be considered in the context of an overall lowering of the manufacturer's costs of compliance with the rule. </w:t>
      </w:r>
    </w:p>
    <w:p w:rsidR="0095178E" w:rsidRDefault="0095178E" w:rsidP="004C72D6">
      <w:pPr>
        <w:pStyle w:val="Style6"/>
        <w:jc w:val="left"/>
        <w:rPr>
          <w:spacing w:val="6"/>
        </w:rPr>
      </w:pPr>
    </w:p>
    <w:p w:rsidR="0095178E" w:rsidRDefault="00EC5F7A" w:rsidP="0095178E">
      <w:pPr>
        <w:pStyle w:val="Style6"/>
        <w:jc w:val="left"/>
      </w:pPr>
      <w:r w:rsidRPr="00EC5F7A">
        <w:rPr>
          <w:spacing w:val="6"/>
        </w:rPr>
        <w:tab/>
      </w:r>
      <w:r w:rsidR="00BB76E8" w:rsidRPr="00EC5F7A">
        <w:rPr>
          <w:spacing w:val="6"/>
        </w:rPr>
        <w:t xml:space="preserve">ICRs normally have a three year time horizon. Those portions of this rule that go into effect with MY 2017 largely will fall outside the normal time horizon of </w:t>
      </w:r>
      <w:r w:rsidR="006350D5">
        <w:rPr>
          <w:spacing w:val="6"/>
        </w:rPr>
        <w:t>an</w:t>
      </w:r>
      <w:r w:rsidR="00BB76E8" w:rsidRPr="00EC5F7A">
        <w:rPr>
          <w:spacing w:val="6"/>
        </w:rPr>
        <w:t xml:space="preserve"> ICR, other than preparator</w:t>
      </w:r>
      <w:r w:rsidR="000F239D">
        <w:rPr>
          <w:spacing w:val="6"/>
        </w:rPr>
        <w:t xml:space="preserve">y work, </w:t>
      </w:r>
      <w:r w:rsidR="00BB76E8" w:rsidRPr="00EC5F7A">
        <w:rPr>
          <w:spacing w:val="6"/>
        </w:rPr>
        <w:t>familiarization</w:t>
      </w:r>
      <w:r w:rsidR="000F239D">
        <w:rPr>
          <w:spacing w:val="6"/>
        </w:rPr>
        <w:t>, and provisions that go into effect within three years</w:t>
      </w:r>
      <w:r w:rsidR="006350D5">
        <w:rPr>
          <w:spacing w:val="6"/>
        </w:rPr>
        <w:t xml:space="preserve"> of the final rule</w:t>
      </w:r>
      <w:r w:rsidR="00BB76E8" w:rsidRPr="00EC5F7A">
        <w:rPr>
          <w:spacing w:val="6"/>
        </w:rPr>
        <w:t>. This ICR will adjust the burdens authorized in the prior ICR</w:t>
      </w:r>
      <w:r w:rsidR="00BB76E8" w:rsidRPr="00EC5F7A">
        <w:t xml:space="preserve"> covering MY 2012 -2016</w:t>
      </w:r>
      <w:r w:rsidR="000F239D">
        <w:t>,</w:t>
      </w:r>
      <w:r w:rsidR="00BB76E8" w:rsidRPr="00EC5F7A">
        <w:t xml:space="preserve"> where appropriate</w:t>
      </w:r>
      <w:r w:rsidR="000F239D">
        <w:t>,</w:t>
      </w:r>
      <w:r w:rsidR="00BB76E8" w:rsidRPr="00EC5F7A">
        <w:t xml:space="preserve"> and will discuss paperwork burdens that may change the authorized level after that </w:t>
      </w:r>
      <w:r w:rsidR="000F239D">
        <w:t xml:space="preserve">without attempting to quantify cost impacts that the </w:t>
      </w:r>
      <w:r w:rsidR="00AC41DE">
        <w:t xml:space="preserve">rule’s </w:t>
      </w:r>
      <w:r w:rsidR="000F239D">
        <w:t>cost study itself deem</w:t>
      </w:r>
      <w:r w:rsidR="006350D5">
        <w:t>s</w:t>
      </w:r>
      <w:r w:rsidR="000F239D">
        <w:t xml:space="preserve"> speculative</w:t>
      </w:r>
      <w:r w:rsidR="00BB76E8" w:rsidRPr="00EC5F7A">
        <w:t xml:space="preserve">. (In addition, </w:t>
      </w:r>
      <w:r>
        <w:t xml:space="preserve">possible </w:t>
      </w:r>
      <w:r w:rsidR="00BB76E8" w:rsidRPr="00EC5F7A">
        <w:t xml:space="preserve">reductions in the burden after 2017 </w:t>
      </w:r>
      <w:r w:rsidR="000F239D">
        <w:t xml:space="preserve">for some line items </w:t>
      </w:r>
      <w:r w:rsidR="00BB76E8" w:rsidRPr="00EC5F7A">
        <w:t>should not be counted until they go into effect because doing so could potentially cause noncompliance with the authorization prior to that</w:t>
      </w:r>
      <w:r w:rsidR="006350D5">
        <w:t>,</w:t>
      </w:r>
      <w:r w:rsidR="000F239D">
        <w:t xml:space="preserve"> to the extent that the authorization is considered as based on the entire ICR cost analysis and not on </w:t>
      </w:r>
      <w:r w:rsidR="006350D5">
        <w:t xml:space="preserve">merely on </w:t>
      </w:r>
      <w:r w:rsidR="000F239D">
        <w:t>its aggregate results</w:t>
      </w:r>
      <w:r w:rsidR="00BB76E8" w:rsidRPr="00EC5F7A">
        <w:t xml:space="preserve">.)  </w:t>
      </w:r>
      <w:r w:rsidR="0095178E" w:rsidRPr="00EC5F7A">
        <w:t>Furthermore</w:t>
      </w:r>
      <w:r w:rsidR="00BB76E8" w:rsidRPr="00EC5F7A">
        <w:t xml:space="preserve">, the rule </w:t>
      </w:r>
      <w:r w:rsidR="00AC41DE">
        <w:t>includes a</w:t>
      </w:r>
      <w:r w:rsidR="00BB76E8" w:rsidRPr="00EC5F7A">
        <w:t xml:space="preserve"> "mid-term evaluation" </w:t>
      </w:r>
      <w:r w:rsidR="006350D5">
        <w:t>to be completed by 2018</w:t>
      </w:r>
      <w:r w:rsidR="00BB76E8" w:rsidRPr="00EC5F7A">
        <w:t xml:space="preserve">, which </w:t>
      </w:r>
      <w:r w:rsidR="00732E6B">
        <w:t>may</w:t>
      </w:r>
      <w:r w:rsidR="00BB76E8" w:rsidRPr="00EC5F7A">
        <w:t xml:space="preserve"> provide information for adjustments to the model years beyond that. </w:t>
      </w:r>
    </w:p>
    <w:p w:rsidR="003C0382" w:rsidRDefault="003C0382" w:rsidP="0095178E">
      <w:pPr>
        <w:pStyle w:val="Style6"/>
        <w:jc w:val="left"/>
      </w:pPr>
    </w:p>
    <w:p w:rsidR="003C0382" w:rsidRDefault="006350D5" w:rsidP="003C0382">
      <w:pPr>
        <w:pStyle w:val="Style6"/>
        <w:jc w:val="left"/>
        <w:rPr>
          <w:spacing w:val="6"/>
        </w:rPr>
      </w:pPr>
      <w:r>
        <w:rPr>
          <w:spacing w:val="6"/>
        </w:rPr>
        <w:tab/>
        <w:t>In many cases</w:t>
      </w:r>
      <w:r w:rsidR="00354466">
        <w:rPr>
          <w:spacing w:val="6"/>
        </w:rPr>
        <w:t>,</w:t>
      </w:r>
      <w:r>
        <w:rPr>
          <w:spacing w:val="6"/>
        </w:rPr>
        <w:t xml:space="preserve"> this ICR cost analysis includes</w:t>
      </w:r>
      <w:r w:rsidR="003C0382">
        <w:rPr>
          <w:spacing w:val="6"/>
        </w:rPr>
        <w:t xml:space="preserve"> both high and low cost estimates; unless otherwise indicated, the burden estimates given below are the high-cost estimates. </w:t>
      </w:r>
      <w:r w:rsidR="00ED3E2F">
        <w:rPr>
          <w:spacing w:val="6"/>
        </w:rPr>
        <w:t>T</w:t>
      </w:r>
      <w:r w:rsidR="003C0382" w:rsidRPr="00C72055">
        <w:rPr>
          <w:spacing w:val="6"/>
        </w:rPr>
        <w:t xml:space="preserve">he </w:t>
      </w:r>
      <w:r w:rsidR="003C0382">
        <w:rPr>
          <w:spacing w:val="6"/>
        </w:rPr>
        <w:t xml:space="preserve">rule changes </w:t>
      </w:r>
      <w:r w:rsidR="003C0382" w:rsidRPr="00C72055">
        <w:rPr>
          <w:spacing w:val="6"/>
        </w:rPr>
        <w:t xml:space="preserve">will </w:t>
      </w:r>
      <w:r w:rsidR="005E137A">
        <w:rPr>
          <w:spacing w:val="6"/>
        </w:rPr>
        <w:t>result in</w:t>
      </w:r>
      <w:r w:rsidR="003C0382" w:rsidRPr="00C72055">
        <w:rPr>
          <w:spacing w:val="6"/>
        </w:rPr>
        <w:t xml:space="preserve"> </w:t>
      </w:r>
      <w:r>
        <w:rPr>
          <w:spacing w:val="6"/>
        </w:rPr>
        <w:t>new costs</w:t>
      </w:r>
      <w:r w:rsidR="003C0382" w:rsidRPr="00C72055">
        <w:rPr>
          <w:spacing w:val="6"/>
        </w:rPr>
        <w:t xml:space="preserve"> </w:t>
      </w:r>
      <w:r w:rsidR="003C0382">
        <w:rPr>
          <w:spacing w:val="6"/>
        </w:rPr>
        <w:t xml:space="preserve">(high estimate) </w:t>
      </w:r>
      <w:r w:rsidR="003C0382" w:rsidRPr="00C72055">
        <w:rPr>
          <w:spacing w:val="6"/>
        </w:rPr>
        <w:t xml:space="preserve">of about </w:t>
      </w:r>
      <w:r w:rsidR="00D507D2">
        <w:rPr>
          <w:spacing w:val="6"/>
        </w:rPr>
        <w:t>$</w:t>
      </w:r>
      <w:r w:rsidR="00ED3E2F">
        <w:rPr>
          <w:spacing w:val="6"/>
        </w:rPr>
        <w:t>1,</w:t>
      </w:r>
      <w:r w:rsidR="00354466">
        <w:rPr>
          <w:spacing w:val="6"/>
        </w:rPr>
        <w:t>399</w:t>
      </w:r>
      <w:r w:rsidR="00ED3E2F">
        <w:rPr>
          <w:spacing w:val="6"/>
        </w:rPr>
        <w:t>,</w:t>
      </w:r>
      <w:r w:rsidR="00354466">
        <w:rPr>
          <w:spacing w:val="6"/>
        </w:rPr>
        <w:t>632</w:t>
      </w:r>
      <w:r w:rsidR="003C0382" w:rsidRPr="00C72055">
        <w:rPr>
          <w:spacing w:val="6"/>
        </w:rPr>
        <w:t xml:space="preserve"> annually</w:t>
      </w:r>
      <w:r w:rsidR="003C0382">
        <w:rPr>
          <w:spacing w:val="6"/>
        </w:rPr>
        <w:t xml:space="preserve"> </w:t>
      </w:r>
      <w:r w:rsidR="00D507D2">
        <w:rPr>
          <w:spacing w:val="6"/>
        </w:rPr>
        <w:t>in capital and operations and maintenance costs with a</w:t>
      </w:r>
      <w:r w:rsidR="00ED3E2F">
        <w:rPr>
          <w:spacing w:val="6"/>
        </w:rPr>
        <w:t>n</w:t>
      </w:r>
      <w:r w:rsidR="00D507D2">
        <w:rPr>
          <w:spacing w:val="6"/>
        </w:rPr>
        <w:t xml:space="preserve"> </w:t>
      </w:r>
      <w:r w:rsidR="00ED3E2F">
        <w:rPr>
          <w:spacing w:val="6"/>
        </w:rPr>
        <w:t xml:space="preserve">increase in </w:t>
      </w:r>
      <w:r w:rsidR="003C0382">
        <w:rPr>
          <w:spacing w:val="6"/>
        </w:rPr>
        <w:t>labor hours</w:t>
      </w:r>
      <w:r w:rsidR="003C0382" w:rsidRPr="00C72055">
        <w:rPr>
          <w:spacing w:val="6"/>
        </w:rPr>
        <w:t xml:space="preserve"> </w:t>
      </w:r>
      <w:r w:rsidR="00D507D2">
        <w:rPr>
          <w:spacing w:val="6"/>
        </w:rPr>
        <w:t xml:space="preserve">of </w:t>
      </w:r>
      <w:r w:rsidR="00ED3E2F">
        <w:rPr>
          <w:spacing w:val="6"/>
        </w:rPr>
        <w:t>5,</w:t>
      </w:r>
      <w:r w:rsidR="00354466">
        <w:rPr>
          <w:spacing w:val="6"/>
        </w:rPr>
        <w:t>667</w:t>
      </w:r>
      <w:r w:rsidR="00D507D2">
        <w:rPr>
          <w:spacing w:val="6"/>
        </w:rPr>
        <w:t xml:space="preserve"> </w:t>
      </w:r>
      <w:r>
        <w:rPr>
          <w:spacing w:val="6"/>
        </w:rPr>
        <w:t xml:space="preserve">annually </w:t>
      </w:r>
      <w:r w:rsidR="003C0382" w:rsidRPr="00C72055">
        <w:rPr>
          <w:spacing w:val="6"/>
        </w:rPr>
        <w:t xml:space="preserve">on the regulated </w:t>
      </w:r>
      <w:r w:rsidR="003C0382">
        <w:rPr>
          <w:spacing w:val="6"/>
        </w:rPr>
        <w:t>manufacturers</w:t>
      </w:r>
      <w:r w:rsidR="005E137A">
        <w:rPr>
          <w:spacing w:val="6"/>
        </w:rPr>
        <w:t xml:space="preserve"> compared to the baseline after the prior </w:t>
      </w:r>
      <w:r w:rsidR="00ED3E2F">
        <w:rPr>
          <w:spacing w:val="6"/>
        </w:rPr>
        <w:t xml:space="preserve">MY 2012-2016 </w:t>
      </w:r>
      <w:r w:rsidR="005E137A">
        <w:rPr>
          <w:spacing w:val="6"/>
        </w:rPr>
        <w:t>GHG rule</w:t>
      </w:r>
      <w:r w:rsidR="003C0382">
        <w:rPr>
          <w:spacing w:val="6"/>
        </w:rPr>
        <w:t xml:space="preserve">. </w:t>
      </w:r>
    </w:p>
    <w:p w:rsidR="00EB77F4" w:rsidRDefault="00EB77F4" w:rsidP="0095178E">
      <w:pPr>
        <w:pStyle w:val="Style6"/>
        <w:jc w:val="left"/>
      </w:pPr>
    </w:p>
    <w:p w:rsidR="00C67AB5" w:rsidRDefault="00EB77F4" w:rsidP="0095178E">
      <w:pPr>
        <w:pStyle w:val="Style6"/>
        <w:jc w:val="left"/>
      </w:pPr>
      <w:r>
        <w:tab/>
      </w:r>
      <w:r w:rsidRPr="00EB77F4">
        <w:rPr>
          <w:u w:val="single"/>
        </w:rPr>
        <w:t xml:space="preserve">Summary of the </w:t>
      </w:r>
      <w:r w:rsidR="00245DDF">
        <w:rPr>
          <w:u w:val="single"/>
        </w:rPr>
        <w:t xml:space="preserve">MY 2017-2025 </w:t>
      </w:r>
      <w:r w:rsidR="00BC0171">
        <w:rPr>
          <w:u w:val="single"/>
        </w:rPr>
        <w:t xml:space="preserve">GHG </w:t>
      </w:r>
      <w:r w:rsidR="00245DDF">
        <w:rPr>
          <w:u w:val="single"/>
        </w:rPr>
        <w:t>Rule’s</w:t>
      </w:r>
      <w:r w:rsidR="00245DDF" w:rsidRPr="00EB77F4">
        <w:rPr>
          <w:u w:val="single"/>
        </w:rPr>
        <w:t xml:space="preserve"> </w:t>
      </w:r>
      <w:r w:rsidR="00D679AE">
        <w:rPr>
          <w:u w:val="single"/>
        </w:rPr>
        <w:t xml:space="preserve">New </w:t>
      </w:r>
      <w:r w:rsidRPr="00EB77F4">
        <w:rPr>
          <w:u w:val="single"/>
        </w:rPr>
        <w:t>Paperwork-</w:t>
      </w:r>
      <w:r w:rsidR="00C67AB5">
        <w:rPr>
          <w:u w:val="single"/>
        </w:rPr>
        <w:t>Affecting</w:t>
      </w:r>
      <w:r w:rsidRPr="00EB77F4">
        <w:rPr>
          <w:u w:val="single"/>
        </w:rPr>
        <w:t xml:space="preserve"> Features</w:t>
      </w:r>
    </w:p>
    <w:p w:rsidR="00C67AB5" w:rsidRDefault="00C67AB5" w:rsidP="0095178E">
      <w:pPr>
        <w:pStyle w:val="Style6"/>
        <w:jc w:val="left"/>
      </w:pPr>
    </w:p>
    <w:p w:rsidR="00C67AB5" w:rsidRPr="00C67AB5" w:rsidRDefault="00C67AB5" w:rsidP="0095178E">
      <w:pPr>
        <w:pStyle w:val="Style6"/>
        <w:jc w:val="left"/>
      </w:pPr>
      <w:r>
        <w:tab/>
      </w:r>
      <w:r w:rsidR="00A67A96">
        <w:t xml:space="preserve">This summary gives necessary background for the estimations given in Part 6. </w:t>
      </w:r>
    </w:p>
    <w:p w:rsidR="00F56F79" w:rsidRDefault="00F56F79" w:rsidP="004C72D6">
      <w:pPr>
        <w:pStyle w:val="Style6"/>
        <w:jc w:val="left"/>
        <w:rPr>
          <w:spacing w:val="6"/>
        </w:rPr>
      </w:pPr>
    </w:p>
    <w:p w:rsidR="00EB77F4" w:rsidRDefault="00140760" w:rsidP="00EC5F7A">
      <w:pPr>
        <w:pStyle w:val="Style6"/>
        <w:jc w:val="left"/>
        <w:rPr>
          <w:spacing w:val="6"/>
        </w:rPr>
      </w:pPr>
      <w:r>
        <w:rPr>
          <w:spacing w:val="6"/>
        </w:rPr>
        <w:tab/>
      </w:r>
      <w:r w:rsidR="004C72D6" w:rsidRPr="00EB77F4">
        <w:rPr>
          <w:spacing w:val="6"/>
        </w:rPr>
        <w:t>Starting with model year 201</w:t>
      </w:r>
      <w:r w:rsidR="00203B63" w:rsidRPr="00EB77F4">
        <w:rPr>
          <w:spacing w:val="6"/>
        </w:rPr>
        <w:t>7</w:t>
      </w:r>
      <w:r w:rsidR="004C72D6" w:rsidRPr="00EB77F4">
        <w:rPr>
          <w:spacing w:val="6"/>
        </w:rPr>
        <w:t xml:space="preserve">, manufacturers will be required to meet </w:t>
      </w:r>
      <w:r w:rsidR="00203B63" w:rsidRPr="00EB77F4">
        <w:rPr>
          <w:spacing w:val="6"/>
        </w:rPr>
        <w:t>increasingly stringent</w:t>
      </w:r>
      <w:r w:rsidR="004C72D6" w:rsidRPr="00EB77F4">
        <w:rPr>
          <w:spacing w:val="6"/>
        </w:rPr>
        <w:t xml:space="preserve"> greenhouse gas emissions limits</w:t>
      </w:r>
      <w:r w:rsidR="00EB77F4">
        <w:rPr>
          <w:spacing w:val="6"/>
        </w:rPr>
        <w:t xml:space="preserve"> through 2025</w:t>
      </w:r>
      <w:r w:rsidR="00D93E3A">
        <w:rPr>
          <w:spacing w:val="6"/>
        </w:rPr>
        <w:t>, beyond those specified in the prior rule for 2012 to 2016</w:t>
      </w:r>
      <w:r w:rsidR="004C72D6" w:rsidRPr="00EB77F4">
        <w:rPr>
          <w:spacing w:val="6"/>
        </w:rPr>
        <w:t xml:space="preserve">. These limits will be enforced through the certification program. </w:t>
      </w:r>
      <w:r w:rsidR="00203B63" w:rsidRPr="00EB77F4">
        <w:rPr>
          <w:spacing w:val="6"/>
        </w:rPr>
        <w:t>As with the existing program, a</w:t>
      </w:r>
      <w:r w:rsidR="004C72D6" w:rsidRPr="00EB77F4">
        <w:rPr>
          <w:spacing w:val="6"/>
        </w:rPr>
        <w:t xml:space="preserve">veraging, banking, and trading (ABT) will </w:t>
      </w:r>
      <w:r w:rsidR="00203B63" w:rsidRPr="00EB77F4">
        <w:rPr>
          <w:spacing w:val="6"/>
        </w:rPr>
        <w:t>be available;</w:t>
      </w:r>
      <w:r w:rsidR="004C72D6" w:rsidRPr="00EB77F4">
        <w:rPr>
          <w:spacing w:val="6"/>
        </w:rPr>
        <w:t xml:space="preserve"> </w:t>
      </w:r>
      <w:r w:rsidR="00203B63" w:rsidRPr="00EB77F4">
        <w:rPr>
          <w:spacing w:val="6"/>
        </w:rPr>
        <w:t>l</w:t>
      </w:r>
      <w:r w:rsidR="004C72D6" w:rsidRPr="00EB77F4">
        <w:rPr>
          <w:spacing w:val="6"/>
        </w:rPr>
        <w:t>ight-duty vehicles (cars), light-duty-trucks, and medium-duty passenger vehicles seeking certificates of authority to sell vehicles in the United States will be required to submit CO</w:t>
      </w:r>
      <w:r w:rsidR="004C72D6" w:rsidRPr="00EB77F4">
        <w:rPr>
          <w:spacing w:val="6"/>
          <w:vertAlign w:val="subscript"/>
        </w:rPr>
        <w:t>2</w:t>
      </w:r>
      <w:r w:rsidR="004C72D6" w:rsidRPr="00EB77F4">
        <w:rPr>
          <w:spacing w:val="6"/>
        </w:rPr>
        <w:t xml:space="preserve"> test results </w:t>
      </w:r>
      <w:r w:rsidR="006350D5">
        <w:rPr>
          <w:spacing w:val="6"/>
        </w:rPr>
        <w:t xml:space="preserve">and other information </w:t>
      </w:r>
      <w:r w:rsidR="004C72D6" w:rsidRPr="00EB77F4">
        <w:rPr>
          <w:spacing w:val="6"/>
        </w:rPr>
        <w:t>in suppor</w:t>
      </w:r>
      <w:r w:rsidR="00203B63" w:rsidRPr="00EB77F4">
        <w:rPr>
          <w:spacing w:val="6"/>
        </w:rPr>
        <w:t>t of certification applications;</w:t>
      </w:r>
      <w:r w:rsidR="004C72D6" w:rsidRPr="00EB77F4">
        <w:rPr>
          <w:spacing w:val="6"/>
        </w:rPr>
        <w:t xml:space="preserve"> and all certified vehicles will be subject to the requirements of the In-Use Vehicle Testing Program</w:t>
      </w:r>
      <w:r w:rsidR="006350D5">
        <w:rPr>
          <w:spacing w:val="6"/>
        </w:rPr>
        <w:t xml:space="preserve"> (IUVP)</w:t>
      </w:r>
      <w:r w:rsidR="00203B63" w:rsidRPr="00EB77F4">
        <w:rPr>
          <w:spacing w:val="6"/>
        </w:rPr>
        <w:t>.</w:t>
      </w:r>
      <w:r w:rsidR="00C67AB5">
        <w:rPr>
          <w:spacing w:val="6"/>
        </w:rPr>
        <w:t xml:space="preserve"> This ICR considers the costs associated </w:t>
      </w:r>
      <w:r w:rsidR="00C67AB5">
        <w:rPr>
          <w:spacing w:val="6"/>
        </w:rPr>
        <w:lastRenderedPageBreak/>
        <w:t xml:space="preserve">with submitting this information to EPA, including the costs of generating the information to be submitted, such as testing costs, and facility and equipment costs to conduct the testing. The ICR calculates the changes in the baseline information burden, based on changes in the existing GHG program, the major outlines of which were </w:t>
      </w:r>
      <w:r w:rsidR="00A67A96">
        <w:rPr>
          <w:spacing w:val="6"/>
        </w:rPr>
        <w:t xml:space="preserve">established </w:t>
      </w:r>
      <w:r w:rsidR="00C67AB5">
        <w:rPr>
          <w:spacing w:val="6"/>
        </w:rPr>
        <w:t xml:space="preserve">in the prior rule and costed in the prior ICR. </w:t>
      </w:r>
    </w:p>
    <w:p w:rsidR="00EB77F4" w:rsidRDefault="00EB77F4" w:rsidP="00EC5F7A">
      <w:pPr>
        <w:pStyle w:val="Style6"/>
        <w:jc w:val="left"/>
        <w:rPr>
          <w:spacing w:val="6"/>
        </w:rPr>
      </w:pPr>
    </w:p>
    <w:p w:rsidR="00EC5F7A" w:rsidRDefault="00EB77F4" w:rsidP="00EC5F7A">
      <w:pPr>
        <w:pStyle w:val="Style6"/>
        <w:jc w:val="left"/>
        <w:rPr>
          <w:spacing w:val="6"/>
        </w:rPr>
      </w:pPr>
      <w:r>
        <w:rPr>
          <w:spacing w:val="6"/>
        </w:rPr>
        <w:tab/>
        <w:t>The prior ICR</w:t>
      </w:r>
      <w:r w:rsidR="001A2FB1">
        <w:rPr>
          <w:spacing w:val="6"/>
        </w:rPr>
        <w:t xml:space="preserve"> included new testing costs associated with air conditioning credits because the level of credit attainment was included in the compliance standards. It also included new IUVP testing costs due to the requirement that the highway fuel efficiency test be added for the test fleet. Both of these had a capital cost component for the facilities needed to conduct the tests, and there were startup capital costs for N</w:t>
      </w:r>
      <w:r w:rsidR="00324D77" w:rsidRPr="00324D77">
        <w:rPr>
          <w:spacing w:val="6"/>
          <w:vertAlign w:val="subscript"/>
        </w:rPr>
        <w:t>2</w:t>
      </w:r>
      <w:r w:rsidR="001A2FB1">
        <w:rPr>
          <w:spacing w:val="6"/>
        </w:rPr>
        <w:t>O analyzers and for information system updating. Estimates were also made for the more direct burden increases for reporting and recordkeeping</w:t>
      </w:r>
      <w:r w:rsidR="00855777">
        <w:rPr>
          <w:spacing w:val="6"/>
        </w:rPr>
        <w:t xml:space="preserve">, including </w:t>
      </w:r>
      <w:r w:rsidR="00D93E3A">
        <w:rPr>
          <w:spacing w:val="6"/>
        </w:rPr>
        <w:t xml:space="preserve">estimated </w:t>
      </w:r>
      <w:r w:rsidR="00855777">
        <w:rPr>
          <w:spacing w:val="6"/>
        </w:rPr>
        <w:t>paperwork burdens for the other credits</w:t>
      </w:r>
      <w:r w:rsidR="001A2FB1">
        <w:rPr>
          <w:spacing w:val="6"/>
        </w:rPr>
        <w:t xml:space="preserve">. </w:t>
      </w:r>
      <w:r w:rsidR="002206B9">
        <w:rPr>
          <w:spacing w:val="6"/>
        </w:rPr>
        <w:t>This ICR incorporates an updated estimate of the costs of N</w:t>
      </w:r>
      <w:r w:rsidR="00324D77" w:rsidRPr="00324D77">
        <w:rPr>
          <w:spacing w:val="6"/>
          <w:vertAlign w:val="subscript"/>
        </w:rPr>
        <w:t>2</w:t>
      </w:r>
      <w:r w:rsidR="002206B9">
        <w:rPr>
          <w:spacing w:val="6"/>
        </w:rPr>
        <w:t>O analyzers, and a</w:t>
      </w:r>
      <w:r w:rsidR="006350D5">
        <w:rPr>
          <w:spacing w:val="6"/>
        </w:rPr>
        <w:t xml:space="preserve">dditional and updated costs for information </w:t>
      </w:r>
      <w:r w:rsidR="002206B9">
        <w:rPr>
          <w:spacing w:val="6"/>
        </w:rPr>
        <w:t xml:space="preserve">and familiarization with the regulations. </w:t>
      </w:r>
    </w:p>
    <w:p w:rsidR="00AD6023" w:rsidRDefault="00AD6023" w:rsidP="00EC5F7A">
      <w:pPr>
        <w:pStyle w:val="Style6"/>
        <w:jc w:val="left"/>
        <w:rPr>
          <w:spacing w:val="6"/>
        </w:rPr>
      </w:pPr>
    </w:p>
    <w:p w:rsidR="00AD6023" w:rsidRDefault="00D93E3A" w:rsidP="00EC5F7A">
      <w:pPr>
        <w:pStyle w:val="Style6"/>
        <w:jc w:val="left"/>
        <w:rPr>
          <w:spacing w:val="6"/>
        </w:rPr>
      </w:pPr>
      <w:r>
        <w:rPr>
          <w:spacing w:val="6"/>
        </w:rPr>
        <w:tab/>
        <w:t>This</w:t>
      </w:r>
      <w:r w:rsidR="00AD6023">
        <w:rPr>
          <w:spacing w:val="6"/>
        </w:rPr>
        <w:t xml:space="preserve"> </w:t>
      </w:r>
      <w:r w:rsidR="00245DDF">
        <w:rPr>
          <w:spacing w:val="6"/>
        </w:rPr>
        <w:t>rule</w:t>
      </w:r>
      <w:r w:rsidR="00AD6023">
        <w:rPr>
          <w:spacing w:val="6"/>
        </w:rPr>
        <w:t xml:space="preserve"> includes an updated estimate of the number of manufacturers affected by the GHG standards, the number of small businesses exempt from the standards, and brings in some small volume manufacturers</w:t>
      </w:r>
      <w:r>
        <w:rPr>
          <w:spacing w:val="6"/>
        </w:rPr>
        <w:t xml:space="preserve"> exempted in the prior rule</w:t>
      </w:r>
      <w:r w:rsidR="00AD6023">
        <w:rPr>
          <w:spacing w:val="6"/>
        </w:rPr>
        <w:t>. The prior ICR assumed 53 manufacturers, of which 20 were small businesses</w:t>
      </w:r>
      <w:r w:rsidR="002A3929">
        <w:rPr>
          <w:spacing w:val="6"/>
        </w:rPr>
        <w:t xml:space="preserve"> which are exempt from GHG standards, for a total of 33 respondents</w:t>
      </w:r>
      <w:r w:rsidR="00AD6023">
        <w:rPr>
          <w:spacing w:val="6"/>
        </w:rPr>
        <w:t xml:space="preserve">. The current </w:t>
      </w:r>
      <w:r w:rsidR="002A3929">
        <w:rPr>
          <w:spacing w:val="6"/>
        </w:rPr>
        <w:t>ICR also assumes 33 respondents</w:t>
      </w:r>
      <w:r w:rsidR="008D35DB">
        <w:rPr>
          <w:spacing w:val="6"/>
        </w:rPr>
        <w:t xml:space="preserve"> including small volume manufacturers that are not small businesses</w:t>
      </w:r>
      <w:r w:rsidR="00AD6023">
        <w:rPr>
          <w:spacing w:val="6"/>
        </w:rPr>
        <w:t xml:space="preserve">. </w:t>
      </w:r>
      <w:r w:rsidR="00B45234">
        <w:rPr>
          <w:spacing w:val="6"/>
        </w:rPr>
        <w:t>(</w:t>
      </w:r>
      <w:r w:rsidR="001171FC">
        <w:rPr>
          <w:spacing w:val="6"/>
        </w:rPr>
        <w:t xml:space="preserve">EPA is </w:t>
      </w:r>
      <w:r w:rsidR="005A5FA2">
        <w:rPr>
          <w:spacing w:val="6"/>
        </w:rPr>
        <w:t xml:space="preserve">exempting </w:t>
      </w:r>
      <w:r w:rsidR="001171FC">
        <w:rPr>
          <w:spacing w:val="6"/>
        </w:rPr>
        <w:t>p</w:t>
      </w:r>
      <w:r w:rsidR="00B45234">
        <w:rPr>
          <w:spacing w:val="6"/>
        </w:rPr>
        <w:t>olice and emergency vehicles beginning</w:t>
      </w:r>
      <w:r w:rsidR="005A5FA2">
        <w:rPr>
          <w:spacing w:val="6"/>
        </w:rPr>
        <w:t xml:space="preserve"> with</w:t>
      </w:r>
      <w:r w:rsidR="00B45234">
        <w:rPr>
          <w:spacing w:val="6"/>
        </w:rPr>
        <w:t xml:space="preserve"> MY201</w:t>
      </w:r>
      <w:r w:rsidR="007055F9">
        <w:rPr>
          <w:spacing w:val="6"/>
        </w:rPr>
        <w:t>2</w:t>
      </w:r>
      <w:r w:rsidR="00B45234">
        <w:rPr>
          <w:spacing w:val="6"/>
        </w:rPr>
        <w:t xml:space="preserve">, but the test-group level impact of this, if any, is likewise too limited to quantify at this time.) </w:t>
      </w:r>
      <w:r w:rsidR="00AD6023">
        <w:rPr>
          <w:spacing w:val="6"/>
        </w:rPr>
        <w:t>The changes</w:t>
      </w:r>
      <w:r w:rsidR="00E96415">
        <w:rPr>
          <w:spacing w:val="6"/>
        </w:rPr>
        <w:t xml:space="preserve"> to the GHG program</w:t>
      </w:r>
      <w:r w:rsidR="00844780" w:rsidRPr="00844780">
        <w:rPr>
          <w:spacing w:val="6"/>
        </w:rPr>
        <w:t xml:space="preserve"> </w:t>
      </w:r>
      <w:r w:rsidR="00844780">
        <w:rPr>
          <w:spacing w:val="6"/>
        </w:rPr>
        <w:t xml:space="preserve">including the additional requirements for small volume manufacturers discussed below </w:t>
      </w:r>
      <w:r w:rsidR="00AD6023">
        <w:rPr>
          <w:spacing w:val="6"/>
        </w:rPr>
        <w:t>result in adjustments to the prior ICR's testing, facility, capital, and gene</w:t>
      </w:r>
      <w:r w:rsidR="007716C4">
        <w:rPr>
          <w:spacing w:val="6"/>
        </w:rPr>
        <w:t xml:space="preserve">ral reporting burden estimates. </w:t>
      </w:r>
    </w:p>
    <w:p w:rsidR="007716C4" w:rsidRDefault="007716C4" w:rsidP="00EC5F7A">
      <w:pPr>
        <w:pStyle w:val="Style6"/>
        <w:jc w:val="left"/>
        <w:rPr>
          <w:spacing w:val="6"/>
        </w:rPr>
      </w:pPr>
    </w:p>
    <w:p w:rsidR="00004D1A" w:rsidRDefault="00004D1A" w:rsidP="00004D1A">
      <w:pPr>
        <w:pStyle w:val="Style6"/>
        <w:ind w:firstLine="720"/>
        <w:jc w:val="left"/>
        <w:rPr>
          <w:spacing w:val="6"/>
        </w:rPr>
      </w:pPr>
      <w:r w:rsidRPr="007716C4">
        <w:t xml:space="preserve">The prior </w:t>
      </w:r>
      <w:r>
        <w:t xml:space="preserve">MY 2012-2016 </w:t>
      </w:r>
      <w:r w:rsidRPr="007716C4">
        <w:t>rule</w:t>
      </w:r>
      <w:r>
        <w:t xml:space="preserve"> </w:t>
      </w:r>
      <w:r w:rsidRPr="007716C4">
        <w:t>requires SVMs to make a good faith effort to secure credits from other manufacturers, if they are reasonably available, to cover the emissions reductions they would have otherwise had to achieve under applicable standards.</w:t>
      </w:r>
      <w:r>
        <w:t xml:space="preserve">  These SVMs are otherwise exempt from the CO</w:t>
      </w:r>
      <w:r w:rsidR="00AE0198" w:rsidRPr="00AE0198">
        <w:rPr>
          <w:vertAlign w:val="subscript"/>
        </w:rPr>
        <w:t>2</w:t>
      </w:r>
      <w:r>
        <w:t xml:space="preserve"> standards.  Eligible manufacturers are </w:t>
      </w:r>
      <w:r w:rsidRPr="007716C4">
        <w:t>SVMs hav</w:t>
      </w:r>
      <w:r>
        <w:t>ing</w:t>
      </w:r>
      <w:r w:rsidRPr="007716C4">
        <w:t xml:space="preserve"> vehicle sales of less than 5,000 per year (three-year rolling average) in the U.S. There are currently three manufacturers that qualify under this definition. The high cost estimate </w:t>
      </w:r>
      <w:r>
        <w:t xml:space="preserve">for purposes of the reporting requirements assessment </w:t>
      </w:r>
      <w:r w:rsidRPr="007716C4">
        <w:t xml:space="preserve">assumes five and the low, three.  </w:t>
      </w:r>
      <w:r>
        <w:t xml:space="preserve">Under the MY 2017-2025 final rule, </w:t>
      </w:r>
      <w:r w:rsidRPr="007716C4">
        <w:t xml:space="preserve">SVMs can petition EPA </w:t>
      </w:r>
      <w:r>
        <w:t xml:space="preserve">by July 30, 2013 </w:t>
      </w:r>
      <w:r w:rsidRPr="007716C4">
        <w:t>for alternative standards</w:t>
      </w:r>
      <w:r>
        <w:t xml:space="preserve"> that would go into effect beginning MY 2017</w:t>
      </w:r>
      <w:r w:rsidRPr="007716C4">
        <w:t xml:space="preserve">. This petition requires submission of detailed supporting information that imposes a new information collection burden. </w:t>
      </w:r>
      <w:r>
        <w:t xml:space="preserve">The analysis assumes all three or five will submit this information. The first petition and ruling could be followed by an indeterminate number of additional petitions and standards in subsequent years covering model years through 2025. </w:t>
      </w:r>
      <w:r w:rsidRPr="007716C4">
        <w:t xml:space="preserve">This burden is reduced by the fact that the submission is similar to those required in support of similar alternatives already required beginning prior to 2017 by NHTSA for CAFE, and the European Union. It is also reduced by the fact that the application and the standards that result can cover up to five model years. </w:t>
      </w:r>
    </w:p>
    <w:p w:rsidR="00004D1A" w:rsidRDefault="00004D1A" w:rsidP="00EC5F7A">
      <w:pPr>
        <w:pStyle w:val="Style6"/>
        <w:jc w:val="left"/>
        <w:rPr>
          <w:spacing w:val="6"/>
        </w:rPr>
      </w:pPr>
    </w:p>
    <w:p w:rsidR="005A5FA2" w:rsidRDefault="007716C4" w:rsidP="00004D1A">
      <w:pPr>
        <w:pStyle w:val="Style6"/>
        <w:jc w:val="left"/>
      </w:pPr>
      <w:r>
        <w:rPr>
          <w:spacing w:val="6"/>
        </w:rPr>
        <w:lastRenderedPageBreak/>
        <w:tab/>
      </w:r>
    </w:p>
    <w:p w:rsidR="00354466" w:rsidRDefault="00354466">
      <w:pPr>
        <w:pStyle w:val="Style6"/>
        <w:ind w:firstLine="720"/>
        <w:jc w:val="left"/>
      </w:pPr>
    </w:p>
    <w:p w:rsidR="00354466" w:rsidRDefault="00354466">
      <w:pPr>
        <w:pStyle w:val="Style6"/>
        <w:ind w:firstLine="720"/>
        <w:jc w:val="left"/>
      </w:pPr>
    </w:p>
    <w:p w:rsidR="007716C4" w:rsidRDefault="007716C4" w:rsidP="00EC5F7A">
      <w:pPr>
        <w:pStyle w:val="Style6"/>
        <w:jc w:val="left"/>
        <w:rPr>
          <w:spacing w:val="6"/>
        </w:rPr>
      </w:pPr>
    </w:p>
    <w:p w:rsidR="00354466" w:rsidRDefault="00004D1A">
      <w:pPr>
        <w:pStyle w:val="Style6"/>
        <w:ind w:firstLine="720"/>
        <w:jc w:val="left"/>
        <w:rPr>
          <w:spacing w:val="6"/>
        </w:rPr>
      </w:pPr>
      <w:r w:rsidRPr="007716C4">
        <w:t>EPA</w:t>
      </w:r>
      <w:r>
        <w:t xml:space="preserve"> requested comments on and is finalizing extending the SVM standards eligibility to manufacturers that are able to demonstrate that they are operationally independent from their parent company.  </w:t>
      </w:r>
      <w:r w:rsidR="00245DDF">
        <w:t xml:space="preserve">EPA received only supportive comments regarding extending SVM alternative standards to manufacturers able to demonstrate operational independence.  </w:t>
      </w:r>
      <w:r w:rsidR="00AB5AEA">
        <w:t xml:space="preserve">EPA knows of only one likely respondent for the operational independence criteria </w:t>
      </w:r>
      <w:r>
        <w:t>EPA</w:t>
      </w:r>
      <w:r w:rsidR="00AB5AEA">
        <w:t xml:space="preserve"> and therefore does not expect the criteria to be widely used.  For this ICR, EPA</w:t>
      </w:r>
      <w:r>
        <w:t xml:space="preserve"> estimates that a low of one and a high of two manufacturers will apply for SVM standards under the operational independence provisions.  EPA has included an estimate of the burden associated with applying for operational independence determination and have increased the total estimate of manufacturers eligible for SVM standards from 3 to 5 manufacturers to 4 to </w:t>
      </w:r>
      <w:r w:rsidR="00AB5AEA">
        <w:t>7</w:t>
      </w:r>
      <w:r>
        <w:t xml:space="preserve"> manufacturers.</w:t>
      </w:r>
      <w:r w:rsidR="00AD6023" w:rsidRPr="00F63AAC">
        <w:rPr>
          <w:spacing w:val="6"/>
        </w:rPr>
        <w:tab/>
      </w:r>
    </w:p>
    <w:p w:rsidR="00004D1A" w:rsidRDefault="00004D1A" w:rsidP="004C72D6">
      <w:pPr>
        <w:pStyle w:val="Style6"/>
        <w:jc w:val="left"/>
        <w:rPr>
          <w:spacing w:val="6"/>
        </w:rPr>
      </w:pPr>
    </w:p>
    <w:p w:rsidR="00354466" w:rsidRDefault="00AD6023">
      <w:pPr>
        <w:pStyle w:val="Style6"/>
        <w:ind w:firstLine="720"/>
        <w:jc w:val="left"/>
        <w:rPr>
          <w:spacing w:val="6"/>
        </w:rPr>
      </w:pPr>
      <w:r w:rsidRPr="00F63AAC">
        <w:rPr>
          <w:spacing w:val="6"/>
        </w:rPr>
        <w:t>M</w:t>
      </w:r>
      <w:r w:rsidR="00B15992">
        <w:rPr>
          <w:spacing w:val="6"/>
        </w:rPr>
        <w:t>uch</w:t>
      </w:r>
      <w:r w:rsidRPr="00F63AAC">
        <w:rPr>
          <w:spacing w:val="6"/>
        </w:rPr>
        <w:t xml:space="preserve"> of the rule </w:t>
      </w:r>
      <w:r w:rsidR="00B15992">
        <w:rPr>
          <w:spacing w:val="6"/>
        </w:rPr>
        <w:t xml:space="preserve">that affects reporting </w:t>
      </w:r>
      <w:r w:rsidRPr="00F63AAC">
        <w:rPr>
          <w:spacing w:val="6"/>
        </w:rPr>
        <w:t>deals with modifications to the credit and incentive provisions of the prior rule. M</w:t>
      </w:r>
      <w:r w:rsidR="00EB77F4" w:rsidRPr="00F63AAC">
        <w:rPr>
          <w:spacing w:val="6"/>
        </w:rPr>
        <w:t>anufacturer</w:t>
      </w:r>
      <w:r w:rsidRPr="00F63AAC">
        <w:rPr>
          <w:spacing w:val="6"/>
        </w:rPr>
        <w:t>s</w:t>
      </w:r>
      <w:r w:rsidR="00EB77F4" w:rsidRPr="00F63AAC">
        <w:rPr>
          <w:spacing w:val="6"/>
        </w:rPr>
        <w:t xml:space="preserve"> cho</w:t>
      </w:r>
      <w:r w:rsidRPr="00F63AAC">
        <w:rPr>
          <w:spacing w:val="6"/>
        </w:rPr>
        <w:t>ose</w:t>
      </w:r>
      <w:r w:rsidR="00EB77F4" w:rsidRPr="00F63AAC">
        <w:rPr>
          <w:spacing w:val="6"/>
        </w:rPr>
        <w:t xml:space="preserve"> between </w:t>
      </w:r>
      <w:r w:rsidR="00C93DF5">
        <w:rPr>
          <w:spacing w:val="6"/>
        </w:rPr>
        <w:t>1</w:t>
      </w:r>
      <w:r w:rsidR="00EB77F4" w:rsidRPr="00F63AAC">
        <w:rPr>
          <w:spacing w:val="6"/>
        </w:rPr>
        <w:t>) tailpipe attainment of CO</w:t>
      </w:r>
      <w:r w:rsidR="00324D77" w:rsidRPr="00324D77">
        <w:rPr>
          <w:spacing w:val="6"/>
          <w:vertAlign w:val="subscript"/>
        </w:rPr>
        <w:t>2</w:t>
      </w:r>
      <w:r w:rsidR="00EB77F4" w:rsidRPr="00F63AAC">
        <w:rPr>
          <w:spacing w:val="6"/>
        </w:rPr>
        <w:t xml:space="preserve"> emissions standards without credits or incentives, and </w:t>
      </w:r>
      <w:r w:rsidR="00C93DF5">
        <w:rPr>
          <w:spacing w:val="6"/>
        </w:rPr>
        <w:t>2</w:t>
      </w:r>
      <w:r w:rsidR="00EB77F4" w:rsidRPr="00F63AAC">
        <w:rPr>
          <w:spacing w:val="6"/>
        </w:rPr>
        <w:t xml:space="preserve">) application and qualification for use of one or more of the available optional credits and incentives. </w:t>
      </w:r>
      <w:r w:rsidRPr="00F63AAC">
        <w:rPr>
          <w:spacing w:val="6"/>
        </w:rPr>
        <w:t xml:space="preserve">The </w:t>
      </w:r>
      <w:r w:rsidR="00004D1A">
        <w:rPr>
          <w:spacing w:val="6"/>
        </w:rPr>
        <w:t>rule</w:t>
      </w:r>
      <w:r w:rsidR="00004D1A" w:rsidRPr="00F63AAC">
        <w:rPr>
          <w:spacing w:val="6"/>
        </w:rPr>
        <w:t xml:space="preserve"> </w:t>
      </w:r>
      <w:r w:rsidRPr="00F63AAC">
        <w:rPr>
          <w:spacing w:val="6"/>
        </w:rPr>
        <w:t xml:space="preserve">makes a distinction </w:t>
      </w:r>
      <w:r w:rsidR="00EB77F4" w:rsidRPr="00F63AAC">
        <w:rPr>
          <w:spacing w:val="6"/>
        </w:rPr>
        <w:t>between incentives, the A</w:t>
      </w:r>
      <w:r w:rsidR="00682FA0">
        <w:rPr>
          <w:spacing w:val="6"/>
        </w:rPr>
        <w:t>/</w:t>
      </w:r>
      <w:r w:rsidR="00EB77F4" w:rsidRPr="00F63AAC">
        <w:rPr>
          <w:spacing w:val="6"/>
        </w:rPr>
        <w:t>C credit, and other credits, where the A</w:t>
      </w:r>
      <w:r w:rsidR="00140AB5">
        <w:rPr>
          <w:spacing w:val="6"/>
        </w:rPr>
        <w:t>/</w:t>
      </w:r>
      <w:r w:rsidR="00EB77F4" w:rsidRPr="00F63AAC">
        <w:rPr>
          <w:spacing w:val="6"/>
        </w:rPr>
        <w:t xml:space="preserve">C credit is incorporated into the fleet emission standards because the extent to which it is achievable industry wide was considered calculable, whereas in the other cases it was not. </w:t>
      </w:r>
      <w:r w:rsidRPr="00F63AAC">
        <w:rPr>
          <w:spacing w:val="6"/>
        </w:rPr>
        <w:t>In the case of A</w:t>
      </w:r>
      <w:r w:rsidR="00682FA0">
        <w:rPr>
          <w:spacing w:val="6"/>
        </w:rPr>
        <w:t>/</w:t>
      </w:r>
      <w:r w:rsidRPr="00F63AAC">
        <w:rPr>
          <w:spacing w:val="6"/>
        </w:rPr>
        <w:t>C</w:t>
      </w:r>
      <w:r w:rsidR="00EB77F4" w:rsidRPr="00F63AAC">
        <w:rPr>
          <w:spacing w:val="6"/>
        </w:rPr>
        <w:t xml:space="preserve">, the calculation is in terms of vehicle numbers </w:t>
      </w:r>
      <w:r w:rsidR="00D93E3A">
        <w:rPr>
          <w:spacing w:val="6"/>
        </w:rPr>
        <w:t xml:space="preserve">under an econometric model </w:t>
      </w:r>
      <w:r w:rsidR="00EB77F4" w:rsidRPr="00F63AAC">
        <w:rPr>
          <w:spacing w:val="6"/>
        </w:rPr>
        <w:t>rather than manufacturers and test groups</w:t>
      </w:r>
      <w:r w:rsidRPr="00F63AAC">
        <w:rPr>
          <w:spacing w:val="6"/>
        </w:rPr>
        <w:t xml:space="preserve"> relevant to the </w:t>
      </w:r>
      <w:r w:rsidR="00D93E3A">
        <w:rPr>
          <w:spacing w:val="6"/>
        </w:rPr>
        <w:t>paperwork burden</w:t>
      </w:r>
      <w:r w:rsidR="00EB77F4" w:rsidRPr="00F63AAC">
        <w:rPr>
          <w:spacing w:val="6"/>
        </w:rPr>
        <w:t>.</w:t>
      </w:r>
      <w:r w:rsidR="00EB77F4">
        <w:rPr>
          <w:spacing w:val="6"/>
        </w:rPr>
        <w:t xml:space="preserve"> </w:t>
      </w:r>
      <w:r w:rsidR="00F63AAC">
        <w:rPr>
          <w:spacing w:val="6"/>
        </w:rPr>
        <w:t xml:space="preserve">The provisions </w:t>
      </w:r>
      <w:r w:rsidR="00A6458C">
        <w:rPr>
          <w:spacing w:val="6"/>
        </w:rPr>
        <w:t xml:space="preserve">that are modified or new </w:t>
      </w:r>
      <w:r w:rsidR="00F63AAC">
        <w:rPr>
          <w:spacing w:val="6"/>
        </w:rPr>
        <w:t xml:space="preserve">are summarized below: </w:t>
      </w:r>
    </w:p>
    <w:p w:rsidR="00F63AAC" w:rsidRPr="004E7BC2" w:rsidRDefault="00F63AAC" w:rsidP="004C72D6">
      <w:pPr>
        <w:pStyle w:val="Style6"/>
        <w:jc w:val="left"/>
        <w:rPr>
          <w:spacing w:val="6"/>
          <w:highlight w:val="green"/>
        </w:rPr>
      </w:pPr>
    </w:p>
    <w:p w:rsidR="00F83D26" w:rsidRDefault="000D222C" w:rsidP="004C72D6">
      <w:pPr>
        <w:pStyle w:val="Style6"/>
        <w:jc w:val="left"/>
        <w:rPr>
          <w:spacing w:val="6"/>
        </w:rPr>
      </w:pPr>
      <w:r w:rsidRPr="00F63AAC">
        <w:rPr>
          <w:spacing w:val="6"/>
        </w:rPr>
        <w:t xml:space="preserve">1) </w:t>
      </w:r>
      <w:proofErr w:type="spellStart"/>
      <w:r w:rsidRPr="00D93E3A">
        <w:rPr>
          <w:spacing w:val="6"/>
          <w:u w:val="single"/>
        </w:rPr>
        <w:t>Overcompliance</w:t>
      </w:r>
      <w:proofErr w:type="spellEnd"/>
      <w:r w:rsidRPr="00D93E3A">
        <w:rPr>
          <w:spacing w:val="6"/>
          <w:u w:val="single"/>
        </w:rPr>
        <w:t xml:space="preserve"> and </w:t>
      </w:r>
      <w:proofErr w:type="spellStart"/>
      <w:r w:rsidRPr="00D93E3A">
        <w:rPr>
          <w:spacing w:val="6"/>
          <w:u w:val="single"/>
        </w:rPr>
        <w:t>undercompliance</w:t>
      </w:r>
      <w:proofErr w:type="spellEnd"/>
      <w:r w:rsidRPr="00D93E3A">
        <w:rPr>
          <w:spacing w:val="6"/>
          <w:u w:val="single"/>
        </w:rPr>
        <w:t xml:space="preserve"> credits</w:t>
      </w:r>
      <w:r w:rsidRPr="00F63AAC">
        <w:rPr>
          <w:spacing w:val="6"/>
        </w:rPr>
        <w:t xml:space="preserve">, debits, trading and transfers are unchanged, except that a carry forward of more than five years (to 2021) is added for credits that were earned during the initial MY 2010 – 2016 period. </w:t>
      </w:r>
      <w:r w:rsidR="00682FA0">
        <w:rPr>
          <w:spacing w:val="6"/>
        </w:rPr>
        <w:t>Th</w:t>
      </w:r>
      <w:r w:rsidR="005001B8">
        <w:rPr>
          <w:spacing w:val="6"/>
        </w:rPr>
        <w:t>e reporting burden has been revised to account for changes to credits programs, as discussed below.</w:t>
      </w:r>
    </w:p>
    <w:p w:rsidR="00F63AAC" w:rsidRPr="004E7BC2" w:rsidRDefault="00F63AAC" w:rsidP="004C72D6">
      <w:pPr>
        <w:pStyle w:val="Style6"/>
        <w:jc w:val="left"/>
        <w:rPr>
          <w:spacing w:val="6"/>
          <w:highlight w:val="green"/>
        </w:rPr>
      </w:pPr>
    </w:p>
    <w:p w:rsidR="0063217A" w:rsidRDefault="00F83D26" w:rsidP="00F63AAC">
      <w:r w:rsidRPr="00F63AAC">
        <w:rPr>
          <w:spacing w:val="6"/>
        </w:rPr>
        <w:t xml:space="preserve">2) </w:t>
      </w:r>
      <w:r w:rsidRPr="00D93E3A">
        <w:rPr>
          <w:spacing w:val="6"/>
          <w:u w:val="single"/>
        </w:rPr>
        <w:t>Air conditioning improvement tests</w:t>
      </w:r>
      <w:r w:rsidRPr="00F63AAC">
        <w:rPr>
          <w:spacing w:val="6"/>
        </w:rPr>
        <w:t>: the previous CO</w:t>
      </w:r>
      <w:r w:rsidR="00324D77" w:rsidRPr="00324D77">
        <w:rPr>
          <w:spacing w:val="6"/>
          <w:vertAlign w:val="subscript"/>
        </w:rPr>
        <w:t>2</w:t>
      </w:r>
      <w:r w:rsidRPr="00F63AAC">
        <w:rPr>
          <w:spacing w:val="6"/>
        </w:rPr>
        <w:t xml:space="preserve"> credits for emissions, </w:t>
      </w:r>
      <w:r w:rsidR="00D25479">
        <w:rPr>
          <w:spacing w:val="6"/>
        </w:rPr>
        <w:t xml:space="preserve">refrigerant </w:t>
      </w:r>
      <w:r w:rsidRPr="00F63AAC">
        <w:rPr>
          <w:spacing w:val="6"/>
        </w:rPr>
        <w:t>leak</w:t>
      </w:r>
      <w:r w:rsidR="00D25479">
        <w:rPr>
          <w:spacing w:val="6"/>
        </w:rPr>
        <w:t>age</w:t>
      </w:r>
      <w:r w:rsidRPr="00F63AAC">
        <w:rPr>
          <w:spacing w:val="6"/>
        </w:rPr>
        <w:t xml:space="preserve">, and global warming improvements remain. </w:t>
      </w:r>
      <w:r w:rsidR="00267615" w:rsidRPr="00F63AAC">
        <w:rPr>
          <w:spacing w:val="6"/>
        </w:rPr>
        <w:t xml:space="preserve">EPA is incorporating air conditioning improvements in its CO2 standards, leaving manufacturers the option of achieving those standards by applying for the credit or by other means. </w:t>
      </w:r>
      <w:r w:rsidR="00C924B1">
        <w:rPr>
          <w:spacing w:val="6"/>
        </w:rPr>
        <w:t xml:space="preserve">Therefore, </w:t>
      </w:r>
      <w:r w:rsidR="00C924B1" w:rsidRPr="00AA62DA">
        <w:t xml:space="preserve">there is no assumption about how many manufacturers will apply for the credit; the full amount of the </w:t>
      </w:r>
      <w:r w:rsidR="00C924B1">
        <w:t xml:space="preserve">achievable </w:t>
      </w:r>
      <w:r w:rsidR="00C924B1" w:rsidRPr="00AA62DA">
        <w:t xml:space="preserve">reduction is incorporated in the standard, and manufacturers can achieve that reduction </w:t>
      </w:r>
      <w:r w:rsidR="00C924B1">
        <w:t>however</w:t>
      </w:r>
      <w:r w:rsidR="00C924B1" w:rsidRPr="00AA62DA">
        <w:t xml:space="preserve"> they wish.</w:t>
      </w:r>
      <w:r w:rsidR="00C924B1">
        <w:t xml:space="preserve"> </w:t>
      </w:r>
      <w:r w:rsidR="004A48B1">
        <w:t>The analysis in the previous ICR that assume</w:t>
      </w:r>
      <w:r w:rsidR="00B15992">
        <w:t>d</w:t>
      </w:r>
      <w:r w:rsidR="004A48B1">
        <w:t xml:space="preserve"> most </w:t>
      </w:r>
      <w:r w:rsidR="00602A80">
        <w:t xml:space="preserve">or all </w:t>
      </w:r>
      <w:r w:rsidR="004A48B1">
        <w:t xml:space="preserve">manufacturers will apply for the credit is maintained in this ICR. </w:t>
      </w:r>
      <w:r w:rsidR="00C924B1">
        <w:t xml:space="preserve">Minor changes in the leakage credit showing are accounted for in the "familiarization" burden estimate. </w:t>
      </w:r>
      <w:r w:rsidR="00C61310">
        <w:t xml:space="preserve">The </w:t>
      </w:r>
      <w:r w:rsidR="00BF10CC">
        <w:t xml:space="preserve">possible </w:t>
      </w:r>
      <w:r w:rsidR="00C61310">
        <w:t xml:space="preserve">need for </w:t>
      </w:r>
      <w:r w:rsidR="00BF10CC">
        <w:t xml:space="preserve">some </w:t>
      </w:r>
      <w:r w:rsidR="00C61310">
        <w:t xml:space="preserve">manufacturers to upgrade </w:t>
      </w:r>
      <w:r w:rsidR="00C61310" w:rsidRPr="00C61310">
        <w:t>their refrigerant storage facilities and charging stations on the assembly line</w:t>
      </w:r>
      <w:r w:rsidR="00C61310">
        <w:t xml:space="preserve"> in order to comply with the CO</w:t>
      </w:r>
      <w:r w:rsidR="00324D77" w:rsidRPr="00324D77">
        <w:rPr>
          <w:vertAlign w:val="subscript"/>
        </w:rPr>
        <w:t>2</w:t>
      </w:r>
      <w:r w:rsidR="00C61310">
        <w:t xml:space="preserve"> emissions standards to the extent that they incorporate assumptions about use of alternative refrigerants, is regarded as a cost of compliance rather than reporting</w:t>
      </w:r>
      <w:r w:rsidR="00C61310" w:rsidRPr="004A48B1">
        <w:t xml:space="preserve">.  </w:t>
      </w:r>
    </w:p>
    <w:p w:rsidR="0063217A" w:rsidRDefault="0063217A" w:rsidP="00F63AAC"/>
    <w:p w:rsidR="00354466" w:rsidRDefault="00267615">
      <w:pPr>
        <w:ind w:firstLine="720"/>
        <w:rPr>
          <w:color w:val="FF0000"/>
          <w:spacing w:val="6"/>
        </w:rPr>
      </w:pPr>
      <w:r w:rsidRPr="004A48B1">
        <w:lastRenderedPageBreak/>
        <w:t>E</w:t>
      </w:r>
      <w:r w:rsidRPr="00F63AAC">
        <w:t xml:space="preserve">PA is also </w:t>
      </w:r>
      <w:r w:rsidR="00004D1A">
        <w:t xml:space="preserve">finalizing </w:t>
      </w:r>
      <w:r w:rsidRPr="00F63AAC">
        <w:t xml:space="preserve">changes to the </w:t>
      </w:r>
      <w:r w:rsidR="00004D1A">
        <w:t xml:space="preserve">test procedures used for </w:t>
      </w:r>
      <w:r w:rsidR="00245DDF">
        <w:t xml:space="preserve">optional </w:t>
      </w:r>
      <w:r w:rsidR="00004D1A">
        <w:t>A/C</w:t>
      </w:r>
      <w:r w:rsidR="00245DDF">
        <w:t xml:space="preserve"> credits</w:t>
      </w:r>
      <w:r w:rsidR="00004D1A">
        <w:t xml:space="preserve">.  EPA is replacing the </w:t>
      </w:r>
      <w:r w:rsidRPr="00F63AAC">
        <w:t xml:space="preserve">Idle Test </w:t>
      </w:r>
      <w:r w:rsidR="00004D1A">
        <w:t xml:space="preserve">with a new “AC17” test procedure beginning in MY 2017.  The AC17 test procedure is optional prior to MY 2017.  </w:t>
      </w:r>
      <w:r w:rsidR="0063217A">
        <w:t>Beginning in MY 2020, manufacturers will also need to use AC17 testing to demonstrate that the A/C efficiency-improving technologies or systems on which the desired credits are based are indeed reducing CO</w:t>
      </w:r>
      <w:r w:rsidR="0063217A" w:rsidRPr="00C301F5">
        <w:rPr>
          <w:vertAlign w:val="subscript"/>
        </w:rPr>
        <w:t>2</w:t>
      </w:r>
      <w:r w:rsidR="0063217A">
        <w:t xml:space="preserve"> emissions and fuel consumption.  </w:t>
      </w:r>
      <w:r w:rsidR="002206B9">
        <w:rPr>
          <w:spacing w:val="6"/>
        </w:rPr>
        <w:t>Th</w:t>
      </w:r>
      <w:r w:rsidR="00A6458C">
        <w:rPr>
          <w:spacing w:val="6"/>
        </w:rPr>
        <w:t>e AC17</w:t>
      </w:r>
      <w:r w:rsidR="002206B9">
        <w:rPr>
          <w:spacing w:val="6"/>
        </w:rPr>
        <w:t xml:space="preserve"> </w:t>
      </w:r>
      <w:r w:rsidR="00B3387F">
        <w:rPr>
          <w:spacing w:val="6"/>
        </w:rPr>
        <w:t>test</w:t>
      </w:r>
      <w:r w:rsidR="002206B9">
        <w:rPr>
          <w:spacing w:val="6"/>
        </w:rPr>
        <w:t xml:space="preserve"> is more expensive from a testing and paperwork standpoint but only applies to "platforms", a smaller class than "test groups" so that, depending on the number of platforms </w:t>
      </w:r>
      <w:r w:rsidR="00D97B2C">
        <w:rPr>
          <w:spacing w:val="6"/>
        </w:rPr>
        <w:t>tested</w:t>
      </w:r>
      <w:r w:rsidR="00116F92">
        <w:rPr>
          <w:spacing w:val="6"/>
        </w:rPr>
        <w:t>, it</w:t>
      </w:r>
      <w:r w:rsidR="002206B9">
        <w:rPr>
          <w:spacing w:val="6"/>
        </w:rPr>
        <w:t xml:space="preserve"> could either increase or decrease the testing burden associated with the A/C credit.</w:t>
      </w:r>
      <w:r w:rsidR="007A76BA">
        <w:rPr>
          <w:spacing w:val="6"/>
        </w:rPr>
        <w:t xml:space="preserve">  In response to manufacturer comments, EPA adopted some relatively minor </w:t>
      </w:r>
      <w:r w:rsidR="007A76BA">
        <w:t>technical changes</w:t>
      </w:r>
      <w:r w:rsidR="007A76BA" w:rsidRPr="007A76BA">
        <w:t xml:space="preserve"> </w:t>
      </w:r>
      <w:r w:rsidR="007A76BA" w:rsidRPr="005A06EC">
        <w:t xml:space="preserve">that EPA agrees will </w:t>
      </w:r>
      <w:r w:rsidR="007A76BA">
        <w:t>make performance of the test more efficient, with</w:t>
      </w:r>
      <w:r w:rsidR="007A76BA" w:rsidRPr="005A06EC">
        <w:t xml:space="preserve"> no appreciable effect on test accuracy</w:t>
      </w:r>
      <w:r w:rsidR="007A76BA">
        <w:t xml:space="preserve"> </w:t>
      </w:r>
      <w:r w:rsidR="007A76BA" w:rsidRPr="005A06EC">
        <w:t>includ</w:t>
      </w:r>
      <w:r w:rsidR="007A76BA">
        <w:t>ing</w:t>
      </w:r>
      <w:r w:rsidR="007A76BA" w:rsidRPr="005A06EC">
        <w:t xml:space="preserve"> provisions relating to:  </w:t>
      </w:r>
      <w:r w:rsidR="007A76BA">
        <w:t xml:space="preserve">the points during the test when </w:t>
      </w:r>
      <w:r w:rsidR="007A76BA" w:rsidRPr="005A06EC">
        <w:t xml:space="preserve">cell solar lamps are </w:t>
      </w:r>
      <w:r w:rsidR="007A76BA">
        <w:t xml:space="preserve">turned </w:t>
      </w:r>
      <w:r w:rsidR="007A76BA" w:rsidRPr="005A06EC">
        <w:t>on</w:t>
      </w:r>
      <w:r w:rsidR="007A76BA">
        <w:t>;</w:t>
      </w:r>
      <w:r w:rsidR="007A76BA" w:rsidRPr="005A06EC">
        <w:t xml:space="preserve"> </w:t>
      </w:r>
      <w:r w:rsidR="007A76BA">
        <w:t xml:space="preserve">establishing a specification for </w:t>
      </w:r>
      <w:r w:rsidR="007A76BA" w:rsidRPr="005A06EC">
        <w:t>test cell wind speed</w:t>
      </w:r>
      <w:r w:rsidR="007A76BA">
        <w:t>;</w:t>
      </w:r>
      <w:r w:rsidR="007A76BA" w:rsidRPr="005A06EC">
        <w:t xml:space="preserve"> and </w:t>
      </w:r>
      <w:r w:rsidR="007A76BA">
        <w:t>a simplific</w:t>
      </w:r>
      <w:r w:rsidR="00541DBD">
        <w:t>ation of the placement requirements for ambient temperature sensors in the passenger cabin.</w:t>
      </w:r>
      <w:r w:rsidR="007A76BA">
        <w:rPr>
          <w:spacing w:val="6"/>
        </w:rPr>
        <w:t xml:space="preserve"> </w:t>
      </w:r>
      <w:r w:rsidR="002206B9">
        <w:rPr>
          <w:spacing w:val="6"/>
        </w:rPr>
        <w:t xml:space="preserve"> Th</w:t>
      </w:r>
      <w:r w:rsidR="007A76BA">
        <w:rPr>
          <w:spacing w:val="6"/>
        </w:rPr>
        <w:t>e AC17 test</w:t>
      </w:r>
      <w:r w:rsidR="002206B9">
        <w:rPr>
          <w:spacing w:val="6"/>
        </w:rPr>
        <w:t xml:space="preserve"> is reflected in an increased range of the high and low estimates for this paperwork cost item</w:t>
      </w:r>
      <w:r w:rsidR="00116F92">
        <w:rPr>
          <w:spacing w:val="6"/>
        </w:rPr>
        <w:t xml:space="preserve"> in this ICR</w:t>
      </w:r>
      <w:r w:rsidR="000266EC">
        <w:rPr>
          <w:spacing w:val="6"/>
        </w:rPr>
        <w:t xml:space="preserve">, while the underlying cost assumptions </w:t>
      </w:r>
      <w:r w:rsidR="00B3387F">
        <w:rPr>
          <w:spacing w:val="6"/>
        </w:rPr>
        <w:t>for A</w:t>
      </w:r>
      <w:r w:rsidR="00682FA0">
        <w:rPr>
          <w:spacing w:val="6"/>
        </w:rPr>
        <w:t>/</w:t>
      </w:r>
      <w:r w:rsidR="00B3387F">
        <w:rPr>
          <w:spacing w:val="6"/>
        </w:rPr>
        <w:t>C testing</w:t>
      </w:r>
      <w:r w:rsidR="000266EC">
        <w:rPr>
          <w:spacing w:val="6"/>
        </w:rPr>
        <w:t xml:space="preserve"> are retained</w:t>
      </w:r>
      <w:r w:rsidR="002206B9">
        <w:rPr>
          <w:spacing w:val="6"/>
        </w:rPr>
        <w:t xml:space="preserve">. </w:t>
      </w:r>
    </w:p>
    <w:p w:rsidR="002C7EA1" w:rsidRPr="004E7BC2" w:rsidRDefault="002C7EA1" w:rsidP="004C72D6">
      <w:pPr>
        <w:pStyle w:val="Style6"/>
        <w:jc w:val="left"/>
        <w:rPr>
          <w:spacing w:val="6"/>
          <w:highlight w:val="green"/>
        </w:rPr>
      </w:pPr>
    </w:p>
    <w:p w:rsidR="00044D5B" w:rsidRDefault="00044D5B" w:rsidP="00044D5B">
      <w:pPr>
        <w:pStyle w:val="Style6"/>
        <w:ind w:firstLine="720"/>
        <w:jc w:val="left"/>
        <w:rPr>
          <w:spacing w:val="6"/>
        </w:rPr>
      </w:pPr>
      <w:r>
        <w:rPr>
          <w:spacing w:val="6"/>
        </w:rPr>
        <w:t xml:space="preserve">EPA received comments </w:t>
      </w:r>
      <w:r w:rsidR="0063217A">
        <w:rPr>
          <w:spacing w:val="6"/>
        </w:rPr>
        <w:t xml:space="preserve">from manufacturers </w:t>
      </w:r>
      <w:r w:rsidR="00140AB5">
        <w:rPr>
          <w:spacing w:val="6"/>
        </w:rPr>
        <w:t xml:space="preserve">during the comment period for the rulemaking </w:t>
      </w:r>
      <w:r w:rsidR="0063217A">
        <w:rPr>
          <w:spacing w:val="6"/>
        </w:rPr>
        <w:t xml:space="preserve">raising concerns </w:t>
      </w:r>
      <w:r>
        <w:rPr>
          <w:spacing w:val="6"/>
        </w:rPr>
        <w:t>regarding the number of AC17 test</w:t>
      </w:r>
      <w:r w:rsidR="006307F8">
        <w:rPr>
          <w:spacing w:val="6"/>
        </w:rPr>
        <w:t>s</w:t>
      </w:r>
      <w:r>
        <w:rPr>
          <w:spacing w:val="6"/>
        </w:rPr>
        <w:t xml:space="preserve"> that would be required. </w:t>
      </w:r>
      <w:r>
        <w:t>In response to these concerns, EPA has taken several steps in th</w:t>
      </w:r>
      <w:r w:rsidR="0063217A">
        <w:t>e</w:t>
      </w:r>
      <w:r>
        <w:t xml:space="preserve"> final rule to clarify how a manufacturer will be able to use the AC17 </w:t>
      </w:r>
      <w:r w:rsidR="006307F8">
        <w:t xml:space="preserve">test </w:t>
      </w:r>
      <w:r>
        <w:t xml:space="preserve">to demonstrate the effectiveness of its different A/C systems and technologies while minimizing the number of tests that it will need to perform.  In general, EPA believes that it is appropriate to limit the number of vehicles a manufacturer must test in any given model year to no more than one vehicle from each platform that generates credits (and CAFE improvement values) during each model year.  </w:t>
      </w:r>
      <w:r>
        <w:rPr>
          <w:spacing w:val="6"/>
        </w:rPr>
        <w:t>EPA is also clarifying the</w:t>
      </w:r>
      <w:r>
        <w:t xml:space="preserve"> definition of “platform” in addition to more clearly limiting testing to one test per platform per year</w:t>
      </w:r>
      <w:r w:rsidR="00A6261B">
        <w:t>.</w:t>
      </w:r>
      <w:r>
        <w:t xml:space="preserve"> Finally, in order to further minimize the number of tests that will be required for A/C efficiency credit purposes, instead of requiring replicate testing in all cases, EPA will allow a manufacturer to submit data from as few as one AC17 test for each instance in which testing is required.</w:t>
      </w:r>
      <w:r w:rsidR="003119C6">
        <w:t xml:space="preserve">  </w:t>
      </w:r>
      <w:r w:rsidR="00A6261B">
        <w:t xml:space="preserve">EPA believes that these changes address the manufacturers’ concerns about unreasonable test burdens.  </w:t>
      </w:r>
      <w:r w:rsidR="00A6261B">
        <w:rPr>
          <w:spacing w:val="6"/>
        </w:rPr>
        <w:t xml:space="preserve"> </w:t>
      </w:r>
    </w:p>
    <w:p w:rsidR="00044D5B" w:rsidRDefault="00044D5B" w:rsidP="00F63AAC">
      <w:pPr>
        <w:pStyle w:val="Style6"/>
        <w:jc w:val="left"/>
        <w:rPr>
          <w:spacing w:val="6"/>
        </w:rPr>
      </w:pPr>
    </w:p>
    <w:p w:rsidR="00F63AAC" w:rsidRDefault="00F30380" w:rsidP="00F63AAC">
      <w:pPr>
        <w:pStyle w:val="Style6"/>
        <w:jc w:val="left"/>
        <w:rPr>
          <w:spacing w:val="6"/>
        </w:rPr>
      </w:pPr>
      <w:r w:rsidRPr="008F197E">
        <w:rPr>
          <w:spacing w:val="6"/>
        </w:rPr>
        <w:t xml:space="preserve">3) </w:t>
      </w:r>
      <w:r w:rsidRPr="00D93E3A">
        <w:rPr>
          <w:spacing w:val="6"/>
          <w:u w:val="single"/>
        </w:rPr>
        <w:t>Off-cycle credits</w:t>
      </w:r>
      <w:r w:rsidRPr="008F197E">
        <w:rPr>
          <w:spacing w:val="6"/>
        </w:rPr>
        <w:t xml:space="preserve"> are continued, </w:t>
      </w:r>
      <w:r w:rsidR="00951171" w:rsidRPr="008F197E">
        <w:rPr>
          <w:spacing w:val="6"/>
        </w:rPr>
        <w:t xml:space="preserve">but with </w:t>
      </w:r>
      <w:r w:rsidR="008F197E" w:rsidRPr="008F197E">
        <w:rPr>
          <w:spacing w:val="6"/>
        </w:rPr>
        <w:t xml:space="preserve">a </w:t>
      </w:r>
      <w:r w:rsidR="00951171" w:rsidRPr="008F197E">
        <w:rPr>
          <w:spacing w:val="6"/>
        </w:rPr>
        <w:t>simplified approval process for some of the relevant technologies</w:t>
      </w:r>
      <w:r w:rsidR="00FD042B" w:rsidRPr="008F197E">
        <w:rPr>
          <w:spacing w:val="6"/>
        </w:rPr>
        <w:t xml:space="preserve"> </w:t>
      </w:r>
      <w:r w:rsidR="007D2C3E" w:rsidRPr="008F197E">
        <w:rPr>
          <w:spacing w:val="6"/>
        </w:rPr>
        <w:t>(defined technologies qualify for the credits given adequate penetration of the manufacturer's fleet</w:t>
      </w:r>
      <w:r w:rsidR="003C1F97">
        <w:rPr>
          <w:spacing w:val="6"/>
        </w:rPr>
        <w:t xml:space="preserve"> subject to a combined </w:t>
      </w:r>
      <w:r w:rsidR="00C3672B">
        <w:rPr>
          <w:spacing w:val="6"/>
        </w:rPr>
        <w:t xml:space="preserve">manufacturer </w:t>
      </w:r>
      <w:r w:rsidR="003C1F97">
        <w:rPr>
          <w:spacing w:val="6"/>
        </w:rPr>
        <w:t xml:space="preserve">fleet credit cap and with minimum penetration requirements for </w:t>
      </w:r>
      <w:r w:rsidR="00AE05D3">
        <w:rPr>
          <w:spacing w:val="6"/>
        </w:rPr>
        <w:t>certain technologies</w:t>
      </w:r>
      <w:r w:rsidR="007D2C3E" w:rsidRPr="008F197E">
        <w:rPr>
          <w:spacing w:val="6"/>
        </w:rPr>
        <w:t xml:space="preserve">) starting </w:t>
      </w:r>
      <w:r w:rsidR="00FD042B" w:rsidRPr="008F197E">
        <w:rPr>
          <w:spacing w:val="6"/>
        </w:rPr>
        <w:t>with MY 201</w:t>
      </w:r>
      <w:r w:rsidR="00AB5AEA">
        <w:rPr>
          <w:spacing w:val="6"/>
        </w:rPr>
        <w:t>4</w:t>
      </w:r>
      <w:r w:rsidR="00FD042B" w:rsidRPr="008F197E">
        <w:rPr>
          <w:spacing w:val="6"/>
        </w:rPr>
        <w:t xml:space="preserve"> </w:t>
      </w:r>
      <w:r w:rsidR="0096209F" w:rsidRPr="008F197E">
        <w:rPr>
          <w:spacing w:val="6"/>
        </w:rPr>
        <w:t>and altered eligibility criteria in other cases</w:t>
      </w:r>
      <w:r w:rsidR="00FD042B" w:rsidRPr="008F197E">
        <w:rPr>
          <w:spacing w:val="6"/>
        </w:rPr>
        <w:t xml:space="preserve"> beginning in </w:t>
      </w:r>
      <w:r w:rsidR="00AE05D3">
        <w:rPr>
          <w:spacing w:val="6"/>
        </w:rPr>
        <w:t xml:space="preserve">MY </w:t>
      </w:r>
      <w:r w:rsidR="00FD042B" w:rsidRPr="008F197E">
        <w:rPr>
          <w:spacing w:val="6"/>
        </w:rPr>
        <w:t>2012</w:t>
      </w:r>
      <w:r w:rsidR="00951171" w:rsidRPr="008F197E">
        <w:rPr>
          <w:spacing w:val="6"/>
        </w:rPr>
        <w:t xml:space="preserve">. </w:t>
      </w:r>
      <w:r w:rsidR="005F2E12">
        <w:rPr>
          <w:spacing w:val="6"/>
        </w:rPr>
        <w:t>T</w:t>
      </w:r>
      <w:r w:rsidR="00DA5D61">
        <w:rPr>
          <w:spacing w:val="6"/>
        </w:rPr>
        <w:t xml:space="preserve">he </w:t>
      </w:r>
      <w:r w:rsidR="00D679AE">
        <w:rPr>
          <w:spacing w:val="6"/>
        </w:rPr>
        <w:t>default</w:t>
      </w:r>
      <w:r w:rsidR="00DA5D61">
        <w:rPr>
          <w:spacing w:val="6"/>
        </w:rPr>
        <w:t xml:space="preserve"> </w:t>
      </w:r>
      <w:r w:rsidR="00F63AAC">
        <w:rPr>
          <w:spacing w:val="6"/>
        </w:rPr>
        <w:t xml:space="preserve">off-cycle credit requires running three 5-cycle tests with and without the technology along with an engineering analysis </w:t>
      </w:r>
      <w:r w:rsidR="00D679AE">
        <w:rPr>
          <w:spacing w:val="6"/>
        </w:rPr>
        <w:t>to support the credit application; a</w:t>
      </w:r>
      <w:r w:rsidR="00C3672B">
        <w:rPr>
          <w:spacing w:val="6"/>
        </w:rPr>
        <w:t xml:space="preserve">n alternative </w:t>
      </w:r>
      <w:r w:rsidR="00D679AE">
        <w:rPr>
          <w:spacing w:val="6"/>
        </w:rPr>
        <w:t xml:space="preserve">demonstration methodology can be requested based on submission of supporting information. The </w:t>
      </w:r>
      <w:r w:rsidR="00495CDE">
        <w:rPr>
          <w:spacing w:val="6"/>
        </w:rPr>
        <w:t xml:space="preserve">MY 2017-2025 final rule </w:t>
      </w:r>
      <w:r w:rsidR="00D679AE">
        <w:rPr>
          <w:spacing w:val="6"/>
        </w:rPr>
        <w:t xml:space="preserve">adds a list of defined technologies </w:t>
      </w:r>
      <w:r w:rsidR="005F2E12">
        <w:rPr>
          <w:spacing w:val="6"/>
        </w:rPr>
        <w:t xml:space="preserve">that are pre-approved for credits </w:t>
      </w:r>
      <w:r w:rsidR="00D679AE">
        <w:rPr>
          <w:spacing w:val="6"/>
        </w:rPr>
        <w:t xml:space="preserve">starting with </w:t>
      </w:r>
      <w:r w:rsidR="00E71720">
        <w:rPr>
          <w:spacing w:val="6"/>
        </w:rPr>
        <w:t xml:space="preserve">MY </w:t>
      </w:r>
      <w:r w:rsidR="00D679AE">
        <w:rPr>
          <w:spacing w:val="6"/>
        </w:rPr>
        <w:t>201</w:t>
      </w:r>
      <w:r w:rsidR="00495CDE">
        <w:rPr>
          <w:spacing w:val="6"/>
        </w:rPr>
        <w:t>4</w:t>
      </w:r>
      <w:r w:rsidR="00D679AE">
        <w:rPr>
          <w:spacing w:val="6"/>
        </w:rPr>
        <w:t xml:space="preserve">, with manufacturer fleet-wide caps on the amount of the credit. For the </w:t>
      </w:r>
      <w:r w:rsidR="00E71720">
        <w:rPr>
          <w:spacing w:val="6"/>
        </w:rPr>
        <w:t xml:space="preserve">MY </w:t>
      </w:r>
      <w:r w:rsidR="00D679AE">
        <w:rPr>
          <w:spacing w:val="6"/>
        </w:rPr>
        <w:t xml:space="preserve">2012 – 2016 period, there are changes in the criteria and </w:t>
      </w:r>
      <w:r w:rsidR="00F63AAC">
        <w:rPr>
          <w:spacing w:val="6"/>
        </w:rPr>
        <w:t xml:space="preserve">possible additional </w:t>
      </w:r>
      <w:r w:rsidR="00DA5D61">
        <w:rPr>
          <w:spacing w:val="6"/>
        </w:rPr>
        <w:t xml:space="preserve">or alternative </w:t>
      </w:r>
      <w:r w:rsidR="00F63AAC">
        <w:rPr>
          <w:spacing w:val="6"/>
        </w:rPr>
        <w:t xml:space="preserve">tests. </w:t>
      </w:r>
      <w:r w:rsidR="00D679AE">
        <w:rPr>
          <w:spacing w:val="6"/>
        </w:rPr>
        <w:t>Applying for the credit</w:t>
      </w:r>
      <w:r w:rsidR="00F63AAC">
        <w:rPr>
          <w:spacing w:val="6"/>
        </w:rPr>
        <w:t xml:space="preserve"> is presumably less burdensome </w:t>
      </w:r>
      <w:r w:rsidR="00DA5D61">
        <w:rPr>
          <w:spacing w:val="6"/>
        </w:rPr>
        <w:t xml:space="preserve">from a compliance standpoint </w:t>
      </w:r>
      <w:r w:rsidR="00F63AAC">
        <w:rPr>
          <w:spacing w:val="6"/>
        </w:rPr>
        <w:lastRenderedPageBreak/>
        <w:t xml:space="preserve">than not qualifying for the credit, for those who choose to qualify. </w:t>
      </w:r>
      <w:r w:rsidR="00DA5D61">
        <w:rPr>
          <w:spacing w:val="6"/>
        </w:rPr>
        <w:t>Off-cycle components generating credits are subject to all in-use requirements, including durability testing, defect reporting, warranty, and recall. A</w:t>
      </w:r>
      <w:r w:rsidR="00F63AAC">
        <w:rPr>
          <w:spacing w:val="6"/>
        </w:rPr>
        <w:t xml:space="preserve">ssumption about the class of manufacturers and number of tests that would fall under </w:t>
      </w:r>
      <w:r w:rsidR="00DA5D61">
        <w:rPr>
          <w:spacing w:val="6"/>
        </w:rPr>
        <w:t>each</w:t>
      </w:r>
      <w:r w:rsidR="00F63AAC">
        <w:rPr>
          <w:spacing w:val="6"/>
        </w:rPr>
        <w:t xml:space="preserve"> variant</w:t>
      </w:r>
      <w:r w:rsidR="00DA5D61">
        <w:rPr>
          <w:spacing w:val="6"/>
        </w:rPr>
        <w:t xml:space="preserve"> are unwarranted at this time</w:t>
      </w:r>
      <w:r w:rsidR="00F63AAC">
        <w:rPr>
          <w:spacing w:val="6"/>
        </w:rPr>
        <w:t>.</w:t>
      </w:r>
      <w:r w:rsidR="00DA5D61">
        <w:rPr>
          <w:spacing w:val="6"/>
        </w:rPr>
        <w:t xml:space="preserve"> A step-by-ste</w:t>
      </w:r>
      <w:r w:rsidR="00AE05D3">
        <w:rPr>
          <w:spacing w:val="6"/>
        </w:rPr>
        <w:t>p</w:t>
      </w:r>
      <w:r w:rsidR="00DA5D61">
        <w:rPr>
          <w:spacing w:val="6"/>
        </w:rPr>
        <w:t xml:space="preserve"> review process for 2012 on is spelled out </w:t>
      </w:r>
      <w:r w:rsidR="009073B9">
        <w:rPr>
          <w:spacing w:val="6"/>
        </w:rPr>
        <w:t xml:space="preserve">to qualify and apply </w:t>
      </w:r>
      <w:r w:rsidR="00DA5D61">
        <w:rPr>
          <w:spacing w:val="6"/>
        </w:rPr>
        <w:t xml:space="preserve">for these credits. </w:t>
      </w:r>
      <w:r w:rsidR="00AF2413">
        <w:rPr>
          <w:spacing w:val="6"/>
        </w:rPr>
        <w:t>EPA has added an incremental reporting burden associated with the credits programs, as discussed below</w:t>
      </w:r>
      <w:r w:rsidR="00034304">
        <w:rPr>
          <w:spacing w:val="6"/>
        </w:rPr>
        <w:t xml:space="preserve">.   </w:t>
      </w:r>
    </w:p>
    <w:p w:rsidR="00BF10E4" w:rsidRPr="004E7BC2" w:rsidRDefault="00BF10E4" w:rsidP="004C72D6">
      <w:pPr>
        <w:pStyle w:val="Style6"/>
        <w:jc w:val="left"/>
        <w:rPr>
          <w:spacing w:val="6"/>
          <w:highlight w:val="green"/>
        </w:rPr>
      </w:pPr>
    </w:p>
    <w:p w:rsidR="003B2CBD" w:rsidRDefault="00BF10E4" w:rsidP="004C72D6">
      <w:pPr>
        <w:pStyle w:val="Style6"/>
        <w:jc w:val="left"/>
      </w:pPr>
      <w:r w:rsidRPr="000872DA">
        <w:rPr>
          <w:spacing w:val="6"/>
        </w:rPr>
        <w:t xml:space="preserve">4) </w:t>
      </w:r>
      <w:r w:rsidR="00C90442" w:rsidRPr="000872DA">
        <w:rPr>
          <w:spacing w:val="6"/>
        </w:rPr>
        <w:t>Various n</w:t>
      </w:r>
      <w:r w:rsidRPr="000872DA">
        <w:rPr>
          <w:spacing w:val="6"/>
        </w:rPr>
        <w:t xml:space="preserve">ew </w:t>
      </w:r>
      <w:r w:rsidRPr="00D93E3A">
        <w:rPr>
          <w:spacing w:val="6"/>
          <w:u w:val="single"/>
        </w:rPr>
        <w:t>incentive multipliers</w:t>
      </w:r>
      <w:r w:rsidRPr="000872DA">
        <w:rPr>
          <w:spacing w:val="6"/>
        </w:rPr>
        <w:t xml:space="preserve"> </w:t>
      </w:r>
      <w:r w:rsidR="005F2E12">
        <w:rPr>
          <w:spacing w:val="6"/>
        </w:rPr>
        <w:t xml:space="preserve">are added </w:t>
      </w:r>
      <w:r w:rsidRPr="000872DA">
        <w:rPr>
          <w:spacing w:val="6"/>
        </w:rPr>
        <w:t xml:space="preserve">for </w:t>
      </w:r>
      <w:r w:rsidRPr="000872DA">
        <w:t>electric vehicles (EVs), plug-in hybrid electric vehicles (PHEVs), fuel cell vehicles (FCVs)</w:t>
      </w:r>
      <w:r w:rsidR="00C90442" w:rsidRPr="000872DA">
        <w:t xml:space="preserve"> </w:t>
      </w:r>
      <w:r w:rsidR="00495CDE">
        <w:t xml:space="preserve">and natural gas vehicles, </w:t>
      </w:r>
      <w:r w:rsidR="00C90442" w:rsidRPr="000872DA">
        <w:t>for MY 2017 through 202</w:t>
      </w:r>
      <w:r w:rsidR="002E3B8C" w:rsidRPr="000872DA">
        <w:t>1</w:t>
      </w:r>
      <w:r w:rsidR="00C90442">
        <w:t xml:space="preserve"> that would allow each of these vehicles to “count” as more than one vehicle in the manufacturer’s compliance calculation</w:t>
      </w:r>
      <w:r w:rsidR="00150FFC">
        <w:t xml:space="preserve"> </w:t>
      </w:r>
      <w:r w:rsidR="00042A36">
        <w:t>(</w:t>
      </w:r>
      <w:r w:rsidR="00E158C6">
        <w:t xml:space="preserve">The </w:t>
      </w:r>
      <w:r w:rsidR="000C1307">
        <w:t xml:space="preserve">0 gram per mile compliance value </w:t>
      </w:r>
      <w:r w:rsidR="00042A36">
        <w:t xml:space="preserve">incentive </w:t>
      </w:r>
      <w:r w:rsidR="00E158C6">
        <w:t>from the prior rule is continued</w:t>
      </w:r>
      <w:r w:rsidR="00042A36">
        <w:t xml:space="preserve">, but without </w:t>
      </w:r>
      <w:r w:rsidR="00C3672B">
        <w:t>the</w:t>
      </w:r>
      <w:r w:rsidR="00042A36">
        <w:t xml:space="preserve"> production cap</w:t>
      </w:r>
      <w:r w:rsidR="00C90442">
        <w:t xml:space="preserve"> for MY2017 – 2021</w:t>
      </w:r>
      <w:r w:rsidR="00E158C6">
        <w:t>.</w:t>
      </w:r>
      <w:r w:rsidR="005B3C76" w:rsidRPr="005B3C76">
        <w:t xml:space="preserve"> </w:t>
      </w:r>
      <w:r w:rsidR="005B3C76">
        <w:t xml:space="preserve"> For MY 2022 through 2025, EPA is </w:t>
      </w:r>
      <w:r w:rsidR="00495CDE">
        <w:t xml:space="preserve">finalizing </w:t>
      </w:r>
      <w:r w:rsidR="00150FFC">
        <w:t xml:space="preserve">that </w:t>
      </w:r>
      <w:r w:rsidR="005B3C76">
        <w:t xml:space="preserve">the 0 grams per mile compliance incentive </w:t>
      </w:r>
      <w:r w:rsidR="00150FFC">
        <w:t xml:space="preserve">will apply </w:t>
      </w:r>
      <w:r w:rsidR="005B3C76">
        <w:t>up to a per-company cumulative production cap threshold for those model years.</w:t>
      </w:r>
      <w:r w:rsidR="00042A36">
        <w:t xml:space="preserve">) </w:t>
      </w:r>
      <w:r w:rsidR="005B3C76">
        <w:t>Since the credit in all these cases is based on production figures that are rep</w:t>
      </w:r>
      <w:r w:rsidR="000062EF">
        <w:t>orted anyway as part of the end-of-</w:t>
      </w:r>
      <w:r w:rsidR="005B3C76">
        <w:t xml:space="preserve">year report, the </w:t>
      </w:r>
      <w:r w:rsidR="00A6458C">
        <w:t xml:space="preserve">small </w:t>
      </w:r>
      <w:r w:rsidR="005B3C76">
        <w:t xml:space="preserve">paperwork burden </w:t>
      </w:r>
      <w:r w:rsidR="00A6458C">
        <w:t>addressed in the prior ICR is</w:t>
      </w:r>
      <w:r w:rsidR="005B3C76">
        <w:t xml:space="preserve"> </w:t>
      </w:r>
      <w:r w:rsidR="00C3672B">
        <w:t>small</w:t>
      </w:r>
      <w:r w:rsidR="005B3C76">
        <w:t xml:space="preserve">. </w:t>
      </w:r>
      <w:r w:rsidR="00150FFC">
        <w:t xml:space="preserve">However, </w:t>
      </w:r>
      <w:r w:rsidR="007A0CCC">
        <w:t xml:space="preserve">new </w:t>
      </w:r>
      <w:r w:rsidR="00150FFC">
        <w:t xml:space="preserve">data would need to be submitted for production over </w:t>
      </w:r>
      <w:r w:rsidR="00343CA3">
        <w:t xml:space="preserve">a manufacturer's </w:t>
      </w:r>
      <w:r w:rsidR="00150FFC">
        <w:t xml:space="preserve">cap, </w:t>
      </w:r>
      <w:r w:rsidR="0015381C">
        <w:t xml:space="preserve">if any, </w:t>
      </w:r>
      <w:r w:rsidR="00150FFC">
        <w:t xml:space="preserve">in order to calculate the </w:t>
      </w:r>
      <w:r w:rsidR="00343CA3">
        <w:t>GHG compliance level taking into account upstream emissions.</w:t>
      </w:r>
      <w:r w:rsidR="0015381C">
        <w:t xml:space="preserve">ICR considers the production caps for the period </w:t>
      </w:r>
      <w:r w:rsidR="00050693">
        <w:t>2022-2025</w:t>
      </w:r>
      <w:r w:rsidR="0015381C">
        <w:t xml:space="preserve"> unlikely to be exceeded.</w:t>
      </w:r>
      <w:r w:rsidR="00484666">
        <w:t xml:space="preserve"> </w:t>
      </w:r>
      <w:r w:rsidR="00AF2413">
        <w:t xml:space="preserve">  EPA has included an incremental reporting burden associated with the credits programs, as discussed below.</w:t>
      </w:r>
    </w:p>
    <w:p w:rsidR="007A0CCC" w:rsidRPr="004E7BC2" w:rsidRDefault="007A0CCC" w:rsidP="004C72D6">
      <w:pPr>
        <w:pStyle w:val="Style6"/>
        <w:jc w:val="left"/>
        <w:rPr>
          <w:highlight w:val="green"/>
        </w:rPr>
      </w:pPr>
    </w:p>
    <w:p w:rsidR="003B2CBD" w:rsidRDefault="003B2CBD" w:rsidP="004C72D6">
      <w:pPr>
        <w:pStyle w:val="Style6"/>
        <w:jc w:val="left"/>
      </w:pPr>
      <w:r w:rsidRPr="00F4485D">
        <w:t xml:space="preserve">5) </w:t>
      </w:r>
      <w:r w:rsidRPr="00D93E3A">
        <w:rPr>
          <w:u w:val="single"/>
        </w:rPr>
        <w:t>Incentive for Game Changing Technologies</w:t>
      </w:r>
      <w:r w:rsidRPr="00F4485D">
        <w:t>: a new CO</w:t>
      </w:r>
      <w:r w:rsidR="00324D77" w:rsidRPr="00324D77">
        <w:rPr>
          <w:vertAlign w:val="subscript"/>
        </w:rPr>
        <w:t>2</w:t>
      </w:r>
      <w:r w:rsidRPr="00F4485D">
        <w:t xml:space="preserve"> credit in the GHG program for manufacturers that employ significant quantities of hybridization on full size pickup trucks, by including a per-vehicle CO</w:t>
      </w:r>
      <w:r w:rsidR="00324D77" w:rsidRPr="00324D77">
        <w:rPr>
          <w:vertAlign w:val="subscript"/>
        </w:rPr>
        <w:t>2</w:t>
      </w:r>
      <w:r w:rsidRPr="00F4485D">
        <w:t xml:space="preserve"> credit available for mild and strong hybrid electric vehicles (HEVs).  The credit requires a showing of market penetration. </w:t>
      </w:r>
      <w:r w:rsidR="002F4409" w:rsidRPr="00F4485D">
        <w:t xml:space="preserve">EPA is also </w:t>
      </w:r>
      <w:r w:rsidR="00495CDE">
        <w:t>finalizing</w:t>
      </w:r>
      <w:r w:rsidR="00495CDE" w:rsidRPr="00F4485D">
        <w:t xml:space="preserve"> </w:t>
      </w:r>
      <w:r w:rsidR="002F4409" w:rsidRPr="00F4485D">
        <w:t>a performance-based incentive CO</w:t>
      </w:r>
      <w:r w:rsidR="002F4409" w:rsidRPr="00F4485D">
        <w:rPr>
          <w:vertAlign w:val="subscript"/>
        </w:rPr>
        <w:t>2</w:t>
      </w:r>
      <w:r w:rsidR="002F4409" w:rsidRPr="00F4485D">
        <w:t xml:space="preserve"> emissions credit for full size pickup trucks that achieve a significant CO</w:t>
      </w:r>
      <w:r w:rsidR="002F4409" w:rsidRPr="00F4485D">
        <w:rPr>
          <w:vertAlign w:val="subscript"/>
        </w:rPr>
        <w:t>2</w:t>
      </w:r>
      <w:r w:rsidR="002F4409" w:rsidRPr="00F4485D">
        <w:t xml:space="preserve"> reduction through technologies other than hybrid systems.</w:t>
      </w:r>
      <w:r w:rsidR="002F4409">
        <w:t xml:space="preserve"> </w:t>
      </w:r>
      <w:r w:rsidR="00E768B8">
        <w:t>Both begin with MY 2017</w:t>
      </w:r>
      <w:r w:rsidR="00AE05D3">
        <w:t>.</w:t>
      </w:r>
      <w:r w:rsidR="00E768B8">
        <w:t xml:space="preserve"> </w:t>
      </w:r>
      <w:r w:rsidR="00735161">
        <w:t xml:space="preserve">The main paperwork burden associated with these provisions is showing that the vehicles in question qualify, which is a simple matter of definition, and showing that the market penetration </w:t>
      </w:r>
      <w:r w:rsidR="00B1591D">
        <w:t>requirements (</w:t>
      </w:r>
      <w:r w:rsidR="00B1591D" w:rsidRPr="00A0061D">
        <w:t xml:space="preserve">a minimum percentage of a manufacturer’s </w:t>
      </w:r>
      <w:r w:rsidR="00B1591D">
        <w:t xml:space="preserve">full-size </w:t>
      </w:r>
      <w:r w:rsidR="00B1591D" w:rsidRPr="00A0061D">
        <w:t>pickup trucks</w:t>
      </w:r>
      <w:r w:rsidR="00B1591D">
        <w:t xml:space="preserve">) </w:t>
      </w:r>
      <w:r w:rsidR="00735161">
        <w:t>have been met, which is a matter of sales records, which are already reported</w:t>
      </w:r>
      <w:r w:rsidR="00D66BE7">
        <w:t>, or that performance fits the criteria based on testing that is required anyway</w:t>
      </w:r>
      <w:r w:rsidR="00735161">
        <w:t>.</w:t>
      </w:r>
      <w:r w:rsidR="00AF2413">
        <w:t xml:space="preserve">  EPA has included an incremental reporting burden associated with the credits programs, as discussed below</w:t>
      </w:r>
    </w:p>
    <w:p w:rsidR="0029277F" w:rsidRDefault="0029277F" w:rsidP="004C72D6">
      <w:pPr>
        <w:pStyle w:val="Style6"/>
        <w:jc w:val="left"/>
      </w:pPr>
    </w:p>
    <w:p w:rsidR="0029277F" w:rsidRDefault="00AE05D3" w:rsidP="004C72D6">
      <w:pPr>
        <w:pStyle w:val="Style6"/>
        <w:jc w:val="left"/>
      </w:pPr>
      <w:r>
        <w:t xml:space="preserve">6)  </w:t>
      </w:r>
      <w:r w:rsidR="00324D77" w:rsidRPr="00324D77">
        <w:rPr>
          <w:u w:val="single"/>
        </w:rPr>
        <w:t>N</w:t>
      </w:r>
      <w:r w:rsidR="00324D77" w:rsidRPr="00324D77">
        <w:rPr>
          <w:u w:val="single"/>
          <w:vertAlign w:val="subscript"/>
        </w:rPr>
        <w:t>2</w:t>
      </w:r>
      <w:r w:rsidR="00324D77" w:rsidRPr="00324D77">
        <w:rPr>
          <w:u w:val="single"/>
        </w:rPr>
        <w:t>O and CH</w:t>
      </w:r>
      <w:r w:rsidR="00324D77" w:rsidRPr="00324D77">
        <w:rPr>
          <w:u w:val="single"/>
          <w:vertAlign w:val="subscript"/>
        </w:rPr>
        <w:t>4</w:t>
      </w:r>
      <w:r w:rsidR="00324D77" w:rsidRPr="00324D77">
        <w:rPr>
          <w:u w:val="single"/>
        </w:rPr>
        <w:t xml:space="preserve"> Flexibility</w:t>
      </w:r>
      <w:r>
        <w:t xml:space="preserve">:  </w:t>
      </w:r>
      <w:r w:rsidR="0029277F" w:rsidRPr="00F4485D">
        <w:t>A new provision allows CO</w:t>
      </w:r>
      <w:r w:rsidR="00324D77" w:rsidRPr="00324D77">
        <w:rPr>
          <w:vertAlign w:val="subscript"/>
        </w:rPr>
        <w:t>2</w:t>
      </w:r>
      <w:r w:rsidR="0029277F" w:rsidRPr="00F4485D">
        <w:t xml:space="preserve"> credits to be used to satisfy the N</w:t>
      </w:r>
      <w:r w:rsidR="00324D77" w:rsidRPr="00324D77">
        <w:rPr>
          <w:vertAlign w:val="subscript"/>
        </w:rPr>
        <w:t>2</w:t>
      </w:r>
      <w:r w:rsidR="0029277F" w:rsidRPr="00F4485D">
        <w:t>O and CH</w:t>
      </w:r>
      <w:r w:rsidR="00324D77" w:rsidRPr="00324D77">
        <w:rPr>
          <w:vertAlign w:val="subscript"/>
        </w:rPr>
        <w:t>4</w:t>
      </w:r>
      <w:r w:rsidR="0029277F" w:rsidRPr="00F4485D">
        <w:t xml:space="preserve"> emissions caps contained in the prior rule for those manufacturers choosing to comply using the CO</w:t>
      </w:r>
      <w:r w:rsidR="0029277F" w:rsidRPr="00F4485D">
        <w:rPr>
          <w:vertAlign w:val="subscript"/>
        </w:rPr>
        <w:t>2</w:t>
      </w:r>
      <w:r w:rsidR="0029277F" w:rsidRPr="00F4485D">
        <w:t>-equivalent standard option, which allows manufacturers to fold all 2-cycle weighted N</w:t>
      </w:r>
      <w:r w:rsidR="0029277F" w:rsidRPr="00F4485D">
        <w:rPr>
          <w:vertAlign w:val="subscript"/>
        </w:rPr>
        <w:t>2</w:t>
      </w:r>
      <w:r w:rsidR="0029277F" w:rsidRPr="00F4485D">
        <w:t>O and CH</w:t>
      </w:r>
      <w:r w:rsidR="0029277F" w:rsidRPr="00F4485D">
        <w:rPr>
          <w:vertAlign w:val="subscript"/>
        </w:rPr>
        <w:t>4</w:t>
      </w:r>
      <w:r w:rsidR="0029277F" w:rsidRPr="00F4485D">
        <w:t xml:space="preserve"> emissions, on a CO</w:t>
      </w:r>
      <w:r w:rsidR="0029277F" w:rsidRPr="00F4485D">
        <w:rPr>
          <w:vertAlign w:val="subscript"/>
        </w:rPr>
        <w:t>2</w:t>
      </w:r>
      <w:r w:rsidR="0029277F" w:rsidRPr="00F4485D">
        <w:t>-equivalent basis, along with CO</w:t>
      </w:r>
      <w:r w:rsidR="0029277F" w:rsidRPr="00F4485D">
        <w:rPr>
          <w:vertAlign w:val="subscript"/>
        </w:rPr>
        <w:t>2</w:t>
      </w:r>
      <w:r w:rsidR="0029277F" w:rsidRPr="00F4485D">
        <w:t xml:space="preserve"> into their CO</w:t>
      </w:r>
      <w:r w:rsidR="0029277F" w:rsidRPr="00F4485D">
        <w:rPr>
          <w:vertAlign w:val="subscript"/>
        </w:rPr>
        <w:t>2</w:t>
      </w:r>
      <w:r w:rsidR="0029277F" w:rsidRPr="00F4485D">
        <w:t xml:space="preserve"> emissions fleet average compliance level</w:t>
      </w:r>
      <w:r w:rsidR="00F4485D">
        <w:t>.</w:t>
      </w:r>
      <w:r w:rsidR="008778BC">
        <w:t xml:space="preserve"> This has no effect on the testing cost. </w:t>
      </w:r>
    </w:p>
    <w:p w:rsidR="004C72D6" w:rsidRDefault="004C72D6" w:rsidP="004C72D6">
      <w:pPr>
        <w:pStyle w:val="Style6"/>
        <w:jc w:val="left"/>
        <w:rPr>
          <w:spacing w:val="6"/>
        </w:rPr>
      </w:pPr>
      <w:r>
        <w:rPr>
          <w:spacing w:val="6"/>
        </w:rPr>
        <w:tab/>
      </w:r>
    </w:p>
    <w:p w:rsidR="004C72D6" w:rsidRDefault="004C72D6" w:rsidP="004C72D6">
      <w:pPr>
        <w:pStyle w:val="Style6"/>
        <w:jc w:val="left"/>
        <w:rPr>
          <w:spacing w:val="6"/>
        </w:rPr>
      </w:pPr>
      <w:r w:rsidRPr="00BC5FE0">
        <w:rPr>
          <w:spacing w:val="6"/>
        </w:rPr>
        <w:tab/>
      </w:r>
      <w:r>
        <w:rPr>
          <w:spacing w:val="6"/>
        </w:rPr>
        <w:t xml:space="preserve">Additional details on the coverage of this ICR are given in Section </w:t>
      </w:r>
      <w:r w:rsidR="00E75E47">
        <w:rPr>
          <w:spacing w:val="6"/>
        </w:rPr>
        <w:t>4</w:t>
      </w:r>
      <w:r>
        <w:rPr>
          <w:spacing w:val="6"/>
        </w:rPr>
        <w:t xml:space="preserve">(b), below. </w:t>
      </w:r>
    </w:p>
    <w:p w:rsidR="004C72D6" w:rsidRDefault="004C72D6" w:rsidP="004C72D6">
      <w:pPr>
        <w:pStyle w:val="Style6"/>
        <w:jc w:val="left"/>
        <w:outlineLvl w:val="0"/>
        <w:rPr>
          <w:u w:val="single"/>
        </w:rPr>
      </w:pPr>
    </w:p>
    <w:p w:rsidR="004C72D6" w:rsidRDefault="004C72D6" w:rsidP="004C72D6">
      <w:pPr>
        <w:pStyle w:val="Style6"/>
        <w:jc w:val="left"/>
        <w:outlineLvl w:val="0"/>
      </w:pPr>
      <w:r w:rsidRPr="005379F3">
        <w:rPr>
          <w:u w:val="single"/>
        </w:rPr>
        <w:t xml:space="preserve">Section 2: Need </w:t>
      </w:r>
      <w:r>
        <w:rPr>
          <w:u w:val="single"/>
        </w:rPr>
        <w:t>For A</w:t>
      </w:r>
      <w:r w:rsidRPr="005379F3">
        <w:rPr>
          <w:u w:val="single"/>
        </w:rPr>
        <w:t>nd Use of the Collection</w:t>
      </w:r>
      <w:r w:rsidRPr="005379F3">
        <w:t xml:space="preserve"> </w:t>
      </w:r>
    </w:p>
    <w:p w:rsidR="004C72D6" w:rsidRDefault="004C72D6" w:rsidP="004C72D6">
      <w:pPr>
        <w:pStyle w:val="Style6"/>
        <w:jc w:val="left"/>
        <w:outlineLvl w:val="0"/>
      </w:pPr>
    </w:p>
    <w:p w:rsidR="004C72D6" w:rsidRDefault="004C72D6" w:rsidP="004C72D6">
      <w:pPr>
        <w:pStyle w:val="Style6"/>
        <w:jc w:val="left"/>
        <w:outlineLvl w:val="0"/>
        <w:rPr>
          <w:spacing w:val="6"/>
          <w:u w:val="single"/>
        </w:rPr>
      </w:pPr>
      <w:r w:rsidRPr="005379F3">
        <w:rPr>
          <w:spacing w:val="6"/>
        </w:rPr>
        <w:lastRenderedPageBreak/>
        <w:t xml:space="preserve">2(a) </w:t>
      </w:r>
      <w:r w:rsidRPr="005379F3">
        <w:rPr>
          <w:spacing w:val="6"/>
          <w:u w:val="single"/>
        </w:rPr>
        <w:t xml:space="preserve">Need/Authority </w:t>
      </w:r>
      <w:r>
        <w:rPr>
          <w:spacing w:val="6"/>
          <w:u w:val="single"/>
        </w:rPr>
        <w:t>For T</w:t>
      </w:r>
      <w:r w:rsidRPr="005379F3">
        <w:rPr>
          <w:spacing w:val="6"/>
          <w:u w:val="single"/>
        </w:rPr>
        <w:t>he Collection</w:t>
      </w:r>
    </w:p>
    <w:p w:rsidR="004C72D6" w:rsidRDefault="004C72D6" w:rsidP="004C72D6">
      <w:pPr>
        <w:pStyle w:val="Style6"/>
        <w:jc w:val="left"/>
        <w:outlineLvl w:val="0"/>
        <w:rPr>
          <w:spacing w:val="6"/>
          <w:u w:val="single"/>
        </w:rPr>
      </w:pPr>
    </w:p>
    <w:p w:rsidR="002F7B90" w:rsidRDefault="004C72D6" w:rsidP="004C72D6">
      <w:pPr>
        <w:pStyle w:val="Style6"/>
        <w:jc w:val="left"/>
        <w:rPr>
          <w:spacing w:val="6"/>
        </w:rPr>
      </w:pPr>
      <w:r>
        <w:rPr>
          <w:spacing w:val="6"/>
        </w:rPr>
        <w:tab/>
      </w:r>
      <w:r w:rsidRPr="00C72055">
        <w:rPr>
          <w:spacing w:val="6"/>
        </w:rPr>
        <w:t>Under Title II of the Clean Air Act (42 U.S.C. 7521 et seq.), EPA is charged with issuing certificates of conformity for motor vehicle designs that comply with applicable emission standards</w:t>
      </w:r>
      <w:r>
        <w:rPr>
          <w:spacing w:val="6"/>
        </w:rPr>
        <w:t xml:space="preserve"> set under section 202(a)(1) of the Act, such as those for CO</w:t>
      </w:r>
      <w:r w:rsidR="00324D77" w:rsidRPr="00324D77">
        <w:rPr>
          <w:spacing w:val="6"/>
          <w:vertAlign w:val="subscript"/>
        </w:rPr>
        <w:t>2</w:t>
      </w:r>
      <w:r>
        <w:rPr>
          <w:spacing w:val="6"/>
        </w:rPr>
        <w:t>, N</w:t>
      </w:r>
      <w:r w:rsidR="00324D77" w:rsidRPr="00324D77">
        <w:rPr>
          <w:spacing w:val="6"/>
          <w:vertAlign w:val="subscript"/>
        </w:rPr>
        <w:t>2</w:t>
      </w:r>
      <w:r>
        <w:rPr>
          <w:spacing w:val="6"/>
        </w:rPr>
        <w:t>O, and CH</w:t>
      </w:r>
      <w:r w:rsidRPr="00D13985">
        <w:rPr>
          <w:spacing w:val="6"/>
          <w:vertAlign w:val="subscript"/>
        </w:rPr>
        <w:t>4</w:t>
      </w:r>
      <w:r>
        <w:rPr>
          <w:spacing w:val="6"/>
        </w:rPr>
        <w:t xml:space="preserve"> in the </w:t>
      </w:r>
      <w:r w:rsidR="00B07B21">
        <w:rPr>
          <w:spacing w:val="6"/>
        </w:rPr>
        <w:t>final</w:t>
      </w:r>
      <w:r>
        <w:rPr>
          <w:spacing w:val="6"/>
        </w:rPr>
        <w:t xml:space="preserve"> regulation</w:t>
      </w:r>
      <w:r w:rsidRPr="00C72055">
        <w:rPr>
          <w:spacing w:val="6"/>
        </w:rPr>
        <w:t>.</w:t>
      </w:r>
      <w:r>
        <w:rPr>
          <w:spacing w:val="6"/>
        </w:rPr>
        <w:t xml:space="preserve"> </w:t>
      </w:r>
      <w:r w:rsidRPr="00C72055">
        <w:rPr>
          <w:spacing w:val="6"/>
        </w:rPr>
        <w:t xml:space="preserve"> </w:t>
      </w:r>
      <w:r>
        <w:rPr>
          <w:spacing w:val="6"/>
        </w:rPr>
        <w:t xml:space="preserve">(This authority was clarified in the Supreme Court’s decision </w:t>
      </w:r>
      <w:r w:rsidRPr="00DD4934">
        <w:rPr>
          <w:spacing w:val="6"/>
          <w:u w:val="single"/>
        </w:rPr>
        <w:t>State of Massachusetts v. EPA</w:t>
      </w:r>
      <w:r w:rsidRPr="00DD4934">
        <w:rPr>
          <w:spacing w:val="6"/>
        </w:rPr>
        <w:t xml:space="preserve">, 127 </w:t>
      </w:r>
      <w:smartTag w:uri="urn:schemas-microsoft-com:office:smarttags" w:element="place">
        <w:r w:rsidRPr="00DD4934">
          <w:rPr>
            <w:spacing w:val="6"/>
          </w:rPr>
          <w:t>S. Ct.</w:t>
        </w:r>
      </w:smartTag>
      <w:r w:rsidRPr="00DD4934">
        <w:rPr>
          <w:spacing w:val="6"/>
        </w:rPr>
        <w:t xml:space="preserve"> 1438 (2007</w:t>
      </w:r>
      <w:r>
        <w:rPr>
          <w:spacing w:val="6"/>
        </w:rPr>
        <w:t xml:space="preserve">)). </w:t>
      </w:r>
      <w:r w:rsidR="002F7B90" w:rsidRPr="006C1BBF">
        <w:t xml:space="preserve">Section 202(a)(1) states that ‘‘the Administrator shall by regulation prescribe (and from time to time revise) </w:t>
      </w:r>
      <w:r w:rsidR="002F7B90">
        <w:t>[...]</w:t>
      </w:r>
      <w:r w:rsidR="002F7B90" w:rsidRPr="006C1BBF">
        <w:t xml:space="preserve"> standards applicable to the emission of any air pollutant from any class or classes of new motor vehicles </w:t>
      </w:r>
      <w:r w:rsidR="002F7B90">
        <w:t>[...]</w:t>
      </w:r>
      <w:r w:rsidR="002F7B90" w:rsidRPr="006C1BBF">
        <w:t>, which in his judgment cause, or contribute to, air pollution which may reasonably be anticipated to endanger public health</w:t>
      </w:r>
      <w:r w:rsidR="002F7B90">
        <w:t xml:space="preserve"> or welfare.’’ T</w:t>
      </w:r>
      <w:r w:rsidR="002F7B90" w:rsidRPr="006C1BBF">
        <w:t>he Administrator has found that the elevated concentrations o</w:t>
      </w:r>
      <w:r w:rsidR="002F7B90">
        <w:t>f a group of six GHG</w:t>
      </w:r>
      <w:r w:rsidR="002F7B90" w:rsidRPr="006C1BBF">
        <w:t>s in the atmosphere may reasonably be anticipated to endanger public health and welfare, and t</w:t>
      </w:r>
      <w:r w:rsidR="002F7B90">
        <w:t>hat emissions of GHG</w:t>
      </w:r>
      <w:r w:rsidR="002F7B90" w:rsidRPr="006C1BBF">
        <w:t>s from new motor vehicles and new motor vehicle engines contribute to this air pollution</w:t>
      </w:r>
    </w:p>
    <w:p w:rsidR="002F7B90" w:rsidRDefault="002F7B90" w:rsidP="004C72D6">
      <w:pPr>
        <w:pStyle w:val="Style6"/>
        <w:jc w:val="left"/>
        <w:rPr>
          <w:spacing w:val="6"/>
        </w:rPr>
      </w:pPr>
    </w:p>
    <w:p w:rsidR="004C72D6" w:rsidRDefault="002F7B90" w:rsidP="004C72D6">
      <w:pPr>
        <w:pStyle w:val="Style6"/>
        <w:jc w:val="left"/>
        <w:rPr>
          <w:spacing w:val="6"/>
        </w:rPr>
      </w:pPr>
      <w:r>
        <w:rPr>
          <w:spacing w:val="6"/>
        </w:rPr>
        <w:tab/>
      </w:r>
      <w:r w:rsidR="004C72D6" w:rsidRPr="00C72055">
        <w:rPr>
          <w:spacing w:val="6"/>
        </w:rPr>
        <w:t xml:space="preserve">A manufacturer must have a certificate before vehicles may be legally introduced into commerce. </w:t>
      </w:r>
      <w:r w:rsidR="004C72D6">
        <w:rPr>
          <w:spacing w:val="6"/>
        </w:rPr>
        <w:t xml:space="preserve"> To i</w:t>
      </w:r>
      <w:r w:rsidR="004C72D6" w:rsidRPr="00C72055">
        <w:rPr>
          <w:spacing w:val="6"/>
        </w:rPr>
        <w:t xml:space="preserve">nsure compliance with </w:t>
      </w:r>
      <w:r w:rsidR="004C72D6">
        <w:rPr>
          <w:spacing w:val="6"/>
        </w:rPr>
        <w:t>the Act</w:t>
      </w:r>
      <w:r w:rsidR="004C72D6" w:rsidRPr="00C72055">
        <w:rPr>
          <w:spacing w:val="6"/>
        </w:rPr>
        <w:t xml:space="preserve">, EPA reviews product information and manufacturer test results; EPA also tests some vehicles to confirm manufacturer results. </w:t>
      </w:r>
      <w:r w:rsidR="004C72D6">
        <w:rPr>
          <w:spacing w:val="6"/>
        </w:rPr>
        <w:t xml:space="preserve"> </w:t>
      </w:r>
      <w:r w:rsidR="004C72D6" w:rsidRPr="00C72055">
        <w:rPr>
          <w:spacing w:val="6"/>
        </w:rPr>
        <w:t xml:space="preserve">Information is also shared with other agencies: the Internal Revenue Service for “gas guzzler” taxes and </w:t>
      </w:r>
      <w:r w:rsidR="004C72D6">
        <w:rPr>
          <w:spacing w:val="6"/>
        </w:rPr>
        <w:t>NHTSA</w:t>
      </w:r>
      <w:r w:rsidR="004C72D6" w:rsidRPr="00C72055">
        <w:rPr>
          <w:spacing w:val="6"/>
        </w:rPr>
        <w:t xml:space="preserve"> for CAFE </w:t>
      </w:r>
      <w:r w:rsidR="004C72D6">
        <w:rPr>
          <w:spacing w:val="6"/>
        </w:rPr>
        <w:t xml:space="preserve">and GHG </w:t>
      </w:r>
      <w:r w:rsidR="004C72D6" w:rsidRPr="00C72055">
        <w:rPr>
          <w:spacing w:val="6"/>
        </w:rPr>
        <w:t>requirements</w:t>
      </w:r>
      <w:r w:rsidR="004C72D6" w:rsidRPr="005379F3">
        <w:rPr>
          <w:spacing w:val="6"/>
        </w:rPr>
        <w:t>.</w:t>
      </w:r>
      <w:r w:rsidR="004C72D6">
        <w:rPr>
          <w:spacing w:val="6"/>
        </w:rPr>
        <w:t xml:space="preserve"> Other elements of the legal and regulatory background relating to the need and authority for the </w:t>
      </w:r>
      <w:r w:rsidR="00B07B21">
        <w:rPr>
          <w:spacing w:val="6"/>
        </w:rPr>
        <w:t>final rule</w:t>
      </w:r>
      <w:r w:rsidR="004C72D6">
        <w:rPr>
          <w:spacing w:val="6"/>
        </w:rPr>
        <w:t xml:space="preserve"> are discussed in the preamble to the rule. </w:t>
      </w:r>
    </w:p>
    <w:p w:rsidR="004C72D6" w:rsidRDefault="004C72D6" w:rsidP="004C72D6">
      <w:pPr>
        <w:pStyle w:val="Style6"/>
        <w:jc w:val="left"/>
        <w:rPr>
          <w:spacing w:val="6"/>
        </w:rPr>
      </w:pPr>
    </w:p>
    <w:p w:rsidR="004C72D6" w:rsidRPr="00C72055" w:rsidRDefault="004C72D6" w:rsidP="004C72D6">
      <w:pPr>
        <w:pStyle w:val="Style6"/>
        <w:jc w:val="left"/>
        <w:rPr>
          <w:spacing w:val="6"/>
        </w:rPr>
      </w:pPr>
      <w:r>
        <w:rPr>
          <w:spacing w:val="6"/>
        </w:rPr>
        <w:tab/>
      </w:r>
      <w:r w:rsidRPr="00C72055">
        <w:rPr>
          <w:spacing w:val="6"/>
        </w:rPr>
        <w:t xml:space="preserve">Under Section 206(a) of the Clean Air Act (42 U.S.C. 7525) “... The Administrator shall test ... any new motor vehicle ... submitted by a manufacturer ... If such vehicle ... conforms … the Administrator shall issue a certificate of conformity.” </w:t>
      </w:r>
      <w:r>
        <w:rPr>
          <w:spacing w:val="6"/>
        </w:rPr>
        <w:t xml:space="preserve"> </w:t>
      </w:r>
      <w:r w:rsidRPr="00C72055">
        <w:rPr>
          <w:spacing w:val="6"/>
        </w:rPr>
        <w:t>While EPA has delegated a substantial portion of the process of</w:t>
      </w:r>
      <w:r>
        <w:rPr>
          <w:spacing w:val="6"/>
        </w:rPr>
        <w:t xml:space="preserve"> calculating and reporting emissions and fuel economy results</w:t>
      </w:r>
      <w:r w:rsidRPr="00C72055">
        <w:rPr>
          <w:spacing w:val="6"/>
        </w:rPr>
        <w:t xml:space="preserve"> to the manufacturers, the test results upon which labels are based are subject to EPA confirmatory testing. </w:t>
      </w:r>
      <w:r>
        <w:rPr>
          <w:spacing w:val="6"/>
        </w:rPr>
        <w:t xml:space="preserve"> </w:t>
      </w:r>
      <w:r w:rsidRPr="00C72055">
        <w:rPr>
          <w:spacing w:val="6"/>
        </w:rPr>
        <w:t xml:space="preserve">Such confirmation testing </w:t>
      </w:r>
      <w:r>
        <w:rPr>
          <w:spacing w:val="6"/>
        </w:rPr>
        <w:t>makes sure</w:t>
      </w:r>
      <w:r w:rsidRPr="00C72055">
        <w:rPr>
          <w:spacing w:val="6"/>
        </w:rPr>
        <w:t xml:space="preserve"> that results from different manufacturers can be accurately used for comparison.</w:t>
      </w:r>
    </w:p>
    <w:p w:rsidR="004C72D6" w:rsidRPr="005379F3" w:rsidRDefault="004C72D6" w:rsidP="004C72D6">
      <w:pPr>
        <w:pStyle w:val="Style6"/>
        <w:jc w:val="left"/>
        <w:rPr>
          <w:spacing w:val="6"/>
        </w:rPr>
      </w:pPr>
    </w:p>
    <w:p w:rsidR="004C72D6" w:rsidRDefault="004C72D6" w:rsidP="004C72D6">
      <w:pPr>
        <w:pStyle w:val="Style6"/>
        <w:jc w:val="left"/>
        <w:rPr>
          <w:spacing w:val="6"/>
        </w:rPr>
      </w:pPr>
      <w:r>
        <w:rPr>
          <w:spacing w:val="6"/>
        </w:rPr>
        <w:tab/>
      </w:r>
      <w:r w:rsidRPr="00C72055">
        <w:rPr>
          <w:spacing w:val="6"/>
        </w:rPr>
        <w:t xml:space="preserve">The regulations dealing with LDV </w:t>
      </w:r>
      <w:r>
        <w:rPr>
          <w:spacing w:val="6"/>
        </w:rPr>
        <w:t xml:space="preserve">and LDT </w:t>
      </w:r>
      <w:r w:rsidRPr="00C72055">
        <w:rPr>
          <w:spacing w:val="6"/>
        </w:rPr>
        <w:t>emission control can be found in 40 CFR Parts 85 and 86</w:t>
      </w:r>
      <w:r>
        <w:rPr>
          <w:spacing w:val="6"/>
        </w:rPr>
        <w:t xml:space="preserve">. The regulations dealing with reporting fuel economy information are in 40 CFR Part 600. </w:t>
      </w:r>
      <w:r w:rsidRPr="00C72055">
        <w:rPr>
          <w:spacing w:val="6"/>
        </w:rPr>
        <w:t xml:space="preserve">The regulations are not attached to this statement due to their length and technical nature. </w:t>
      </w:r>
    </w:p>
    <w:p w:rsidR="00C55924" w:rsidRDefault="00C55924" w:rsidP="004C72D6">
      <w:pPr>
        <w:pStyle w:val="Style6"/>
        <w:jc w:val="left"/>
        <w:rPr>
          <w:spacing w:val="6"/>
        </w:rPr>
      </w:pPr>
    </w:p>
    <w:p w:rsidR="00C55924" w:rsidRPr="004D5102" w:rsidRDefault="00C55924" w:rsidP="00C55924">
      <w:pPr>
        <w:pStyle w:val="Style6"/>
        <w:jc w:val="left"/>
        <w:rPr>
          <w:spacing w:val="6"/>
        </w:rPr>
      </w:pPr>
      <w:r>
        <w:rPr>
          <w:spacing w:val="6"/>
        </w:rPr>
        <w:tab/>
      </w:r>
    </w:p>
    <w:p w:rsidR="00C55924" w:rsidRDefault="00C55924" w:rsidP="004C72D6">
      <w:pPr>
        <w:pStyle w:val="Style6"/>
        <w:jc w:val="left"/>
        <w:rPr>
          <w:spacing w:val="6"/>
        </w:rPr>
      </w:pPr>
    </w:p>
    <w:p w:rsidR="004C72D6" w:rsidRDefault="004C72D6" w:rsidP="004C72D6">
      <w:pPr>
        <w:pStyle w:val="Style6"/>
        <w:jc w:val="left"/>
        <w:rPr>
          <w:u w:val="single"/>
        </w:rPr>
      </w:pPr>
      <w:r w:rsidRPr="005379F3">
        <w:t xml:space="preserve">2(b) </w:t>
      </w:r>
      <w:r w:rsidRPr="00224A1E">
        <w:rPr>
          <w:u w:val="single"/>
        </w:rPr>
        <w:t>Practical Utility/Users of the Data</w:t>
      </w:r>
    </w:p>
    <w:p w:rsidR="004C72D6" w:rsidRDefault="004C72D6" w:rsidP="004C72D6">
      <w:pPr>
        <w:pStyle w:val="Style6"/>
        <w:jc w:val="left"/>
      </w:pPr>
    </w:p>
    <w:p w:rsidR="004C72D6" w:rsidRPr="00E26DCD" w:rsidRDefault="004C72D6" w:rsidP="004C72D6">
      <w:pPr>
        <w:pStyle w:val="Style6"/>
        <w:jc w:val="left"/>
        <w:rPr>
          <w:spacing w:val="6"/>
        </w:rPr>
      </w:pPr>
      <w:r>
        <w:rPr>
          <w:spacing w:val="6"/>
        </w:rPr>
        <w:tab/>
        <w:t xml:space="preserve">The information collection under the rule will be used to determine whether the new GHG requirements have been complied with by means of the certification </w:t>
      </w:r>
      <w:r w:rsidRPr="00602A80">
        <w:rPr>
          <w:spacing w:val="6"/>
        </w:rPr>
        <w:t>and in-use testing programs.</w:t>
      </w:r>
      <w:r>
        <w:rPr>
          <w:spacing w:val="6"/>
        </w:rPr>
        <w:t xml:space="preserve"> </w:t>
      </w:r>
    </w:p>
    <w:p w:rsidR="004C72D6" w:rsidRDefault="004C72D6" w:rsidP="004C72D6">
      <w:pPr>
        <w:ind w:right="72"/>
        <w:rPr>
          <w:spacing w:val="6"/>
        </w:rPr>
      </w:pPr>
    </w:p>
    <w:p w:rsidR="004C72D6" w:rsidRDefault="004C72D6" w:rsidP="004C72D6">
      <w:pPr>
        <w:ind w:right="72"/>
        <w:rPr>
          <w:spacing w:val="4"/>
        </w:rPr>
      </w:pPr>
      <w:r w:rsidRPr="005379F3">
        <w:rPr>
          <w:spacing w:val="4"/>
          <w:u w:val="single"/>
        </w:rPr>
        <w:t xml:space="preserve">Section 3: </w:t>
      </w:r>
      <w:proofErr w:type="spellStart"/>
      <w:r w:rsidRPr="005379F3">
        <w:rPr>
          <w:spacing w:val="4"/>
          <w:u w:val="single"/>
        </w:rPr>
        <w:t>Nonduplication</w:t>
      </w:r>
      <w:proofErr w:type="spellEnd"/>
      <w:r w:rsidRPr="005379F3">
        <w:rPr>
          <w:spacing w:val="4"/>
          <w:u w:val="single"/>
        </w:rPr>
        <w:t>, Consultations, and Other Collection Criteria</w:t>
      </w:r>
      <w:r w:rsidRPr="005379F3">
        <w:rPr>
          <w:spacing w:val="4"/>
        </w:rPr>
        <w:t xml:space="preserve"> </w:t>
      </w:r>
    </w:p>
    <w:p w:rsidR="004C72D6" w:rsidRPr="005379F3" w:rsidRDefault="004C72D6" w:rsidP="004C72D6">
      <w:pPr>
        <w:ind w:right="72"/>
        <w:rPr>
          <w:spacing w:val="4"/>
        </w:rPr>
      </w:pPr>
    </w:p>
    <w:p w:rsidR="004C72D6" w:rsidRDefault="004C72D6" w:rsidP="004C72D6">
      <w:pPr>
        <w:spacing w:line="0" w:lineRule="atLeast"/>
        <w:ind w:right="2448"/>
        <w:rPr>
          <w:spacing w:val="6"/>
          <w:u w:val="single"/>
        </w:rPr>
      </w:pPr>
      <w:r w:rsidRPr="005379F3">
        <w:rPr>
          <w:spacing w:val="4"/>
        </w:rPr>
        <w:t>3</w:t>
      </w:r>
      <w:r w:rsidRPr="005379F3">
        <w:rPr>
          <w:spacing w:val="6"/>
        </w:rPr>
        <w:t>(a)</w:t>
      </w:r>
      <w:r>
        <w:rPr>
          <w:spacing w:val="6"/>
        </w:rPr>
        <w:t xml:space="preserve"> </w:t>
      </w:r>
      <w:proofErr w:type="spellStart"/>
      <w:r w:rsidRPr="0013395B">
        <w:rPr>
          <w:spacing w:val="6"/>
          <w:u w:val="single"/>
        </w:rPr>
        <w:t>Nonduplication</w:t>
      </w:r>
      <w:proofErr w:type="spellEnd"/>
    </w:p>
    <w:p w:rsidR="004C72D6" w:rsidRDefault="004C72D6" w:rsidP="004C72D6">
      <w:pPr>
        <w:spacing w:line="0" w:lineRule="atLeast"/>
        <w:ind w:right="2448"/>
        <w:rPr>
          <w:spacing w:val="6"/>
        </w:rPr>
      </w:pPr>
    </w:p>
    <w:p w:rsidR="004C72D6" w:rsidRDefault="003871F2" w:rsidP="004C72D6">
      <w:pPr>
        <w:spacing w:line="0" w:lineRule="atLeast"/>
        <w:rPr>
          <w:spacing w:val="6"/>
        </w:rPr>
      </w:pPr>
      <w:r>
        <w:rPr>
          <w:spacing w:val="6"/>
        </w:rPr>
        <w:tab/>
        <w:t>T</w:t>
      </w:r>
      <w:r w:rsidRPr="003871F2">
        <w:rPr>
          <w:spacing w:val="6"/>
        </w:rPr>
        <w:t xml:space="preserve">he compliance process for both manufacturers and EPA </w:t>
      </w:r>
      <w:r>
        <w:rPr>
          <w:spacing w:val="6"/>
        </w:rPr>
        <w:t>builds</w:t>
      </w:r>
      <w:r w:rsidRPr="003871F2">
        <w:rPr>
          <w:spacing w:val="6"/>
        </w:rPr>
        <w:t xml:space="preserve"> on existing practice wherever possible, and manufacturers can use a single data set to satisfy both GHG and Corporate Average Fuel Economy (CAFE) testing and reporting requirements. The EPA and NHTSA programs replicate the compliance protocols established under </w:t>
      </w:r>
      <w:r>
        <w:rPr>
          <w:spacing w:val="6"/>
        </w:rPr>
        <w:t>the prior rule</w:t>
      </w:r>
      <w:r w:rsidRPr="003871F2">
        <w:rPr>
          <w:spacing w:val="6"/>
        </w:rPr>
        <w:t xml:space="preserve">. The certification, testing, reporting, and associated compliance activities track current </w:t>
      </w:r>
      <w:r w:rsidR="005E137A">
        <w:rPr>
          <w:spacing w:val="6"/>
        </w:rPr>
        <w:t xml:space="preserve">practices and are thus familiar </w:t>
      </w:r>
      <w:r w:rsidRPr="003871F2">
        <w:rPr>
          <w:spacing w:val="6"/>
        </w:rPr>
        <w:t>to manufacturers. As is the case under the 2012-2016 program, EPA and NHTSA have designed a coordinated compliance approach for 2017-2025 such that the compliance mechanisms for both GHG and CAFE standards are consistent and non-duplicative.</w:t>
      </w:r>
      <w:r>
        <w:rPr>
          <w:spacing w:val="6"/>
        </w:rPr>
        <w:t xml:space="preserve"> </w:t>
      </w:r>
      <w:r w:rsidR="004C72D6">
        <w:rPr>
          <w:spacing w:val="6"/>
        </w:rPr>
        <w:t xml:space="preserve">The information collection, reporting, and storage provisions of the rule rely on EPA’s existing certification and in-use programs and on EPA’s fuel economy reporting system that is used by NHTSA in developing and administering CAFE standards.  As discussed at length in the preamble to the </w:t>
      </w:r>
      <w:r w:rsidR="00495CDE">
        <w:rPr>
          <w:spacing w:val="6"/>
        </w:rPr>
        <w:t>final rule</w:t>
      </w:r>
      <w:r w:rsidR="004C72D6">
        <w:rPr>
          <w:spacing w:val="6"/>
        </w:rPr>
        <w:t>, this is a joint rulemaking by NHTSA and EPA, a format which has a maximum degree of coordination between the two similar programs addressing GHGs and fuel economy.</w:t>
      </w:r>
      <w:r w:rsidR="00E64AFE">
        <w:rPr>
          <w:spacing w:val="6"/>
        </w:rPr>
        <w:t xml:space="preserve">  </w:t>
      </w:r>
      <w:r w:rsidR="004C72D6">
        <w:rPr>
          <w:spacing w:val="6"/>
        </w:rPr>
        <w:t xml:space="preserve">NHTSA is regulating fuel economy, whereas EPA is regulating GHG emissions. The statutory mandates for the two agencies are different, and this results in a certain degree of difference in two programs that nonetheless share a great deal in approach and structure. </w:t>
      </w:r>
    </w:p>
    <w:p w:rsidR="00050693" w:rsidRDefault="00050693" w:rsidP="004C72D6">
      <w:pPr>
        <w:spacing w:line="0" w:lineRule="atLeast"/>
        <w:rPr>
          <w:spacing w:val="6"/>
        </w:rPr>
      </w:pPr>
    </w:p>
    <w:p w:rsidR="00943D5F" w:rsidRDefault="00050693">
      <w:pPr>
        <w:spacing w:line="0" w:lineRule="atLeast"/>
        <w:ind w:firstLine="720"/>
        <w:rPr>
          <w:spacing w:val="6"/>
        </w:rPr>
      </w:pPr>
      <w:r w:rsidRPr="004D5102">
        <w:rPr>
          <w:spacing w:val="6"/>
        </w:rPr>
        <w:t>Because of its specialized nature and the fact that product plans and emission performance information must be submitted to EPA prior to the start of production, this information is not available from any source other than the manufacturer.</w:t>
      </w:r>
    </w:p>
    <w:p w:rsidR="004C72D6" w:rsidRPr="005379F3" w:rsidRDefault="004C72D6" w:rsidP="004C72D6">
      <w:pPr>
        <w:spacing w:line="0" w:lineRule="atLeast"/>
        <w:ind w:right="2448"/>
        <w:rPr>
          <w:spacing w:val="6"/>
        </w:rPr>
      </w:pPr>
    </w:p>
    <w:p w:rsidR="004C72D6" w:rsidRDefault="004C72D6" w:rsidP="004C72D6">
      <w:pPr>
        <w:rPr>
          <w:spacing w:val="6"/>
          <w:u w:val="single"/>
        </w:rPr>
      </w:pPr>
      <w:r w:rsidRPr="005379F3">
        <w:rPr>
          <w:spacing w:val="6"/>
        </w:rPr>
        <w:t xml:space="preserve">3(b) </w:t>
      </w:r>
      <w:r w:rsidRPr="005379F3">
        <w:rPr>
          <w:spacing w:val="6"/>
          <w:u w:val="single"/>
        </w:rPr>
        <w:t>Public Notice Prior to ICR Submission to OMB</w:t>
      </w:r>
    </w:p>
    <w:p w:rsidR="004C72D6" w:rsidRPr="005379F3" w:rsidRDefault="004C72D6" w:rsidP="004C72D6">
      <w:pPr>
        <w:rPr>
          <w:spacing w:val="6"/>
        </w:rPr>
      </w:pPr>
    </w:p>
    <w:p w:rsidR="004C72D6" w:rsidRDefault="004C72D6" w:rsidP="004C72D6">
      <w:pPr>
        <w:pStyle w:val="Style6"/>
        <w:jc w:val="left"/>
      </w:pPr>
      <w:r>
        <w:tab/>
      </w:r>
      <w:r w:rsidRPr="00E4121A">
        <w:t xml:space="preserve">EPA solicited public comment by means of </w:t>
      </w:r>
      <w:r w:rsidR="00C93956">
        <w:t>the</w:t>
      </w:r>
      <w:r w:rsidRPr="00E4121A">
        <w:t xml:space="preserve"> Federal Register Notice </w:t>
      </w:r>
      <w:r w:rsidR="00C93956">
        <w:t xml:space="preserve">of the proposed rule, </w:t>
      </w:r>
      <w:r w:rsidRPr="00E4121A">
        <w:t xml:space="preserve">published on </w:t>
      </w:r>
      <w:r w:rsidR="003A05D3">
        <w:t>December 1</w:t>
      </w:r>
      <w:r>
        <w:t>,  20</w:t>
      </w:r>
      <w:r w:rsidR="00C93956">
        <w:t>11</w:t>
      </w:r>
      <w:r w:rsidRPr="00E4121A">
        <w:t xml:space="preserve">, </w:t>
      </w:r>
      <w:r>
        <w:t>7</w:t>
      </w:r>
      <w:r w:rsidR="003A05D3">
        <w:t>6</w:t>
      </w:r>
      <w:r w:rsidRPr="00E4121A">
        <w:t xml:space="preserve"> Federal Register </w:t>
      </w:r>
      <w:r w:rsidR="003A05D3">
        <w:t>74854</w:t>
      </w:r>
      <w:r w:rsidRPr="00E4121A">
        <w:t xml:space="preserve">; a copy can </w:t>
      </w:r>
      <w:r w:rsidR="003A05D3">
        <w:t xml:space="preserve">also </w:t>
      </w:r>
      <w:r w:rsidRPr="00E4121A">
        <w:t xml:space="preserve">be found </w:t>
      </w:r>
      <w:r>
        <w:t xml:space="preserve">at </w:t>
      </w:r>
      <w:r w:rsidRPr="00FF63B5">
        <w:t>http://www.epa.gov/otaq/climate/regulations.htm</w:t>
      </w:r>
      <w:r>
        <w:t xml:space="preserve">. The draft ICR was placed in the docket. </w:t>
      </w:r>
    </w:p>
    <w:p w:rsidR="004C72D6" w:rsidRPr="00BA10A8" w:rsidRDefault="004C72D6" w:rsidP="004C72D6">
      <w:pPr>
        <w:pStyle w:val="Style6"/>
        <w:jc w:val="left"/>
        <w:rPr>
          <w:spacing w:val="6"/>
        </w:rPr>
      </w:pPr>
    </w:p>
    <w:p w:rsidR="004C72D6" w:rsidRDefault="004C72D6" w:rsidP="004C72D6">
      <w:pPr>
        <w:rPr>
          <w:spacing w:val="6"/>
          <w:u w:val="single"/>
        </w:rPr>
      </w:pPr>
      <w:r w:rsidRPr="005379F3">
        <w:rPr>
          <w:spacing w:val="6"/>
        </w:rPr>
        <w:t>3</w:t>
      </w:r>
      <w:r>
        <w:rPr>
          <w:spacing w:val="6"/>
        </w:rPr>
        <w:t xml:space="preserve">(c) </w:t>
      </w:r>
      <w:r w:rsidRPr="005379F3">
        <w:rPr>
          <w:spacing w:val="6"/>
          <w:u w:val="single"/>
        </w:rPr>
        <w:t>Consultations</w:t>
      </w:r>
    </w:p>
    <w:p w:rsidR="004C72D6" w:rsidRPr="005379F3" w:rsidRDefault="004C72D6" w:rsidP="004C72D6">
      <w:pPr>
        <w:rPr>
          <w:spacing w:val="6"/>
        </w:rPr>
      </w:pPr>
    </w:p>
    <w:p w:rsidR="00D14AEF" w:rsidRPr="004D5102" w:rsidRDefault="004C72D6" w:rsidP="00D14AEF">
      <w:pPr>
        <w:pStyle w:val="Style6"/>
        <w:jc w:val="left"/>
        <w:rPr>
          <w:spacing w:val="6"/>
        </w:rPr>
      </w:pPr>
      <w:r>
        <w:rPr>
          <w:spacing w:val="6"/>
        </w:rPr>
        <w:tab/>
      </w:r>
      <w:r w:rsidRPr="00C93956">
        <w:rPr>
          <w:spacing w:val="6"/>
        </w:rPr>
        <w:t xml:space="preserve">The regulations, including the cost analysis that is reflected in this ICR, were developed based on experience with similar regulations developed in the past in close consultation with the affected industry. </w:t>
      </w:r>
      <w:r w:rsidR="00572BF8" w:rsidRPr="00C93956">
        <w:t>As for the MY 2012-2016 rulemaking, collaboration with California Air Resources Board (CARB) and with industry and other stakeholders has been a key element in developi</w:t>
      </w:r>
      <w:r w:rsidR="00CE3E2A" w:rsidRPr="00C93956">
        <w:t>ng the agencies’ rules.</w:t>
      </w:r>
      <w:r w:rsidR="00D14AEF">
        <w:t xml:space="preserve">  </w:t>
      </w:r>
      <w:r w:rsidR="00D14AEF">
        <w:rPr>
          <w:spacing w:val="6"/>
        </w:rPr>
        <w:t xml:space="preserve">Throughout the development of this rule, EPA met extensively </w:t>
      </w:r>
      <w:r w:rsidR="00D14AEF" w:rsidRPr="00C000E4">
        <w:rPr>
          <w:spacing w:val="6"/>
        </w:rPr>
        <w:t>with individual manufacturers, groups of manufacturers, industrial trade associations,</w:t>
      </w:r>
      <w:r w:rsidR="00D14AEF">
        <w:rPr>
          <w:spacing w:val="6"/>
        </w:rPr>
        <w:t xml:space="preserve"> </w:t>
      </w:r>
      <w:r w:rsidR="00D14AEF" w:rsidRPr="00C000E4">
        <w:rPr>
          <w:spacing w:val="6"/>
        </w:rPr>
        <w:t>industry professional organizations</w:t>
      </w:r>
      <w:r w:rsidR="00D14AEF">
        <w:rPr>
          <w:spacing w:val="6"/>
        </w:rPr>
        <w:t>, and other stakeholders.</w:t>
      </w:r>
      <w:r w:rsidR="00CE3E2A" w:rsidRPr="00C93956">
        <w:t xml:space="preserve"> </w:t>
      </w:r>
      <w:r w:rsidR="00D14AEF" w:rsidRPr="004D5102">
        <w:rPr>
          <w:spacing w:val="6"/>
        </w:rPr>
        <w:t xml:space="preserve">Their comments have been reflected in the burden estimates discussed below. </w:t>
      </w:r>
    </w:p>
    <w:p w:rsidR="004C72D6" w:rsidRDefault="004C72D6" w:rsidP="00D14AEF">
      <w:pPr>
        <w:pStyle w:val="Style6"/>
        <w:rPr>
          <w:spacing w:val="6"/>
        </w:rPr>
      </w:pPr>
    </w:p>
    <w:p w:rsidR="004C72D6" w:rsidRDefault="004C72D6" w:rsidP="004C72D6">
      <w:pPr>
        <w:outlineLvl w:val="0"/>
        <w:rPr>
          <w:spacing w:val="6"/>
          <w:u w:val="single"/>
        </w:rPr>
      </w:pPr>
      <w:r w:rsidRPr="005379F3">
        <w:rPr>
          <w:spacing w:val="6"/>
        </w:rPr>
        <w:t xml:space="preserve">3(d) </w:t>
      </w:r>
      <w:r w:rsidRPr="005379F3">
        <w:rPr>
          <w:spacing w:val="6"/>
          <w:u w:val="single"/>
        </w:rPr>
        <w:t>Effects of Less Frequent Collection</w:t>
      </w:r>
    </w:p>
    <w:p w:rsidR="004C72D6" w:rsidRDefault="004C72D6" w:rsidP="004C72D6">
      <w:pPr>
        <w:outlineLvl w:val="0"/>
        <w:rPr>
          <w:spacing w:val="6"/>
          <w:u w:val="single"/>
        </w:rPr>
      </w:pPr>
    </w:p>
    <w:p w:rsidR="004C72D6" w:rsidRPr="004D5102" w:rsidRDefault="004C72D6" w:rsidP="004C72D6">
      <w:pPr>
        <w:pStyle w:val="Style6"/>
        <w:jc w:val="left"/>
        <w:rPr>
          <w:spacing w:val="6"/>
        </w:rPr>
      </w:pPr>
      <w:r>
        <w:rPr>
          <w:spacing w:val="6"/>
        </w:rPr>
        <w:tab/>
      </w:r>
      <w:r w:rsidRPr="004D5102">
        <w:rPr>
          <w:spacing w:val="6"/>
        </w:rPr>
        <w:t xml:space="preserve">As required by the Clean Air Act (42 USC 7525(a)), emission and fuel economy information is submitted on a yearly basis coinciding with the manufacturer’s “model year.” </w:t>
      </w:r>
      <w:r>
        <w:rPr>
          <w:spacing w:val="6"/>
        </w:rPr>
        <w:t xml:space="preserve"> </w:t>
      </w:r>
      <w:r w:rsidRPr="004D5102">
        <w:rPr>
          <w:spacing w:val="6"/>
        </w:rPr>
        <w:t xml:space="preserve">EPA allows applicants to define their own “model year”, thus granting some flexibility in this regard. </w:t>
      </w:r>
      <w:r>
        <w:rPr>
          <w:spacing w:val="6"/>
        </w:rPr>
        <w:t xml:space="preserve"> </w:t>
      </w:r>
      <w:r w:rsidRPr="004D5102">
        <w:rPr>
          <w:spacing w:val="6"/>
        </w:rPr>
        <w:t xml:space="preserve">Major product changes typically occur at the start of a model year. </w:t>
      </w:r>
      <w:r>
        <w:rPr>
          <w:spacing w:val="6"/>
        </w:rPr>
        <w:t xml:space="preserve"> </w:t>
      </w:r>
      <w:r w:rsidRPr="004D5102">
        <w:rPr>
          <w:spacing w:val="6"/>
        </w:rPr>
        <w:t xml:space="preserve">For these reasons, a collection frequency longer than a model year is not possible. </w:t>
      </w:r>
      <w:r>
        <w:rPr>
          <w:spacing w:val="6"/>
        </w:rPr>
        <w:t xml:space="preserve"> </w:t>
      </w:r>
      <w:r w:rsidRPr="004D5102">
        <w:rPr>
          <w:spacing w:val="6"/>
        </w:rPr>
        <w:t xml:space="preserve">However, when a vehicle design is “carried over” to a subsequent model year, the amount of new information required is substantially reduced.  </w:t>
      </w:r>
      <w:r>
        <w:rPr>
          <w:spacing w:val="6"/>
        </w:rPr>
        <w:t xml:space="preserve">Some information is also to be submitted during the model year, including model-level GHG testing results, analogous to model-level fuel economy results, which are necessary because certification data are collected on a test group basis which does not allow for fleet total GHG emissions and fuel economy calculations on a model level basis. Likewise, existing regulations require an end-of-year report, with final production numbers, and the new requirements would be conformed to this existing requirement as well. In-use testing is currently required at low- and high-mileage intervals after a model year vehicle has entered commerce, and the final rule's provisions bearing on in-use testing conform to the current program. </w:t>
      </w:r>
    </w:p>
    <w:p w:rsidR="004C72D6" w:rsidRPr="005379F3" w:rsidRDefault="004C72D6" w:rsidP="004C72D6">
      <w:pPr>
        <w:outlineLvl w:val="0"/>
        <w:rPr>
          <w:spacing w:val="6"/>
        </w:rPr>
      </w:pPr>
    </w:p>
    <w:p w:rsidR="004C72D6" w:rsidRDefault="004C72D6" w:rsidP="004C72D6">
      <w:pPr>
        <w:spacing w:line="264" w:lineRule="atLeast"/>
        <w:rPr>
          <w:spacing w:val="6"/>
        </w:rPr>
      </w:pPr>
      <w:r w:rsidRPr="00B90DAB">
        <w:rPr>
          <w:spacing w:val="6"/>
        </w:rPr>
        <w:t xml:space="preserve">3(e) </w:t>
      </w:r>
      <w:r w:rsidRPr="005379F3">
        <w:rPr>
          <w:spacing w:val="6"/>
          <w:u w:val="single"/>
        </w:rPr>
        <w:t>General Guidelines</w:t>
      </w:r>
    </w:p>
    <w:p w:rsidR="004C72D6" w:rsidRDefault="004C72D6" w:rsidP="004C72D6">
      <w:pPr>
        <w:spacing w:line="264" w:lineRule="atLeast"/>
        <w:rPr>
          <w:spacing w:val="6"/>
        </w:rPr>
      </w:pPr>
    </w:p>
    <w:p w:rsidR="004C72D6" w:rsidRPr="00C93956" w:rsidRDefault="004C72D6" w:rsidP="004C72D6">
      <w:pPr>
        <w:pStyle w:val="Style6"/>
        <w:jc w:val="left"/>
        <w:rPr>
          <w:spacing w:val="6"/>
        </w:rPr>
      </w:pPr>
      <w:r>
        <w:rPr>
          <w:spacing w:val="6"/>
        </w:rPr>
        <w:tab/>
      </w:r>
      <w:r w:rsidRPr="00C93956">
        <w:rPr>
          <w:spacing w:val="6"/>
        </w:rPr>
        <w:t>Manufacturers are required to keep some records for periods longer than three years</w:t>
      </w:r>
      <w:r w:rsidR="00BE700E">
        <w:rPr>
          <w:spacing w:val="6"/>
        </w:rPr>
        <w:t>.</w:t>
      </w:r>
      <w:r w:rsidRPr="00C93956">
        <w:rPr>
          <w:spacing w:val="6"/>
        </w:rPr>
        <w:t xml:space="preserve"> This requirement stems from the statutory requirement that manufacturers warrant some items for periods longer than 3 years. </w:t>
      </w:r>
      <w:r w:rsidR="00BB244A">
        <w:rPr>
          <w:spacing w:val="6"/>
        </w:rPr>
        <w:t xml:space="preserve"> Records must be kept for 8 years, which is also the statutorily specified warranty period for major emission control components.</w:t>
      </w:r>
      <w:r w:rsidR="00BB244A">
        <w:rPr>
          <w:rStyle w:val="FootnoteReference"/>
          <w:spacing w:val="6"/>
        </w:rPr>
        <w:footnoteReference w:id="1"/>
      </w:r>
      <w:r w:rsidR="00BB244A">
        <w:rPr>
          <w:spacing w:val="6"/>
        </w:rPr>
        <w:t xml:space="preserve"> </w:t>
      </w:r>
    </w:p>
    <w:p w:rsidR="004C72D6" w:rsidRPr="00C93956" w:rsidRDefault="004C72D6" w:rsidP="004C72D6">
      <w:pPr>
        <w:pStyle w:val="Style6"/>
        <w:jc w:val="left"/>
        <w:rPr>
          <w:spacing w:val="6"/>
        </w:rPr>
      </w:pPr>
    </w:p>
    <w:p w:rsidR="004C72D6" w:rsidRPr="004D5102" w:rsidRDefault="004C72D6" w:rsidP="004C72D6">
      <w:pPr>
        <w:pStyle w:val="Style6"/>
        <w:jc w:val="left"/>
        <w:rPr>
          <w:spacing w:val="6"/>
        </w:rPr>
      </w:pPr>
      <w:r w:rsidRPr="00C93956">
        <w:rPr>
          <w:spacing w:val="6"/>
        </w:rPr>
        <w:tab/>
        <w:t>This information collection activity complies with the remaining guidelines in 5 CFR 1320.5.  The rule makes no changes in the reporting and recordkeeping provisions that impact any of the guidelines for information collections as approved in the existing approved collection.</w:t>
      </w:r>
    </w:p>
    <w:p w:rsidR="004C72D6" w:rsidRDefault="004C72D6" w:rsidP="004C72D6">
      <w:pPr>
        <w:rPr>
          <w:spacing w:val="6"/>
        </w:rPr>
      </w:pPr>
    </w:p>
    <w:p w:rsidR="004C72D6" w:rsidRDefault="004C72D6" w:rsidP="004C72D6">
      <w:pPr>
        <w:spacing w:line="264" w:lineRule="atLeast"/>
        <w:rPr>
          <w:spacing w:val="6"/>
          <w:u w:val="single"/>
        </w:rPr>
      </w:pPr>
      <w:r w:rsidRPr="00B90DAB">
        <w:rPr>
          <w:spacing w:val="6"/>
        </w:rPr>
        <w:t xml:space="preserve">3(f) </w:t>
      </w:r>
      <w:r w:rsidRPr="005379F3">
        <w:rPr>
          <w:spacing w:val="6"/>
          <w:u w:val="single"/>
        </w:rPr>
        <w:t>Confidentiality</w:t>
      </w:r>
    </w:p>
    <w:p w:rsidR="004C72D6" w:rsidRPr="005379F3" w:rsidRDefault="004C72D6" w:rsidP="004C72D6">
      <w:pPr>
        <w:spacing w:line="264" w:lineRule="atLeast"/>
        <w:rPr>
          <w:spacing w:val="6"/>
        </w:rPr>
      </w:pPr>
    </w:p>
    <w:p w:rsidR="004C72D6" w:rsidRPr="004D5102" w:rsidRDefault="004C72D6" w:rsidP="004C72D6">
      <w:pPr>
        <w:pStyle w:val="Style6"/>
        <w:jc w:val="left"/>
        <w:rPr>
          <w:spacing w:val="6"/>
        </w:rPr>
      </w:pPr>
      <w:r>
        <w:rPr>
          <w:spacing w:val="6"/>
        </w:rPr>
        <w:tab/>
      </w:r>
      <w:r w:rsidRPr="005E137A">
        <w:rPr>
          <w:spacing w:val="6"/>
        </w:rPr>
        <w:t>Information submitted by manufacturers is held as confidential until the specific vehicle to which it pertains is available for purchase.  After vehicles are available, most information associated with the manufacturer’s application is available to the public.  Under section 208 of the Clean Air Act (42 USC 7542(c)) all information, other than trade secret processes or methods, must be publicly available.  Proprietary information is granted confidentiality in accordance with the Freedom of Information Act, EPA regulations at 40 CFR Part 2, and class determinations issued by EPA’s Office of General Counsel.</w:t>
      </w:r>
    </w:p>
    <w:p w:rsidR="004C72D6" w:rsidRPr="005379F3" w:rsidRDefault="004C72D6" w:rsidP="004C72D6">
      <w:pPr>
        <w:rPr>
          <w:spacing w:val="6"/>
        </w:rPr>
      </w:pPr>
    </w:p>
    <w:p w:rsidR="004C72D6" w:rsidRDefault="004C72D6" w:rsidP="004C72D6">
      <w:pPr>
        <w:rPr>
          <w:spacing w:val="6"/>
          <w:u w:val="single"/>
        </w:rPr>
      </w:pPr>
      <w:r w:rsidRPr="00B90DAB">
        <w:rPr>
          <w:spacing w:val="6"/>
        </w:rPr>
        <w:t xml:space="preserve">3(g) </w:t>
      </w:r>
      <w:r w:rsidRPr="005379F3">
        <w:rPr>
          <w:spacing w:val="6"/>
          <w:u w:val="single"/>
        </w:rPr>
        <w:t>Sensitive Questions</w:t>
      </w:r>
    </w:p>
    <w:p w:rsidR="004C72D6" w:rsidRPr="005379F3" w:rsidRDefault="004C72D6" w:rsidP="004C72D6">
      <w:pPr>
        <w:rPr>
          <w:spacing w:val="6"/>
        </w:rPr>
      </w:pPr>
    </w:p>
    <w:p w:rsidR="004C72D6" w:rsidRPr="004D5102" w:rsidRDefault="004C72D6" w:rsidP="004C72D6">
      <w:pPr>
        <w:pStyle w:val="Style6"/>
        <w:jc w:val="left"/>
        <w:rPr>
          <w:spacing w:val="6"/>
        </w:rPr>
      </w:pPr>
      <w:r>
        <w:rPr>
          <w:spacing w:val="6"/>
        </w:rPr>
        <w:tab/>
      </w:r>
      <w:r w:rsidRPr="00C93956">
        <w:rPr>
          <w:spacing w:val="6"/>
        </w:rPr>
        <w:t xml:space="preserve">No sensitive questions are asked in this information collection.  This collection </w:t>
      </w:r>
      <w:r w:rsidRPr="00C93956">
        <w:rPr>
          <w:spacing w:val="6"/>
        </w:rPr>
        <w:lastRenderedPageBreak/>
        <w:t>complies with the Privacy Act and OMB Circular A-108.</w:t>
      </w:r>
    </w:p>
    <w:p w:rsidR="004C72D6" w:rsidRDefault="004C72D6" w:rsidP="004C72D6">
      <w:pPr>
        <w:spacing w:line="264" w:lineRule="atLeast"/>
        <w:outlineLvl w:val="0"/>
        <w:rPr>
          <w:spacing w:val="6"/>
          <w:u w:val="single"/>
        </w:rPr>
      </w:pPr>
    </w:p>
    <w:p w:rsidR="004C72D6" w:rsidRDefault="004C72D6" w:rsidP="004C72D6">
      <w:pPr>
        <w:spacing w:line="264" w:lineRule="atLeast"/>
        <w:outlineLvl w:val="0"/>
        <w:rPr>
          <w:spacing w:val="6"/>
          <w:u w:val="single"/>
        </w:rPr>
      </w:pPr>
      <w:r>
        <w:rPr>
          <w:spacing w:val="6"/>
          <w:u w:val="single"/>
        </w:rPr>
        <w:t xml:space="preserve">Section 4: </w:t>
      </w:r>
      <w:r w:rsidRPr="005379F3">
        <w:rPr>
          <w:spacing w:val="6"/>
          <w:u w:val="single"/>
        </w:rPr>
        <w:t>Respondents and Information Requested</w:t>
      </w:r>
    </w:p>
    <w:p w:rsidR="004C72D6" w:rsidRPr="005379F3" w:rsidRDefault="004C72D6" w:rsidP="004C72D6">
      <w:pPr>
        <w:spacing w:line="264" w:lineRule="atLeast"/>
        <w:outlineLvl w:val="0"/>
        <w:rPr>
          <w:spacing w:val="6"/>
        </w:rPr>
      </w:pPr>
    </w:p>
    <w:p w:rsidR="004C72D6" w:rsidRDefault="004C72D6" w:rsidP="004C72D6">
      <w:pPr>
        <w:rPr>
          <w:spacing w:val="6"/>
          <w:u w:val="single"/>
        </w:rPr>
      </w:pPr>
      <w:r w:rsidRPr="009E5724">
        <w:rPr>
          <w:spacing w:val="6"/>
        </w:rPr>
        <w:t xml:space="preserve">4(a) </w:t>
      </w:r>
      <w:r w:rsidRPr="005379F3">
        <w:rPr>
          <w:spacing w:val="6"/>
          <w:u w:val="single"/>
        </w:rPr>
        <w:t>Respondents/</w:t>
      </w:r>
      <w:r>
        <w:rPr>
          <w:spacing w:val="6"/>
          <w:u w:val="single"/>
        </w:rPr>
        <w:t>NA</w:t>
      </w:r>
      <w:r w:rsidRPr="005379F3">
        <w:rPr>
          <w:spacing w:val="6"/>
          <w:u w:val="single"/>
        </w:rPr>
        <w:t>SIC Codes</w:t>
      </w:r>
    </w:p>
    <w:p w:rsidR="004C72D6" w:rsidRDefault="004C72D6" w:rsidP="004C72D6">
      <w:pPr>
        <w:rPr>
          <w:spacing w:val="6"/>
          <w:u w:val="single"/>
        </w:rPr>
      </w:pPr>
    </w:p>
    <w:p w:rsidR="004C72D6" w:rsidRPr="004D5102" w:rsidRDefault="004C72D6" w:rsidP="004C72D6">
      <w:pPr>
        <w:pStyle w:val="Style6"/>
        <w:jc w:val="left"/>
        <w:rPr>
          <w:spacing w:val="6"/>
        </w:rPr>
      </w:pPr>
      <w:r>
        <w:rPr>
          <w:spacing w:val="6"/>
        </w:rPr>
        <w:tab/>
      </w:r>
      <w:r w:rsidRPr="004D5102">
        <w:rPr>
          <w:spacing w:val="6"/>
        </w:rPr>
        <w:t xml:space="preserve">The respondents are </w:t>
      </w:r>
      <w:r>
        <w:rPr>
          <w:spacing w:val="6"/>
        </w:rPr>
        <w:t xml:space="preserve">potentially </w:t>
      </w:r>
      <w:r w:rsidRPr="004D5102">
        <w:rPr>
          <w:spacing w:val="6"/>
        </w:rPr>
        <w:t>involved in the industries shown in the following table:</w:t>
      </w:r>
    </w:p>
    <w:p w:rsidR="004C72D6" w:rsidRDefault="004C72D6" w:rsidP="004C72D6"/>
    <w:tbl>
      <w:tblPr>
        <w:tblW w:w="9360"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1661"/>
        <w:gridCol w:w="1764"/>
        <w:gridCol w:w="5935"/>
      </w:tblGrid>
      <w:tr w:rsidR="004C72D6" w:rsidRPr="00511BC4" w:rsidTr="009F7CD6">
        <w:trPr>
          <w:cantSplit/>
          <w:tblHeader/>
        </w:trPr>
        <w:tc>
          <w:tcPr>
            <w:tcW w:w="1661" w:type="dxa"/>
            <w:tcBorders>
              <w:top w:val="double" w:sz="7" w:space="0" w:color="000000"/>
              <w:left w:val="double" w:sz="7" w:space="0" w:color="000000"/>
              <w:bottom w:val="double" w:sz="7" w:space="0" w:color="000000"/>
              <w:right w:val="single" w:sz="7" w:space="0" w:color="000000"/>
            </w:tcBorders>
          </w:tcPr>
          <w:p w:rsidR="004C72D6" w:rsidRPr="00EA3E50" w:rsidRDefault="004C72D6" w:rsidP="009F7CD6">
            <w:pPr>
              <w:keepNext/>
              <w:keepLines/>
              <w:spacing w:line="480" w:lineRule="auto"/>
            </w:pPr>
            <w:r w:rsidRPr="00EA3E50">
              <w:t>Category</w:t>
            </w:r>
          </w:p>
        </w:tc>
        <w:tc>
          <w:tcPr>
            <w:tcW w:w="1764" w:type="dxa"/>
            <w:tcBorders>
              <w:top w:val="double" w:sz="7" w:space="0" w:color="000000"/>
              <w:left w:val="single" w:sz="7" w:space="0" w:color="000000"/>
              <w:bottom w:val="double" w:sz="7" w:space="0" w:color="000000"/>
              <w:right w:val="single" w:sz="7" w:space="0" w:color="000000"/>
            </w:tcBorders>
          </w:tcPr>
          <w:p w:rsidR="004C72D6" w:rsidRPr="00EA3E50" w:rsidRDefault="004C72D6" w:rsidP="009F7CD6">
            <w:pPr>
              <w:keepNext/>
              <w:keepLines/>
              <w:spacing w:line="480" w:lineRule="auto"/>
            </w:pPr>
            <w:r w:rsidRPr="00EA3E50">
              <w:t xml:space="preserve">NAICS Codes </w:t>
            </w:r>
            <w:r w:rsidRPr="007B6883">
              <w:rPr>
                <w:rFonts w:ascii="Times" w:hAnsi="Times"/>
                <w:vertAlign w:val="superscript"/>
              </w:rPr>
              <w:t>A</w:t>
            </w:r>
          </w:p>
        </w:tc>
        <w:tc>
          <w:tcPr>
            <w:tcW w:w="5935" w:type="dxa"/>
            <w:tcBorders>
              <w:top w:val="double" w:sz="7" w:space="0" w:color="000000"/>
              <w:left w:val="single" w:sz="7" w:space="0" w:color="000000"/>
              <w:bottom w:val="double" w:sz="7" w:space="0" w:color="000000"/>
              <w:right w:val="double" w:sz="7" w:space="0" w:color="000000"/>
            </w:tcBorders>
          </w:tcPr>
          <w:p w:rsidR="004C72D6" w:rsidRPr="00EA3E50" w:rsidRDefault="004C72D6" w:rsidP="009F7CD6">
            <w:pPr>
              <w:keepNext/>
              <w:keepLines/>
              <w:spacing w:line="480" w:lineRule="auto"/>
            </w:pPr>
            <w:r w:rsidRPr="00EA3E50">
              <w:t>Examples of Potentially Regulated Entities</w:t>
            </w:r>
          </w:p>
        </w:tc>
      </w:tr>
      <w:tr w:rsidR="004C72D6" w:rsidRPr="00511BC4" w:rsidTr="009F7CD6">
        <w:trPr>
          <w:cantSplit/>
        </w:trPr>
        <w:tc>
          <w:tcPr>
            <w:tcW w:w="1661" w:type="dxa"/>
            <w:tcBorders>
              <w:top w:val="double" w:sz="7" w:space="0" w:color="000000"/>
              <w:left w:val="double" w:sz="7" w:space="0" w:color="000000"/>
              <w:bottom w:val="double" w:sz="7" w:space="0" w:color="000000"/>
              <w:right w:val="single" w:sz="7" w:space="0" w:color="000000"/>
            </w:tcBorders>
          </w:tcPr>
          <w:p w:rsidR="004C72D6" w:rsidRPr="00EA3E50" w:rsidRDefault="004C72D6" w:rsidP="009F7CD6">
            <w:pPr>
              <w:keepNext/>
              <w:keepLines/>
              <w:spacing w:line="480" w:lineRule="auto"/>
            </w:pPr>
            <w:r w:rsidRPr="00EA3E50">
              <w:t>Industry</w:t>
            </w:r>
          </w:p>
        </w:tc>
        <w:tc>
          <w:tcPr>
            <w:tcW w:w="1764" w:type="dxa"/>
            <w:tcBorders>
              <w:top w:val="double" w:sz="7" w:space="0" w:color="000000"/>
              <w:left w:val="single" w:sz="7" w:space="0" w:color="000000"/>
              <w:bottom w:val="double" w:sz="7" w:space="0" w:color="000000"/>
              <w:right w:val="single" w:sz="7" w:space="0" w:color="000000"/>
            </w:tcBorders>
          </w:tcPr>
          <w:p w:rsidR="004C72D6" w:rsidRPr="00EA3E50" w:rsidRDefault="004C72D6" w:rsidP="009F7CD6">
            <w:pPr>
              <w:keepNext/>
              <w:keepLines/>
            </w:pPr>
            <w:r w:rsidRPr="00EA3E50">
              <w:t>336111</w:t>
            </w:r>
          </w:p>
          <w:p w:rsidR="004C72D6" w:rsidRPr="00EA3E50" w:rsidRDefault="004C72D6" w:rsidP="009F7CD6">
            <w:pPr>
              <w:keepNext/>
              <w:keepLines/>
            </w:pPr>
            <w:r w:rsidRPr="00EA3E50">
              <w:t>336112</w:t>
            </w:r>
            <w:r>
              <w:t xml:space="preserve"> </w:t>
            </w:r>
          </w:p>
        </w:tc>
        <w:tc>
          <w:tcPr>
            <w:tcW w:w="5935" w:type="dxa"/>
            <w:tcBorders>
              <w:top w:val="double" w:sz="7" w:space="0" w:color="000000"/>
              <w:left w:val="single" w:sz="7" w:space="0" w:color="000000"/>
              <w:bottom w:val="double" w:sz="7" w:space="0" w:color="000000"/>
              <w:right w:val="double" w:sz="7" w:space="0" w:color="000000"/>
            </w:tcBorders>
          </w:tcPr>
          <w:p w:rsidR="004C72D6" w:rsidRPr="00EA3E50" w:rsidRDefault="004C72D6" w:rsidP="009F7CD6">
            <w:pPr>
              <w:keepNext/>
              <w:keepLines/>
              <w:spacing w:line="480" w:lineRule="auto"/>
            </w:pPr>
            <w:r w:rsidRPr="00EA3E50">
              <w:t>Motor vehicle manufacturers.</w:t>
            </w:r>
          </w:p>
        </w:tc>
      </w:tr>
      <w:tr w:rsidR="004C72D6" w:rsidRPr="00511BC4" w:rsidTr="009F7CD6">
        <w:trPr>
          <w:cantSplit/>
        </w:trPr>
        <w:tc>
          <w:tcPr>
            <w:tcW w:w="1661" w:type="dxa"/>
            <w:tcBorders>
              <w:top w:val="double" w:sz="7" w:space="0" w:color="000000"/>
              <w:left w:val="double" w:sz="7" w:space="0" w:color="000000"/>
              <w:bottom w:val="double" w:sz="7" w:space="0" w:color="000000"/>
              <w:right w:val="single" w:sz="7" w:space="0" w:color="000000"/>
            </w:tcBorders>
          </w:tcPr>
          <w:p w:rsidR="004C72D6" w:rsidRPr="00EA3E50" w:rsidRDefault="004C72D6" w:rsidP="009F7CD6">
            <w:pPr>
              <w:keepNext/>
              <w:keepLines/>
              <w:spacing w:line="480" w:lineRule="auto"/>
            </w:pPr>
            <w:r>
              <w:t>Industry</w:t>
            </w:r>
          </w:p>
        </w:tc>
        <w:tc>
          <w:tcPr>
            <w:tcW w:w="1764" w:type="dxa"/>
            <w:tcBorders>
              <w:top w:val="double" w:sz="7" w:space="0" w:color="000000"/>
              <w:left w:val="single" w:sz="7" w:space="0" w:color="000000"/>
              <w:bottom w:val="double" w:sz="7" w:space="0" w:color="000000"/>
              <w:right w:val="single" w:sz="7" w:space="0" w:color="000000"/>
            </w:tcBorders>
          </w:tcPr>
          <w:p w:rsidR="004C72D6" w:rsidRDefault="004C72D6" w:rsidP="009F7CD6">
            <w:pPr>
              <w:keepNext/>
              <w:keepLines/>
            </w:pPr>
            <w:r>
              <w:t>335312</w:t>
            </w:r>
          </w:p>
          <w:p w:rsidR="004C72D6" w:rsidRDefault="004C72D6" w:rsidP="009F7CD6">
            <w:pPr>
              <w:keepNext/>
              <w:keepLines/>
            </w:pPr>
            <w:r>
              <w:t>336312</w:t>
            </w:r>
          </w:p>
          <w:p w:rsidR="004C72D6" w:rsidRDefault="004C72D6" w:rsidP="009F7CD6">
            <w:pPr>
              <w:keepNext/>
              <w:keepLines/>
            </w:pPr>
            <w:r>
              <w:t>336399</w:t>
            </w:r>
          </w:p>
          <w:p w:rsidR="004C72D6" w:rsidRPr="00EA3E50" w:rsidRDefault="00D97B2C" w:rsidP="00D97B2C">
            <w:pPr>
              <w:keepNext/>
              <w:keepLines/>
            </w:pPr>
            <w:r>
              <w:t>811198</w:t>
            </w:r>
          </w:p>
        </w:tc>
        <w:tc>
          <w:tcPr>
            <w:tcW w:w="5935" w:type="dxa"/>
            <w:tcBorders>
              <w:top w:val="double" w:sz="7" w:space="0" w:color="000000"/>
              <w:left w:val="single" w:sz="7" w:space="0" w:color="000000"/>
              <w:bottom w:val="double" w:sz="7" w:space="0" w:color="000000"/>
              <w:right w:val="double" w:sz="7" w:space="0" w:color="000000"/>
            </w:tcBorders>
          </w:tcPr>
          <w:p w:rsidR="004C72D6" w:rsidRPr="00EA3E50" w:rsidRDefault="004C72D6" w:rsidP="00F412C6">
            <w:pPr>
              <w:keepNext/>
              <w:keepLines/>
            </w:pPr>
            <w:r>
              <w:t xml:space="preserve">Alternative fuel vehicle converters </w:t>
            </w:r>
          </w:p>
        </w:tc>
      </w:tr>
      <w:tr w:rsidR="004C72D6" w:rsidRPr="00511BC4" w:rsidTr="009F7CD6">
        <w:trPr>
          <w:cantSplit/>
        </w:trPr>
        <w:tc>
          <w:tcPr>
            <w:tcW w:w="1661" w:type="dxa"/>
            <w:tcBorders>
              <w:top w:val="double" w:sz="7" w:space="0" w:color="000000"/>
              <w:left w:val="double" w:sz="7" w:space="0" w:color="000000"/>
              <w:bottom w:val="double" w:sz="7" w:space="0" w:color="000000"/>
              <w:right w:val="single" w:sz="7" w:space="0" w:color="000000"/>
            </w:tcBorders>
          </w:tcPr>
          <w:p w:rsidR="004C72D6" w:rsidRPr="00EA3E50" w:rsidRDefault="004C72D6" w:rsidP="009F7CD6">
            <w:pPr>
              <w:keepNext/>
              <w:keepLines/>
              <w:spacing w:line="480" w:lineRule="auto"/>
            </w:pPr>
            <w:r w:rsidRPr="00EA3E50">
              <w:t>Industry</w:t>
            </w:r>
          </w:p>
        </w:tc>
        <w:tc>
          <w:tcPr>
            <w:tcW w:w="1764" w:type="dxa"/>
            <w:tcBorders>
              <w:top w:val="double" w:sz="7" w:space="0" w:color="000000"/>
              <w:left w:val="single" w:sz="7" w:space="0" w:color="000000"/>
              <w:bottom w:val="double" w:sz="7" w:space="0" w:color="000000"/>
              <w:right w:val="single" w:sz="7" w:space="0" w:color="000000"/>
            </w:tcBorders>
          </w:tcPr>
          <w:p w:rsidR="004C72D6" w:rsidRDefault="004C72D6" w:rsidP="009F7CD6">
            <w:pPr>
              <w:keepNext/>
              <w:keepLines/>
            </w:pPr>
            <w:r>
              <w:t>811111</w:t>
            </w:r>
          </w:p>
          <w:p w:rsidR="004C72D6" w:rsidRPr="00EA3E50" w:rsidRDefault="004C72D6" w:rsidP="009F7CD6">
            <w:pPr>
              <w:keepNext/>
              <w:keepLines/>
            </w:pPr>
            <w:r w:rsidRPr="00EA3E50">
              <w:t>811112</w:t>
            </w:r>
          </w:p>
          <w:p w:rsidR="004C72D6" w:rsidRPr="00EA3E50" w:rsidRDefault="004C72D6" w:rsidP="009F7CD6">
            <w:pPr>
              <w:keepNext/>
              <w:keepLines/>
            </w:pPr>
            <w:r w:rsidRPr="00EA3E50">
              <w:t>811198</w:t>
            </w:r>
          </w:p>
          <w:p w:rsidR="004C72D6" w:rsidRPr="00EA3E50" w:rsidRDefault="00D97B2C" w:rsidP="009F7CD6">
            <w:pPr>
              <w:keepNext/>
              <w:keepLines/>
            </w:pPr>
            <w:r>
              <w:t>423110</w:t>
            </w:r>
          </w:p>
        </w:tc>
        <w:tc>
          <w:tcPr>
            <w:tcW w:w="5935" w:type="dxa"/>
            <w:tcBorders>
              <w:top w:val="double" w:sz="7" w:space="0" w:color="000000"/>
              <w:left w:val="single" w:sz="7" w:space="0" w:color="000000"/>
              <w:bottom w:val="double" w:sz="7" w:space="0" w:color="000000"/>
              <w:right w:val="double" w:sz="7" w:space="0" w:color="000000"/>
            </w:tcBorders>
          </w:tcPr>
          <w:p w:rsidR="004C72D6" w:rsidRPr="007B6883" w:rsidRDefault="004C72D6" w:rsidP="009F7CD6">
            <w:pPr>
              <w:keepNext/>
              <w:keepLines/>
              <w:rPr>
                <w:rFonts w:ascii="Times" w:hAnsi="Times"/>
                <w:vertAlign w:val="superscript"/>
              </w:rPr>
            </w:pPr>
            <w:r w:rsidRPr="00EA3E50">
              <w:t xml:space="preserve">Commercial Importers of </w:t>
            </w:r>
            <w:r>
              <w:t xml:space="preserve">Vehicles and Vehicle Components </w:t>
            </w:r>
            <w:r w:rsidRPr="007B6883">
              <w:rPr>
                <w:vertAlign w:val="superscript"/>
              </w:rPr>
              <w:t>B</w:t>
            </w:r>
          </w:p>
        </w:tc>
      </w:tr>
    </w:tbl>
    <w:p w:rsidR="004C72D6" w:rsidRDefault="004C72D6" w:rsidP="004C72D6">
      <w:r w:rsidRPr="00EA3E50">
        <w:rPr>
          <w:vertAlign w:val="superscript"/>
        </w:rPr>
        <w:t xml:space="preserve">A </w:t>
      </w:r>
      <w:r w:rsidRPr="00EA3E50">
        <w:t>North American Industry Classification System (NAICS)</w:t>
      </w:r>
    </w:p>
    <w:p w:rsidR="004C72D6" w:rsidRDefault="004C72D6" w:rsidP="004C72D6">
      <w:pPr>
        <w:rPr>
          <w:rFonts w:ascii="Times" w:hAnsi="Times"/>
        </w:rPr>
      </w:pPr>
      <w:r w:rsidRPr="007B6883">
        <w:rPr>
          <w:vertAlign w:val="superscript"/>
        </w:rPr>
        <w:t>B</w:t>
      </w:r>
      <w:r w:rsidRPr="007B6883">
        <w:t xml:space="preserve"> </w:t>
      </w:r>
      <w:r>
        <w:rPr>
          <w:rFonts w:ascii="Times" w:hAnsi="Times"/>
        </w:rPr>
        <w:t xml:space="preserve"> We are currently unaware of any independent commercial importers (ICIs); as the </w:t>
      </w:r>
      <w:r w:rsidR="00B07B21">
        <w:rPr>
          <w:rFonts w:ascii="Times" w:hAnsi="Times"/>
        </w:rPr>
        <w:t>rule</w:t>
      </w:r>
      <w:r>
        <w:rPr>
          <w:rFonts w:ascii="Times" w:hAnsi="Times"/>
        </w:rPr>
        <w:t xml:space="preserve"> would </w:t>
      </w:r>
      <w:r w:rsidR="004B7591">
        <w:rPr>
          <w:rFonts w:ascii="Times" w:hAnsi="Times"/>
        </w:rPr>
        <w:t xml:space="preserve">defer </w:t>
      </w:r>
      <w:r>
        <w:rPr>
          <w:rFonts w:ascii="Times" w:hAnsi="Times"/>
        </w:rPr>
        <w:t>small businesses these ICIs would not be regulated at this time.</w:t>
      </w:r>
    </w:p>
    <w:p w:rsidR="004C72D6" w:rsidRDefault="004C72D6" w:rsidP="004C72D6"/>
    <w:p w:rsidR="004C72D6" w:rsidRDefault="004C72D6" w:rsidP="004C72D6">
      <w:pPr>
        <w:rPr>
          <w:u w:val="single"/>
        </w:rPr>
      </w:pPr>
      <w:r w:rsidRPr="00B90DAB">
        <w:t xml:space="preserve">4(b) </w:t>
      </w:r>
      <w:r w:rsidRPr="005379F3">
        <w:rPr>
          <w:u w:val="single"/>
        </w:rPr>
        <w:t>Information Requested</w:t>
      </w:r>
    </w:p>
    <w:p w:rsidR="004C72D6" w:rsidRPr="005379F3" w:rsidRDefault="004C72D6" w:rsidP="004C72D6"/>
    <w:p w:rsidR="004C72D6" w:rsidRDefault="004C72D6" w:rsidP="004C72D6">
      <w:pPr>
        <w:rPr>
          <w:spacing w:val="6"/>
        </w:rPr>
      </w:pPr>
      <w:r>
        <w:rPr>
          <w:spacing w:val="6"/>
        </w:rPr>
        <w:t xml:space="preserve">(i) </w:t>
      </w:r>
      <w:r w:rsidRPr="008B3D18">
        <w:rPr>
          <w:spacing w:val="6"/>
          <w:u w:val="single"/>
        </w:rPr>
        <w:t>Data items</w:t>
      </w:r>
    </w:p>
    <w:p w:rsidR="004C72D6" w:rsidRPr="005379F3" w:rsidRDefault="004C72D6" w:rsidP="004C72D6">
      <w:pPr>
        <w:rPr>
          <w:spacing w:val="6"/>
        </w:rPr>
      </w:pPr>
    </w:p>
    <w:p w:rsidR="004C72D6" w:rsidRDefault="004C72D6" w:rsidP="004C72D6">
      <w:pPr>
        <w:pStyle w:val="Style6"/>
        <w:jc w:val="left"/>
        <w:rPr>
          <w:spacing w:val="6"/>
        </w:rPr>
      </w:pPr>
      <w:r>
        <w:rPr>
          <w:spacing w:val="6"/>
        </w:rPr>
        <w:tab/>
      </w:r>
      <w:r w:rsidRPr="004E617F">
        <w:rPr>
          <w:spacing w:val="6"/>
        </w:rPr>
        <w:t>The information and reporting burden associated with this rule occurs within the context of EPA’s motor vehicle certification program</w:t>
      </w:r>
      <w:r>
        <w:rPr>
          <w:spacing w:val="6"/>
        </w:rPr>
        <w:t xml:space="preserve"> and the manufacturers’ IUVP</w:t>
      </w:r>
      <w:r w:rsidRPr="004E617F">
        <w:rPr>
          <w:spacing w:val="6"/>
        </w:rPr>
        <w:t xml:space="preserve">. </w:t>
      </w:r>
      <w:r>
        <w:rPr>
          <w:spacing w:val="6"/>
        </w:rPr>
        <w:t xml:space="preserve"> </w:t>
      </w:r>
      <w:r w:rsidRPr="004E617F">
        <w:rPr>
          <w:spacing w:val="6"/>
        </w:rPr>
        <w:t xml:space="preserve">Current regulations require manufacturers to submit </w:t>
      </w:r>
      <w:r>
        <w:rPr>
          <w:spacing w:val="6"/>
        </w:rPr>
        <w:t xml:space="preserve">emissions </w:t>
      </w:r>
      <w:r w:rsidRPr="004E617F">
        <w:rPr>
          <w:spacing w:val="6"/>
        </w:rPr>
        <w:t>information to EPA in conjunction with th</w:t>
      </w:r>
      <w:r>
        <w:rPr>
          <w:spacing w:val="6"/>
        </w:rPr>
        <w:t>e</w:t>
      </w:r>
      <w:r w:rsidRPr="004E617F">
        <w:rPr>
          <w:spacing w:val="6"/>
        </w:rPr>
        <w:t>s</w:t>
      </w:r>
      <w:r>
        <w:rPr>
          <w:spacing w:val="6"/>
        </w:rPr>
        <w:t>e</w:t>
      </w:r>
      <w:r w:rsidRPr="004E617F">
        <w:rPr>
          <w:spacing w:val="6"/>
        </w:rPr>
        <w:t xml:space="preserve"> </w:t>
      </w:r>
      <w:r>
        <w:rPr>
          <w:spacing w:val="6"/>
        </w:rPr>
        <w:t xml:space="preserve">two </w:t>
      </w:r>
      <w:r w:rsidRPr="004E617F">
        <w:rPr>
          <w:spacing w:val="6"/>
        </w:rPr>
        <w:t>program</w:t>
      </w:r>
      <w:r>
        <w:rPr>
          <w:spacing w:val="6"/>
        </w:rPr>
        <w:t>s (I</w:t>
      </w:r>
      <w:r w:rsidR="00C5321D">
        <w:rPr>
          <w:spacing w:val="6"/>
        </w:rPr>
        <w:t xml:space="preserve">nformation </w:t>
      </w:r>
      <w:r>
        <w:rPr>
          <w:spacing w:val="6"/>
        </w:rPr>
        <w:t>C</w:t>
      </w:r>
      <w:r w:rsidR="00C5321D">
        <w:rPr>
          <w:spacing w:val="6"/>
        </w:rPr>
        <w:t>ollection</w:t>
      </w:r>
      <w:r>
        <w:rPr>
          <w:spacing w:val="6"/>
        </w:rPr>
        <w:t>s)</w:t>
      </w:r>
      <w:r w:rsidRPr="004E617F">
        <w:rPr>
          <w:spacing w:val="6"/>
        </w:rPr>
        <w:t xml:space="preserve">. </w:t>
      </w:r>
      <w:r>
        <w:rPr>
          <w:spacing w:val="6"/>
        </w:rPr>
        <w:t xml:space="preserve"> </w:t>
      </w:r>
      <w:r w:rsidRPr="004E617F">
        <w:rPr>
          <w:spacing w:val="6"/>
        </w:rPr>
        <w:t xml:space="preserve">Manufacturers must submit an application for emission certification prior to production. </w:t>
      </w:r>
      <w:r>
        <w:rPr>
          <w:spacing w:val="6"/>
        </w:rPr>
        <w:t xml:space="preserve"> </w:t>
      </w:r>
      <w:r w:rsidRPr="004E617F">
        <w:rPr>
          <w:spacing w:val="6"/>
        </w:rPr>
        <w:t xml:space="preserve">The application describes the major aspects of the proposed product line, technical details of the emission control systems, and the results of tests to indicate compliance with the emissions </w:t>
      </w:r>
      <w:r w:rsidR="00C55924">
        <w:rPr>
          <w:spacing w:val="6"/>
        </w:rPr>
        <w:t xml:space="preserve">and GHG </w:t>
      </w:r>
      <w:r w:rsidRPr="004E617F">
        <w:rPr>
          <w:spacing w:val="6"/>
        </w:rPr>
        <w:t xml:space="preserve">limitations. </w:t>
      </w:r>
      <w:r>
        <w:rPr>
          <w:spacing w:val="6"/>
        </w:rPr>
        <w:t xml:space="preserve"> </w:t>
      </w:r>
      <w:r w:rsidRPr="004E617F">
        <w:rPr>
          <w:spacing w:val="6"/>
        </w:rPr>
        <w:t xml:space="preserve">The application and supporting test results are reviewed and, if appropriate, a certificate of conformity is issued. </w:t>
      </w:r>
      <w:r>
        <w:rPr>
          <w:spacing w:val="6"/>
        </w:rPr>
        <w:t xml:space="preserve"> Subsequently, low- and high-mileage vehicles in use are tested for emissions by manufacturers and the results of those tests reported to EPA. </w:t>
      </w:r>
    </w:p>
    <w:p w:rsidR="00CF18A8" w:rsidRDefault="00CF18A8" w:rsidP="004C72D6">
      <w:pPr>
        <w:pStyle w:val="Style6"/>
        <w:jc w:val="left"/>
        <w:rPr>
          <w:spacing w:val="6"/>
        </w:rPr>
      </w:pPr>
    </w:p>
    <w:p w:rsidR="00E3189C" w:rsidRDefault="00CF18A8" w:rsidP="004C72D6">
      <w:pPr>
        <w:pStyle w:val="Style6"/>
        <w:jc w:val="left"/>
        <w:rPr>
          <w:spacing w:val="6"/>
        </w:rPr>
      </w:pPr>
      <w:r>
        <w:rPr>
          <w:spacing w:val="6"/>
        </w:rPr>
        <w:tab/>
        <w:t>The data items in the GHG program we</w:t>
      </w:r>
      <w:r w:rsidR="00E3189C">
        <w:rPr>
          <w:spacing w:val="6"/>
        </w:rPr>
        <w:t>re summarized in the prior ICR. The basic outline of the model year submission scheme is restated here for convenience</w:t>
      </w:r>
      <w:r w:rsidR="005E137A">
        <w:rPr>
          <w:spacing w:val="6"/>
        </w:rPr>
        <w:t xml:space="preserve">; </w:t>
      </w:r>
      <w:r w:rsidR="00E3189C">
        <w:rPr>
          <w:spacing w:val="6"/>
        </w:rPr>
        <w:t>for additional details on the prior rule, see the Supporting Statement for ICR 0783.58):</w:t>
      </w:r>
    </w:p>
    <w:p w:rsidR="00E3189C" w:rsidRDefault="00E3189C" w:rsidP="004C72D6">
      <w:pPr>
        <w:pStyle w:val="Style6"/>
        <w:jc w:val="left"/>
        <w:rPr>
          <w:spacing w:val="6"/>
        </w:rPr>
      </w:pPr>
    </w:p>
    <w:p w:rsidR="00E3189C" w:rsidRPr="00E3189C" w:rsidRDefault="00E3189C" w:rsidP="00E3189C">
      <w:pPr>
        <w:pStyle w:val="Style6"/>
        <w:jc w:val="left"/>
        <w:rPr>
          <w:spacing w:val="6"/>
        </w:rPr>
      </w:pPr>
      <w:r w:rsidRPr="00E3189C">
        <w:rPr>
          <w:spacing w:val="6"/>
        </w:rPr>
        <w:tab/>
        <w:t>Before the beginning of each model year:</w:t>
      </w:r>
    </w:p>
    <w:p w:rsidR="00E3189C" w:rsidRPr="00E3189C" w:rsidRDefault="00E3189C" w:rsidP="00E3189C">
      <w:pPr>
        <w:pStyle w:val="Style6"/>
        <w:ind w:left="1800"/>
        <w:jc w:val="left"/>
        <w:rPr>
          <w:spacing w:val="6"/>
        </w:rPr>
      </w:pPr>
    </w:p>
    <w:p w:rsidR="00E3189C" w:rsidRPr="00E3189C" w:rsidRDefault="00E3189C" w:rsidP="00E3189C">
      <w:pPr>
        <w:pStyle w:val="Style6"/>
        <w:numPr>
          <w:ilvl w:val="0"/>
          <w:numId w:val="14"/>
        </w:numPr>
        <w:jc w:val="left"/>
        <w:rPr>
          <w:spacing w:val="6"/>
        </w:rPr>
      </w:pPr>
      <w:r w:rsidRPr="00E3189C">
        <w:rPr>
          <w:spacing w:val="6"/>
        </w:rPr>
        <w:t>GHG compliance plan</w:t>
      </w:r>
      <w:r w:rsidR="00A562DD">
        <w:rPr>
          <w:spacing w:val="6"/>
        </w:rPr>
        <w:t xml:space="preserve"> including projected use of credits provisions</w:t>
      </w:r>
      <w:r w:rsidRPr="00E3189C">
        <w:rPr>
          <w:spacing w:val="6"/>
        </w:rPr>
        <w:t>.</w:t>
      </w:r>
    </w:p>
    <w:p w:rsidR="00E3189C" w:rsidRPr="00E3189C" w:rsidRDefault="00E3189C" w:rsidP="00E3189C">
      <w:pPr>
        <w:pStyle w:val="Style6"/>
        <w:jc w:val="left"/>
        <w:rPr>
          <w:spacing w:val="6"/>
        </w:rPr>
      </w:pPr>
    </w:p>
    <w:p w:rsidR="00E3189C" w:rsidRPr="00E3189C" w:rsidRDefault="00E3189C" w:rsidP="00E3189C">
      <w:pPr>
        <w:pStyle w:val="Style6"/>
        <w:jc w:val="left"/>
        <w:rPr>
          <w:spacing w:val="6"/>
        </w:rPr>
      </w:pPr>
      <w:r w:rsidRPr="00E3189C">
        <w:rPr>
          <w:spacing w:val="6"/>
        </w:rPr>
        <w:tab/>
        <w:t>At the time of certification:</w:t>
      </w:r>
    </w:p>
    <w:p w:rsidR="00E3189C" w:rsidRPr="00E3189C" w:rsidRDefault="00E3189C" w:rsidP="00E3189C">
      <w:pPr>
        <w:pStyle w:val="Style6"/>
        <w:jc w:val="left"/>
        <w:rPr>
          <w:spacing w:val="6"/>
        </w:rPr>
      </w:pPr>
    </w:p>
    <w:p w:rsidR="00E3189C" w:rsidRPr="00E3189C" w:rsidRDefault="00E3189C" w:rsidP="00E3189C">
      <w:pPr>
        <w:pStyle w:val="Style6"/>
        <w:numPr>
          <w:ilvl w:val="0"/>
          <w:numId w:val="10"/>
        </w:numPr>
        <w:jc w:val="left"/>
        <w:rPr>
          <w:spacing w:val="6"/>
        </w:rPr>
      </w:pPr>
      <w:r w:rsidRPr="00E3189C">
        <w:rPr>
          <w:spacing w:val="6"/>
        </w:rPr>
        <w:t>CO</w:t>
      </w:r>
      <w:r w:rsidRPr="00E3189C">
        <w:rPr>
          <w:spacing w:val="6"/>
          <w:vertAlign w:val="subscript"/>
        </w:rPr>
        <w:t xml:space="preserve">2 </w:t>
      </w:r>
      <w:r w:rsidRPr="00E3189C">
        <w:rPr>
          <w:spacing w:val="6"/>
        </w:rPr>
        <w:t>and CH</w:t>
      </w:r>
      <w:r w:rsidRPr="00E3189C">
        <w:rPr>
          <w:spacing w:val="6"/>
          <w:vertAlign w:val="subscript"/>
        </w:rPr>
        <w:t>4</w:t>
      </w:r>
      <w:r w:rsidRPr="00E3189C">
        <w:rPr>
          <w:spacing w:val="6"/>
        </w:rPr>
        <w:t xml:space="preserve"> emissions test results for each test group being certified.</w:t>
      </w:r>
    </w:p>
    <w:p w:rsidR="00E3189C" w:rsidRPr="00E3189C" w:rsidRDefault="00E3189C" w:rsidP="00E3189C">
      <w:pPr>
        <w:pStyle w:val="Style6"/>
        <w:numPr>
          <w:ilvl w:val="0"/>
          <w:numId w:val="10"/>
        </w:numPr>
        <w:jc w:val="left"/>
        <w:rPr>
          <w:spacing w:val="6"/>
        </w:rPr>
      </w:pPr>
      <w:r w:rsidRPr="00E3189C">
        <w:t>Engineering evaluation indicating that common calibration approaches will be utilized at high altitude.</w:t>
      </w:r>
    </w:p>
    <w:p w:rsidR="00E3189C" w:rsidRPr="00E3189C" w:rsidRDefault="00E3189C" w:rsidP="00E3189C">
      <w:pPr>
        <w:pStyle w:val="Style6"/>
        <w:numPr>
          <w:ilvl w:val="0"/>
          <w:numId w:val="10"/>
        </w:numPr>
        <w:jc w:val="left"/>
        <w:rPr>
          <w:spacing w:val="6"/>
        </w:rPr>
      </w:pPr>
      <w:r w:rsidRPr="00E3189C">
        <w:rPr>
          <w:spacing w:val="6"/>
        </w:rPr>
        <w:t>N</w:t>
      </w:r>
      <w:r w:rsidR="00324D77" w:rsidRPr="00324D77">
        <w:rPr>
          <w:spacing w:val="6"/>
          <w:vertAlign w:val="subscript"/>
        </w:rPr>
        <w:t>2</w:t>
      </w:r>
      <w:r w:rsidRPr="00E3189C">
        <w:rPr>
          <w:spacing w:val="6"/>
        </w:rPr>
        <w:t>O measurement results or compliance showing for each test group.</w:t>
      </w:r>
    </w:p>
    <w:p w:rsidR="00E3189C" w:rsidRPr="00E3189C" w:rsidRDefault="00E3189C" w:rsidP="00E3189C">
      <w:pPr>
        <w:pStyle w:val="Style6"/>
        <w:ind w:left="720"/>
        <w:jc w:val="left"/>
        <w:rPr>
          <w:spacing w:val="6"/>
        </w:rPr>
      </w:pPr>
    </w:p>
    <w:p w:rsidR="00E3189C" w:rsidRPr="00E3189C" w:rsidRDefault="00E3189C" w:rsidP="00E3189C">
      <w:pPr>
        <w:pStyle w:val="Style6"/>
        <w:ind w:left="720"/>
        <w:jc w:val="left"/>
        <w:rPr>
          <w:spacing w:val="6"/>
        </w:rPr>
      </w:pPr>
      <w:r w:rsidRPr="00E3189C">
        <w:rPr>
          <w:spacing w:val="6"/>
        </w:rPr>
        <w:t>During the model year, after certification:</w:t>
      </w:r>
    </w:p>
    <w:p w:rsidR="00E3189C" w:rsidRPr="00E3189C" w:rsidRDefault="00E3189C" w:rsidP="00E3189C">
      <w:pPr>
        <w:pStyle w:val="Style6"/>
        <w:ind w:left="720"/>
        <w:jc w:val="left"/>
        <w:rPr>
          <w:spacing w:val="6"/>
        </w:rPr>
      </w:pPr>
    </w:p>
    <w:p w:rsidR="00E3189C" w:rsidRPr="00E3189C" w:rsidRDefault="00E3189C" w:rsidP="00E3189C">
      <w:pPr>
        <w:pStyle w:val="Style6"/>
        <w:numPr>
          <w:ilvl w:val="0"/>
          <w:numId w:val="10"/>
        </w:numPr>
        <w:jc w:val="left"/>
        <w:rPr>
          <w:spacing w:val="6"/>
        </w:rPr>
      </w:pPr>
      <w:r w:rsidRPr="00E3189C">
        <w:rPr>
          <w:spacing w:val="6"/>
        </w:rPr>
        <w:t>CO</w:t>
      </w:r>
      <w:r w:rsidRPr="00E3189C">
        <w:rPr>
          <w:spacing w:val="6"/>
          <w:vertAlign w:val="subscript"/>
        </w:rPr>
        <w:t>2</w:t>
      </w:r>
      <w:r w:rsidRPr="00E3189C">
        <w:rPr>
          <w:spacing w:val="6"/>
        </w:rPr>
        <w:t xml:space="preserve"> emissions test results for model types. (The models for which results are reported is considered to be coextensive with those already reported for CAFE fuel economy purposes.)</w:t>
      </w:r>
    </w:p>
    <w:p w:rsidR="00E3189C" w:rsidRPr="00E3189C" w:rsidRDefault="00E3189C" w:rsidP="00E3189C">
      <w:pPr>
        <w:pStyle w:val="Style6"/>
        <w:numPr>
          <w:ilvl w:val="0"/>
          <w:numId w:val="10"/>
        </w:numPr>
        <w:jc w:val="left"/>
        <w:rPr>
          <w:spacing w:val="6"/>
        </w:rPr>
      </w:pPr>
      <w:r w:rsidRPr="00E3189C">
        <w:rPr>
          <w:spacing w:val="6"/>
        </w:rPr>
        <w:t>A</w:t>
      </w:r>
      <w:r w:rsidR="00140AB5">
        <w:rPr>
          <w:spacing w:val="6"/>
        </w:rPr>
        <w:t>/</w:t>
      </w:r>
      <w:r w:rsidRPr="00E3189C">
        <w:rPr>
          <w:spacing w:val="6"/>
        </w:rPr>
        <w:t>C/CO</w:t>
      </w:r>
      <w:r w:rsidRPr="00E3189C">
        <w:rPr>
          <w:spacing w:val="6"/>
          <w:vertAlign w:val="subscript"/>
        </w:rPr>
        <w:t>2</w:t>
      </w:r>
      <w:r w:rsidRPr="00E3189C">
        <w:rPr>
          <w:spacing w:val="6"/>
        </w:rPr>
        <w:t xml:space="preserve"> test for models representing percentages of the applicant’s production volume, starting in 2014.</w:t>
      </w:r>
    </w:p>
    <w:p w:rsidR="00E3189C" w:rsidRPr="00E3189C" w:rsidRDefault="00E3189C" w:rsidP="00E3189C">
      <w:pPr>
        <w:pStyle w:val="Style6"/>
        <w:ind w:left="720"/>
        <w:jc w:val="left"/>
        <w:rPr>
          <w:spacing w:val="6"/>
        </w:rPr>
      </w:pPr>
    </w:p>
    <w:p w:rsidR="00E3189C" w:rsidRPr="00E3189C" w:rsidRDefault="00E3189C" w:rsidP="00E3189C">
      <w:pPr>
        <w:pStyle w:val="Style6"/>
        <w:ind w:left="720"/>
        <w:jc w:val="left"/>
        <w:rPr>
          <w:spacing w:val="6"/>
        </w:rPr>
      </w:pPr>
      <w:r w:rsidRPr="00E3189C">
        <w:rPr>
          <w:spacing w:val="6"/>
        </w:rPr>
        <w:t xml:space="preserve">After the model year: </w:t>
      </w:r>
    </w:p>
    <w:p w:rsidR="00E3189C" w:rsidRPr="00E3189C" w:rsidRDefault="00E3189C" w:rsidP="00E3189C">
      <w:pPr>
        <w:pStyle w:val="Style6"/>
        <w:ind w:left="720"/>
        <w:jc w:val="left"/>
        <w:rPr>
          <w:spacing w:val="6"/>
        </w:rPr>
      </w:pPr>
    </w:p>
    <w:p w:rsidR="00E3189C" w:rsidRPr="00E3189C" w:rsidRDefault="00E3189C" w:rsidP="00E3189C">
      <w:pPr>
        <w:pStyle w:val="Style6"/>
        <w:numPr>
          <w:ilvl w:val="0"/>
          <w:numId w:val="10"/>
        </w:numPr>
        <w:jc w:val="left"/>
        <w:rPr>
          <w:spacing w:val="6"/>
        </w:rPr>
      </w:pPr>
      <w:r w:rsidRPr="00E3189C">
        <w:rPr>
          <w:spacing w:val="6"/>
        </w:rPr>
        <w:t>End of model year GHG emissions report for CO</w:t>
      </w:r>
      <w:r w:rsidRPr="00E3189C">
        <w:rPr>
          <w:spacing w:val="6"/>
          <w:vertAlign w:val="subscript"/>
        </w:rPr>
        <w:t>2</w:t>
      </w:r>
      <w:r w:rsidRPr="00E3189C">
        <w:rPr>
          <w:spacing w:val="6"/>
        </w:rPr>
        <w:t>, including t</w:t>
      </w:r>
      <w:r w:rsidRPr="00E3189C">
        <w:rPr>
          <w:color w:val="000000"/>
        </w:rPr>
        <w:t>he final fleet average standard, all values required to calculate the fleet average standard, the actual fleet average CO</w:t>
      </w:r>
      <w:r w:rsidRPr="00E3189C">
        <w:rPr>
          <w:color w:val="000000"/>
          <w:vertAlign w:val="subscript"/>
        </w:rPr>
        <w:t>2</w:t>
      </w:r>
      <w:r w:rsidRPr="00E3189C">
        <w:rPr>
          <w:color w:val="000000"/>
        </w:rPr>
        <w:t xml:space="preserve"> that was achieved, all values required to calculate the actual fleet average, the number of credits generated or debits incurred, all the values required to calculate the credits or debits, and the resulting balance of credits or debits.  </w:t>
      </w:r>
    </w:p>
    <w:p w:rsidR="00E3189C" w:rsidRPr="00E3189C" w:rsidRDefault="00E3189C" w:rsidP="00E3189C">
      <w:pPr>
        <w:pStyle w:val="Style6"/>
        <w:numPr>
          <w:ilvl w:val="0"/>
          <w:numId w:val="10"/>
        </w:numPr>
        <w:jc w:val="left"/>
        <w:rPr>
          <w:spacing w:val="6"/>
        </w:rPr>
      </w:pPr>
      <w:r w:rsidRPr="00E3189C">
        <w:rPr>
          <w:spacing w:val="6"/>
        </w:rPr>
        <w:t xml:space="preserve">Report of credit transactions. </w:t>
      </w:r>
    </w:p>
    <w:p w:rsidR="00E3189C" w:rsidRPr="00E3189C" w:rsidRDefault="00E3189C" w:rsidP="00E3189C">
      <w:pPr>
        <w:pStyle w:val="Style6"/>
        <w:ind w:left="720"/>
        <w:jc w:val="left"/>
        <w:rPr>
          <w:spacing w:val="6"/>
        </w:rPr>
      </w:pPr>
    </w:p>
    <w:p w:rsidR="00E3189C" w:rsidRPr="00E3189C" w:rsidRDefault="00E3189C" w:rsidP="00E3189C">
      <w:pPr>
        <w:pStyle w:val="Style6"/>
        <w:ind w:left="720"/>
        <w:jc w:val="left"/>
        <w:rPr>
          <w:spacing w:val="6"/>
        </w:rPr>
      </w:pPr>
      <w:r w:rsidRPr="00E3189C">
        <w:rPr>
          <w:spacing w:val="6"/>
        </w:rPr>
        <w:t>During in-use testing:</w:t>
      </w:r>
    </w:p>
    <w:p w:rsidR="00E3189C" w:rsidRPr="00E3189C" w:rsidRDefault="00E3189C" w:rsidP="00E3189C">
      <w:pPr>
        <w:pStyle w:val="Style6"/>
        <w:ind w:left="720"/>
        <w:jc w:val="left"/>
        <w:rPr>
          <w:spacing w:val="6"/>
        </w:rPr>
      </w:pPr>
    </w:p>
    <w:p w:rsidR="00E3189C" w:rsidRDefault="00E3189C" w:rsidP="00E3189C">
      <w:pPr>
        <w:pStyle w:val="Style6"/>
        <w:numPr>
          <w:ilvl w:val="0"/>
          <w:numId w:val="10"/>
        </w:numPr>
        <w:jc w:val="left"/>
        <w:rPr>
          <w:spacing w:val="6"/>
        </w:rPr>
      </w:pPr>
      <w:r w:rsidRPr="00E3189C">
        <w:rPr>
          <w:spacing w:val="6"/>
        </w:rPr>
        <w:t>Results of the highway fuel economy test (HFET) along with the currently-reported FTP results for each tested vehicle.</w:t>
      </w:r>
    </w:p>
    <w:p w:rsidR="005E137A" w:rsidRPr="00E3189C" w:rsidRDefault="005E137A" w:rsidP="005E137A">
      <w:pPr>
        <w:pStyle w:val="Style6"/>
        <w:ind w:left="2160"/>
        <w:jc w:val="left"/>
        <w:rPr>
          <w:spacing w:val="6"/>
        </w:rPr>
      </w:pPr>
    </w:p>
    <w:p w:rsidR="00CF18A8" w:rsidRDefault="00E3189C" w:rsidP="004C72D6">
      <w:pPr>
        <w:pStyle w:val="Style6"/>
        <w:jc w:val="left"/>
        <w:rPr>
          <w:spacing w:val="6"/>
        </w:rPr>
      </w:pPr>
      <w:r>
        <w:rPr>
          <w:spacing w:val="6"/>
        </w:rPr>
        <w:tab/>
      </w:r>
      <w:r w:rsidR="00CF18A8">
        <w:rPr>
          <w:spacing w:val="6"/>
        </w:rPr>
        <w:t xml:space="preserve">The current rule makes the following </w:t>
      </w:r>
      <w:r w:rsidR="00F406CD">
        <w:rPr>
          <w:spacing w:val="6"/>
        </w:rPr>
        <w:t>addition</w:t>
      </w:r>
      <w:r w:rsidR="00F412C6">
        <w:rPr>
          <w:spacing w:val="6"/>
        </w:rPr>
        <w:t>s</w:t>
      </w:r>
      <w:r w:rsidR="00F406CD">
        <w:rPr>
          <w:spacing w:val="6"/>
        </w:rPr>
        <w:t xml:space="preserve"> to the data items </w:t>
      </w:r>
      <w:r w:rsidR="00C55924">
        <w:rPr>
          <w:spacing w:val="6"/>
        </w:rPr>
        <w:t xml:space="preserve">that </w:t>
      </w:r>
      <w:r w:rsidR="00F412C6">
        <w:rPr>
          <w:spacing w:val="6"/>
        </w:rPr>
        <w:t>are</w:t>
      </w:r>
      <w:r w:rsidR="00C55924">
        <w:rPr>
          <w:spacing w:val="6"/>
        </w:rPr>
        <w:t xml:space="preserve"> reflected in this ICR</w:t>
      </w:r>
      <w:r w:rsidR="00CF18A8">
        <w:rPr>
          <w:spacing w:val="6"/>
        </w:rPr>
        <w:t>:</w:t>
      </w:r>
    </w:p>
    <w:p w:rsidR="00CF18A8" w:rsidRDefault="00CF18A8" w:rsidP="004C72D6">
      <w:pPr>
        <w:pStyle w:val="Style6"/>
        <w:jc w:val="left"/>
        <w:rPr>
          <w:spacing w:val="6"/>
        </w:rPr>
      </w:pPr>
    </w:p>
    <w:p w:rsidR="00CF18A8" w:rsidRDefault="00CF18A8" w:rsidP="004C72D6">
      <w:pPr>
        <w:pStyle w:val="Style6"/>
        <w:jc w:val="left"/>
        <w:rPr>
          <w:spacing w:val="6"/>
        </w:rPr>
      </w:pPr>
      <w:r>
        <w:rPr>
          <w:spacing w:val="6"/>
        </w:rPr>
        <w:tab/>
      </w:r>
      <w:r w:rsidR="000F6458">
        <w:rPr>
          <w:spacing w:val="6"/>
        </w:rPr>
        <w:t xml:space="preserve"> </w:t>
      </w:r>
      <w:r w:rsidRPr="000F6458">
        <w:rPr>
          <w:spacing w:val="6"/>
          <w:u w:val="single"/>
        </w:rPr>
        <w:t>Small Volume Manufacturers</w:t>
      </w:r>
      <w:r>
        <w:rPr>
          <w:spacing w:val="6"/>
        </w:rPr>
        <w:t xml:space="preserve"> </w:t>
      </w:r>
      <w:r w:rsidR="00192960">
        <w:rPr>
          <w:spacing w:val="6"/>
        </w:rPr>
        <w:t xml:space="preserve">(less than 5,000 units per year sold in the U.S.) </w:t>
      </w:r>
      <w:r>
        <w:rPr>
          <w:spacing w:val="6"/>
        </w:rPr>
        <w:t>must submit a request for alternative CO</w:t>
      </w:r>
      <w:r w:rsidR="00324D77" w:rsidRPr="00324D77">
        <w:rPr>
          <w:spacing w:val="6"/>
          <w:vertAlign w:val="subscript"/>
        </w:rPr>
        <w:t>2</w:t>
      </w:r>
      <w:r>
        <w:rPr>
          <w:spacing w:val="6"/>
        </w:rPr>
        <w:t xml:space="preserve"> standards or else comply with </w:t>
      </w:r>
      <w:r w:rsidR="00964D16">
        <w:rPr>
          <w:spacing w:val="6"/>
        </w:rPr>
        <w:t xml:space="preserve">the regular standards. </w:t>
      </w:r>
      <w:r w:rsidR="00C55924">
        <w:rPr>
          <w:spacing w:val="6"/>
        </w:rPr>
        <w:t xml:space="preserve">The ICR assumes that </w:t>
      </w:r>
      <w:r w:rsidR="00F412C6">
        <w:rPr>
          <w:spacing w:val="6"/>
        </w:rPr>
        <w:t xml:space="preserve">eligible </w:t>
      </w:r>
      <w:r w:rsidR="00C55924">
        <w:rPr>
          <w:spacing w:val="6"/>
        </w:rPr>
        <w:t xml:space="preserve">SVMs will request alternative standards. </w:t>
      </w:r>
      <w:r w:rsidR="00964D16">
        <w:rPr>
          <w:spacing w:val="6"/>
        </w:rPr>
        <w:t>The data items are as follows:</w:t>
      </w:r>
    </w:p>
    <w:p w:rsidR="00964D16" w:rsidRDefault="00964D16" w:rsidP="004C72D6">
      <w:pPr>
        <w:pStyle w:val="Style6"/>
        <w:jc w:val="left"/>
        <w:rPr>
          <w:spacing w:val="6"/>
        </w:rPr>
      </w:pPr>
    </w:p>
    <w:p w:rsidR="00964D16" w:rsidRDefault="000F6458" w:rsidP="00964D16">
      <w:r>
        <w:tab/>
      </w:r>
      <w:r w:rsidR="00964D16">
        <w:t xml:space="preserve">EPA </w:t>
      </w:r>
      <w:r w:rsidR="00F412C6">
        <w:t>require</w:t>
      </w:r>
      <w:r w:rsidR="00964D16">
        <w:t>s that SVMs</w:t>
      </w:r>
      <w:r w:rsidR="00F412C6">
        <w:t xml:space="preserve"> seeking an alternative standard</w:t>
      </w:r>
      <w:r w:rsidR="00964D16">
        <w:t xml:space="preserve"> provide the following information as part of their petition for SVM standards:</w:t>
      </w:r>
      <w:r w:rsidR="00964D16" w:rsidRPr="001735EF">
        <w:t xml:space="preserve"> </w:t>
      </w:r>
    </w:p>
    <w:p w:rsidR="00964D16" w:rsidRDefault="00964D16" w:rsidP="00964D16"/>
    <w:p w:rsidR="00964D16" w:rsidRPr="00AD70CC" w:rsidRDefault="00964D16" w:rsidP="00964D16">
      <w:pPr>
        <w:rPr>
          <w:i/>
        </w:rPr>
      </w:pPr>
      <w:r w:rsidRPr="00AD70CC">
        <w:rPr>
          <w:i/>
        </w:rPr>
        <w:t>Vehicle Model and Fleet Information</w:t>
      </w:r>
    </w:p>
    <w:p w:rsidR="00964D16" w:rsidRDefault="00964D16" w:rsidP="00964D16">
      <w:pPr>
        <w:widowControl/>
        <w:numPr>
          <w:ilvl w:val="0"/>
          <w:numId w:val="15"/>
        </w:numPr>
        <w:autoSpaceDE/>
        <w:autoSpaceDN/>
        <w:spacing w:after="200" w:line="276" w:lineRule="auto"/>
      </w:pPr>
      <w:r w:rsidRPr="00D24B65">
        <w:t>MYs that the application covers – up to 5 MYs.  Sufficient information must be provided to establish alternative standards for each year</w:t>
      </w:r>
    </w:p>
    <w:p w:rsidR="00964D16" w:rsidRPr="00D24B65" w:rsidRDefault="00964D16" w:rsidP="00964D16">
      <w:pPr>
        <w:widowControl/>
        <w:numPr>
          <w:ilvl w:val="0"/>
          <w:numId w:val="15"/>
        </w:numPr>
        <w:autoSpaceDE/>
        <w:autoSpaceDN/>
        <w:spacing w:after="200" w:line="276" w:lineRule="auto"/>
      </w:pPr>
      <w:r w:rsidRPr="00D24B65">
        <w:t>Vehicle models and sales projections by model for each MY</w:t>
      </w:r>
    </w:p>
    <w:p w:rsidR="00964D16" w:rsidRPr="00D24B65" w:rsidRDefault="00964D16" w:rsidP="00964D16">
      <w:pPr>
        <w:widowControl/>
        <w:numPr>
          <w:ilvl w:val="0"/>
          <w:numId w:val="15"/>
        </w:numPr>
        <w:autoSpaceDE/>
        <w:autoSpaceDN/>
        <w:spacing w:after="200" w:line="276" w:lineRule="auto"/>
      </w:pPr>
      <w:r w:rsidRPr="00D24B65">
        <w:t>Description of models (vehicle type, mass, power, footprint, expected pricing)</w:t>
      </w:r>
    </w:p>
    <w:p w:rsidR="00964D16" w:rsidRPr="00D24B65" w:rsidRDefault="00964D16" w:rsidP="00964D16">
      <w:pPr>
        <w:widowControl/>
        <w:numPr>
          <w:ilvl w:val="0"/>
          <w:numId w:val="15"/>
        </w:numPr>
        <w:autoSpaceDE/>
        <w:autoSpaceDN/>
        <w:spacing w:after="200" w:line="276" w:lineRule="auto"/>
      </w:pPr>
      <w:r w:rsidRPr="00D24B65">
        <w:t xml:space="preserve">Description of powertrain </w:t>
      </w:r>
    </w:p>
    <w:p w:rsidR="00964D16" w:rsidRPr="00D24B65" w:rsidRDefault="00964D16" w:rsidP="00964D16">
      <w:pPr>
        <w:widowControl/>
        <w:numPr>
          <w:ilvl w:val="0"/>
          <w:numId w:val="15"/>
        </w:numPr>
        <w:autoSpaceDE/>
        <w:autoSpaceDN/>
        <w:spacing w:after="200" w:line="276" w:lineRule="auto"/>
      </w:pPr>
      <w:r w:rsidRPr="00D24B65">
        <w:t>Production cycle for each model including new</w:t>
      </w:r>
      <w:r>
        <w:t xml:space="preserve"> vehicle model</w:t>
      </w:r>
      <w:r w:rsidRPr="00D24B65">
        <w:t xml:space="preserve"> introductions</w:t>
      </w:r>
    </w:p>
    <w:p w:rsidR="00964D16" w:rsidRDefault="00964D16" w:rsidP="00964D16">
      <w:pPr>
        <w:widowControl/>
        <w:numPr>
          <w:ilvl w:val="0"/>
          <w:numId w:val="15"/>
        </w:numPr>
        <w:autoSpaceDE/>
        <w:autoSpaceDN/>
        <w:spacing w:after="200" w:line="276" w:lineRule="auto"/>
      </w:pPr>
      <w:r w:rsidRPr="00D24B65">
        <w:t>Vehicle footprint based targets and projected fleet average standard under primary program by model year</w:t>
      </w:r>
    </w:p>
    <w:p w:rsidR="00964D16" w:rsidRPr="00AD70CC" w:rsidRDefault="00964D16" w:rsidP="00964D16">
      <w:pPr>
        <w:rPr>
          <w:i/>
        </w:rPr>
      </w:pPr>
      <w:r w:rsidRPr="00AD70CC">
        <w:rPr>
          <w:i/>
        </w:rPr>
        <w:t>Technology Evaluation</w:t>
      </w:r>
    </w:p>
    <w:p w:rsidR="00964D16" w:rsidRPr="00715A12" w:rsidRDefault="00964D16" w:rsidP="00964D16">
      <w:pPr>
        <w:widowControl/>
        <w:numPr>
          <w:ilvl w:val="0"/>
          <w:numId w:val="16"/>
        </w:numPr>
        <w:autoSpaceDE/>
        <w:autoSpaceDN/>
        <w:spacing w:after="200" w:line="276" w:lineRule="auto"/>
      </w:pPr>
      <w:r w:rsidRPr="00715A12">
        <w:t>CO</w:t>
      </w:r>
      <w:r w:rsidRPr="007E7CA6">
        <w:rPr>
          <w:vertAlign w:val="subscript"/>
        </w:rPr>
        <w:t>2</w:t>
      </w:r>
      <w:r w:rsidRPr="00715A12">
        <w:t xml:space="preserve"> reduction technologies </w:t>
      </w:r>
      <w:r>
        <w:t xml:space="preserve">employed or expected to be on the </w:t>
      </w:r>
      <w:r w:rsidRPr="00715A12">
        <w:t xml:space="preserve"> vehicle model</w:t>
      </w:r>
      <w:r>
        <w:t>(s)</w:t>
      </w:r>
      <w:r w:rsidRPr="00715A12">
        <w:t xml:space="preserve"> </w:t>
      </w:r>
      <w:r>
        <w:t xml:space="preserve">for the applicable model years, </w:t>
      </w:r>
      <w:r w:rsidRPr="00715A12">
        <w:t>including effectiveness and cost information</w:t>
      </w:r>
    </w:p>
    <w:p w:rsidR="00964D16" w:rsidRPr="00715A12" w:rsidRDefault="00964D16" w:rsidP="00964D16">
      <w:pPr>
        <w:widowControl/>
        <w:numPr>
          <w:ilvl w:val="1"/>
          <w:numId w:val="16"/>
        </w:numPr>
        <w:autoSpaceDE/>
        <w:autoSpaceDN/>
        <w:spacing w:after="200" w:line="276" w:lineRule="auto"/>
      </w:pPr>
      <w:r w:rsidRPr="00715A12">
        <w:t>Including A/C and potential off-cycle technologies</w:t>
      </w:r>
    </w:p>
    <w:p w:rsidR="00BE7EF6" w:rsidRPr="000547FD" w:rsidRDefault="00BE7EF6" w:rsidP="00BE7EF6">
      <w:pPr>
        <w:widowControl/>
        <w:numPr>
          <w:ilvl w:val="0"/>
          <w:numId w:val="16"/>
        </w:numPr>
        <w:autoSpaceDE/>
        <w:autoSpaceDN/>
        <w:spacing w:after="200" w:line="276" w:lineRule="auto"/>
      </w:pPr>
      <w:r w:rsidRPr="000547FD">
        <w:t xml:space="preserve">Evaluation of vehicles produced by other manufacturers similar to those produced by the petitioning SVM and certified in MYs 2012-2013 (or latest </w:t>
      </w:r>
      <w:r>
        <w:t>two</w:t>
      </w:r>
      <w:r w:rsidRPr="000547FD">
        <w:t xml:space="preserve"> MYs for later applications) for each vehicle model including CO</w:t>
      </w:r>
      <w:r w:rsidRPr="000547FD">
        <w:rPr>
          <w:vertAlign w:val="subscript"/>
        </w:rPr>
        <w:t>2</w:t>
      </w:r>
      <w:r w:rsidRPr="000547FD">
        <w:t xml:space="preserve"> results and any A/C credits generated by the models</w:t>
      </w:r>
    </w:p>
    <w:p w:rsidR="00BE7EF6" w:rsidRPr="000547FD" w:rsidRDefault="00BE7EF6" w:rsidP="00BE7EF6">
      <w:pPr>
        <w:widowControl/>
        <w:numPr>
          <w:ilvl w:val="1"/>
          <w:numId w:val="16"/>
        </w:numPr>
        <w:autoSpaceDE/>
        <w:autoSpaceDN/>
        <w:spacing w:after="200" w:line="276" w:lineRule="auto"/>
      </w:pPr>
      <w:r w:rsidRPr="000547FD">
        <w:t>Similar vehicles must be selected based on vehicle type, horsepower, mass, power-to-weight, vehicle footprint, vehicle price range</w:t>
      </w:r>
      <w:r>
        <w:t>,</w:t>
      </w:r>
      <w:r w:rsidRPr="000547FD">
        <w:t xml:space="preserve"> and other relevant factors as explained by the SVM</w:t>
      </w:r>
    </w:p>
    <w:p w:rsidR="00964D16" w:rsidRPr="00715A12" w:rsidRDefault="00964D16" w:rsidP="00964D16">
      <w:pPr>
        <w:widowControl/>
        <w:numPr>
          <w:ilvl w:val="0"/>
          <w:numId w:val="16"/>
        </w:numPr>
        <w:autoSpaceDE/>
        <w:autoSpaceDN/>
        <w:spacing w:after="200" w:line="276" w:lineRule="auto"/>
      </w:pPr>
      <w:r>
        <w:t>Discussion of CO</w:t>
      </w:r>
      <w:r w:rsidRPr="00742317">
        <w:rPr>
          <w:vertAlign w:val="subscript"/>
        </w:rPr>
        <w:t>2</w:t>
      </w:r>
      <w:r>
        <w:t xml:space="preserve"> reducing technologies employed on vehicles offered by the manufacturer outside of the U.S. market but not in the U.S., including why those vehicles/technologies are not being introduced in the U.S. market as a way of reducing overall fleet CO</w:t>
      </w:r>
      <w:r w:rsidRPr="00742317">
        <w:rPr>
          <w:vertAlign w:val="subscript"/>
        </w:rPr>
        <w:t>2</w:t>
      </w:r>
      <w:r>
        <w:t xml:space="preserve"> levels</w:t>
      </w:r>
    </w:p>
    <w:p w:rsidR="00964D16" w:rsidRPr="00715A12" w:rsidRDefault="00964D16" w:rsidP="00964D16">
      <w:pPr>
        <w:widowControl/>
        <w:numPr>
          <w:ilvl w:val="0"/>
          <w:numId w:val="16"/>
        </w:numPr>
        <w:autoSpaceDE/>
        <w:autoSpaceDN/>
        <w:spacing w:after="200" w:line="276" w:lineRule="auto"/>
      </w:pPr>
      <w:r w:rsidRPr="00715A12">
        <w:t xml:space="preserve">Evaluation of technologies projected by EPA as technologies likely to be used to meet the 2012-2016 and 2017-2025 standards that are not projected to be fully </w:t>
      </w:r>
      <w:r w:rsidR="00BE7EF6">
        <w:t>utilized</w:t>
      </w:r>
      <w:r w:rsidR="00BE7EF6" w:rsidRPr="00715A12">
        <w:t xml:space="preserve"> </w:t>
      </w:r>
      <w:r w:rsidRPr="00715A12">
        <w:t xml:space="preserve">by </w:t>
      </w:r>
      <w:r w:rsidR="00BE7EF6">
        <w:t xml:space="preserve">the petitioning </w:t>
      </w:r>
      <w:r w:rsidRPr="00715A12">
        <w:t>manufacturer and explanation of reasons for not using the technologies</w:t>
      </w:r>
      <w:r w:rsidR="00BE7EF6">
        <w:t>, including relevant cost information</w:t>
      </w:r>
    </w:p>
    <w:p w:rsidR="00964D16" w:rsidRPr="00AD70CC" w:rsidRDefault="00964D16" w:rsidP="00964D16">
      <w:pPr>
        <w:rPr>
          <w:i/>
        </w:rPr>
      </w:pPr>
      <w:r w:rsidRPr="00AD70CC">
        <w:rPr>
          <w:i/>
        </w:rPr>
        <w:t>SVM Projected Standards</w:t>
      </w:r>
    </w:p>
    <w:p w:rsidR="00964D16" w:rsidRPr="00715A12" w:rsidRDefault="00964D16" w:rsidP="00964D16">
      <w:pPr>
        <w:widowControl/>
        <w:numPr>
          <w:ilvl w:val="0"/>
          <w:numId w:val="17"/>
        </w:numPr>
        <w:autoSpaceDE/>
        <w:autoSpaceDN/>
        <w:spacing w:after="200" w:line="276" w:lineRule="auto"/>
      </w:pPr>
      <w:r w:rsidRPr="00715A12">
        <w:t>The most stringent CO</w:t>
      </w:r>
      <w:r w:rsidRPr="007E7CA6">
        <w:rPr>
          <w:vertAlign w:val="subscript"/>
        </w:rPr>
        <w:t>2</w:t>
      </w:r>
      <w:r w:rsidRPr="00715A12">
        <w:t xml:space="preserve"> level estimated </w:t>
      </w:r>
      <w:r>
        <w:t xml:space="preserve">by the SVM </w:t>
      </w:r>
      <w:r w:rsidRPr="00715A12">
        <w:t xml:space="preserve">to be feasible </w:t>
      </w:r>
      <w:r>
        <w:t xml:space="preserve">and appropriate </w:t>
      </w:r>
      <w:r w:rsidRPr="00715A12">
        <w:t>by model and MY and the technological basis for the estimate</w:t>
      </w:r>
    </w:p>
    <w:p w:rsidR="00964D16" w:rsidRDefault="00964D16" w:rsidP="00964D16">
      <w:pPr>
        <w:widowControl/>
        <w:numPr>
          <w:ilvl w:val="0"/>
          <w:numId w:val="17"/>
        </w:numPr>
        <w:autoSpaceDE/>
        <w:autoSpaceDN/>
        <w:spacing w:after="200" w:line="276" w:lineRule="auto"/>
      </w:pPr>
      <w:r w:rsidRPr="00715A12">
        <w:lastRenderedPageBreak/>
        <w:t>For each MY, projection of the lowest fleet average CO</w:t>
      </w:r>
      <w:r w:rsidRPr="00F50E3B">
        <w:rPr>
          <w:vertAlign w:val="subscript"/>
        </w:rPr>
        <w:t>2</w:t>
      </w:r>
      <w:r w:rsidRPr="00715A12">
        <w:t xml:space="preserve"> production mix of vehicle models and discussion demonstrating that these projections are reasonable</w:t>
      </w:r>
    </w:p>
    <w:p w:rsidR="00964D16" w:rsidRDefault="00964D16" w:rsidP="00964D16">
      <w:pPr>
        <w:widowControl/>
        <w:numPr>
          <w:ilvl w:val="0"/>
          <w:numId w:val="17"/>
        </w:numPr>
        <w:autoSpaceDE/>
        <w:autoSpaceDN/>
        <w:spacing w:after="200" w:line="276" w:lineRule="auto"/>
      </w:pPr>
      <w:r>
        <w:t>A copy of a</w:t>
      </w:r>
      <w:r w:rsidRPr="00715A12">
        <w:t>ny applications submitted to NHTSA for MY 2012 and later alternative standards</w:t>
      </w:r>
    </w:p>
    <w:p w:rsidR="00964D16" w:rsidRPr="00113EB6" w:rsidRDefault="00964D16" w:rsidP="00964D16">
      <w:pPr>
        <w:rPr>
          <w:i/>
        </w:rPr>
      </w:pPr>
      <w:r w:rsidRPr="00113EB6">
        <w:rPr>
          <w:i/>
        </w:rPr>
        <w:t>Eligibility</w:t>
      </w:r>
    </w:p>
    <w:p w:rsidR="00964D16" w:rsidRDefault="00964D16" w:rsidP="00964D16">
      <w:pPr>
        <w:pStyle w:val="ListParagraph"/>
        <w:numPr>
          <w:ilvl w:val="0"/>
          <w:numId w:val="18"/>
        </w:numPr>
      </w:pPr>
      <w:r>
        <w:t>U.S. sales for previous three model years and projections for production volumes over the time period covered by the application</w:t>
      </w:r>
    </w:p>
    <w:p w:rsidR="00964D16" w:rsidRDefault="00964D16" w:rsidP="00964D16">
      <w:pPr>
        <w:pStyle w:val="ListParagraph"/>
        <w:numPr>
          <w:ilvl w:val="0"/>
          <w:numId w:val="18"/>
        </w:numPr>
      </w:pPr>
      <w:r>
        <w:t>Complete information on ownership structure in cases where SVM has ties to other manufacturers with U.S. vehicle sales</w:t>
      </w:r>
    </w:p>
    <w:p w:rsidR="00192960" w:rsidRDefault="00192960" w:rsidP="00192960">
      <w:r>
        <w:t>New SVMs intending to enter the market in 2017 – 2025 have additional reporting requirements:</w:t>
      </w:r>
    </w:p>
    <w:p w:rsidR="00192960" w:rsidRDefault="00192960" w:rsidP="00192960"/>
    <w:p w:rsidR="00192960" w:rsidRDefault="00192960" w:rsidP="00192960">
      <w:pPr>
        <w:pStyle w:val="ListParagraph"/>
        <w:numPr>
          <w:ilvl w:val="0"/>
          <w:numId w:val="19"/>
        </w:numPr>
      </w:pPr>
      <w:r w:rsidRPr="000F6458">
        <w:t xml:space="preserve">evidence that the company intends to enter the U.S. market within the time frame of the MY2017-2025 SVM standards.  Such evidence would include documentation of work underway to establish a dealer network, appropriate financing and marketing plans, and evidence the company is working to meet other federal vehicle requirements such as other EPA emissions standards and NHTSA vehicle safety standards.  </w:t>
      </w:r>
    </w:p>
    <w:p w:rsidR="00BE7EF6" w:rsidRPr="000F6458" w:rsidRDefault="00BE7EF6" w:rsidP="00BE7EF6">
      <w:pPr>
        <w:ind w:firstLine="360"/>
      </w:pPr>
      <w:r>
        <w:t>In addition, EPA requires that manufacturers seeking an operational independence determination to become eligible for SVM alternative standards provide information demonstrating that they meet the following criteria:</w:t>
      </w:r>
    </w:p>
    <w:p w:rsidR="00BE7EF6" w:rsidRDefault="00BE7EF6" w:rsidP="004C72D6">
      <w:pPr>
        <w:rPr>
          <w:spacing w:val="6"/>
        </w:rPr>
      </w:pPr>
    </w:p>
    <w:p w:rsidR="00BE7EF6" w:rsidRPr="00887A52" w:rsidRDefault="00BE7EF6" w:rsidP="00BE7EF6">
      <w:pPr>
        <w:widowControl/>
        <w:numPr>
          <w:ilvl w:val="0"/>
          <w:numId w:val="20"/>
        </w:numPr>
        <w:autoSpaceDE/>
        <w:autoSpaceDN/>
        <w:spacing w:after="200" w:line="276" w:lineRule="auto"/>
      </w:pPr>
      <w:r w:rsidRPr="00887A52">
        <w:t xml:space="preserve">No financial or other support of economic value was provided by related manufacturers for purposes of design, parts procurement, R&amp;D and production facilities and operation.  Any other transactions with related manufacturers must be conducted under normal commercial arrangements like those conducted with other parties.  Any such transactions shall be at competitive pricing rates to the manufacturer. </w:t>
      </w:r>
    </w:p>
    <w:p w:rsidR="00BE7EF6" w:rsidRPr="00887A52" w:rsidRDefault="00BE7EF6" w:rsidP="00BE7EF6">
      <w:pPr>
        <w:widowControl/>
        <w:numPr>
          <w:ilvl w:val="0"/>
          <w:numId w:val="20"/>
        </w:numPr>
        <w:autoSpaceDE/>
        <w:autoSpaceDN/>
        <w:spacing w:after="200" w:line="276" w:lineRule="auto"/>
      </w:pPr>
      <w:r w:rsidRPr="00887A52">
        <w:t>The applicant maintains separate and independent research and development, testing, and manufacturing/production facilities.</w:t>
      </w:r>
    </w:p>
    <w:p w:rsidR="00BE7EF6" w:rsidRPr="00887A52" w:rsidRDefault="00BE7EF6" w:rsidP="00BE7EF6">
      <w:pPr>
        <w:widowControl/>
        <w:numPr>
          <w:ilvl w:val="0"/>
          <w:numId w:val="20"/>
        </w:numPr>
        <w:autoSpaceDE/>
        <w:autoSpaceDN/>
        <w:spacing w:after="200" w:line="276" w:lineRule="auto"/>
      </w:pPr>
      <w:r w:rsidRPr="00887A52">
        <w:t>The applicant does not use any vehicle engines, powertrains, or platforms developed or produced by related manufacturers.</w:t>
      </w:r>
    </w:p>
    <w:p w:rsidR="00BE7EF6" w:rsidRPr="00887A52" w:rsidRDefault="00BE7EF6" w:rsidP="00BE7EF6">
      <w:pPr>
        <w:widowControl/>
        <w:numPr>
          <w:ilvl w:val="0"/>
          <w:numId w:val="20"/>
        </w:numPr>
        <w:autoSpaceDE/>
        <w:autoSpaceDN/>
        <w:spacing w:after="200" w:line="276" w:lineRule="auto"/>
      </w:pPr>
      <w:r w:rsidRPr="00887A52">
        <w:t xml:space="preserve">Patents are not held jointly with related manufacturers. </w:t>
      </w:r>
    </w:p>
    <w:p w:rsidR="00BE7EF6" w:rsidRPr="00887A52" w:rsidRDefault="00BE7EF6" w:rsidP="00BE7EF6">
      <w:pPr>
        <w:widowControl/>
        <w:numPr>
          <w:ilvl w:val="0"/>
          <w:numId w:val="20"/>
        </w:numPr>
        <w:autoSpaceDE/>
        <w:autoSpaceDN/>
        <w:spacing w:after="200" w:line="276" w:lineRule="auto"/>
      </w:pPr>
      <w:r w:rsidRPr="00887A52">
        <w:t xml:space="preserve">The applicant maintains separate business administration, legal, purchasing, sales, and marketing departments as well as autonomous decision making on commercial matters. </w:t>
      </w:r>
    </w:p>
    <w:p w:rsidR="00BE7EF6" w:rsidRPr="00887A52" w:rsidRDefault="00BE7EF6" w:rsidP="00BE7EF6">
      <w:pPr>
        <w:widowControl/>
        <w:numPr>
          <w:ilvl w:val="0"/>
          <w:numId w:val="20"/>
        </w:numPr>
        <w:autoSpaceDE/>
        <w:autoSpaceDN/>
        <w:spacing w:after="200" w:line="276" w:lineRule="auto"/>
      </w:pPr>
      <w:r w:rsidRPr="00887A52">
        <w:lastRenderedPageBreak/>
        <w:t>Overlap of Board of Directors is limited to 25 percent with no sharing of top operational management, including president, chief executive officer (CEO), chief financial officer (CFO), and chief operating officer (COO), and provided that no individual overlapping director or combination of overlapping directors exercises exclusive management control over either or both companies.</w:t>
      </w:r>
    </w:p>
    <w:p w:rsidR="00BE7EF6" w:rsidRPr="00887A52" w:rsidRDefault="00BE7EF6" w:rsidP="00BE7EF6">
      <w:pPr>
        <w:widowControl/>
        <w:numPr>
          <w:ilvl w:val="0"/>
          <w:numId w:val="20"/>
        </w:numPr>
        <w:autoSpaceDE/>
        <w:autoSpaceDN/>
        <w:spacing w:after="200" w:line="276" w:lineRule="auto"/>
      </w:pPr>
      <w:r w:rsidRPr="00887A52">
        <w:t>Parts or components supply agreements between related companies must be established through open market process and to the extent that manufacturer sells parts/components to non-related auto manufacturers, it does so through the open market at competitive pricing.</w:t>
      </w:r>
    </w:p>
    <w:p w:rsidR="00E60569" w:rsidRDefault="0067539C" w:rsidP="004C72D6">
      <w:r>
        <w:t>M</w:t>
      </w:r>
      <w:r w:rsidRPr="004B4645">
        <w:t xml:space="preserve">anufacturer applying for operational independence </w:t>
      </w:r>
      <w:r>
        <w:t>must</w:t>
      </w:r>
      <w:r w:rsidRPr="004B4645">
        <w:t xml:space="preserve"> provide an attest engagement from an independent auditor verifying the accuracy of the information provided in the application.</w:t>
      </w:r>
      <w:r w:rsidR="00BC0171">
        <w:t xml:space="preserve">  </w:t>
      </w:r>
      <w:r>
        <w:t xml:space="preserve">  </w:t>
      </w:r>
    </w:p>
    <w:p w:rsidR="00E60569" w:rsidRDefault="00E60569" w:rsidP="004C72D6"/>
    <w:p w:rsidR="00BE7EF6" w:rsidRDefault="00E60569" w:rsidP="004C72D6">
      <w:pPr>
        <w:rPr>
          <w:spacing w:val="6"/>
        </w:rPr>
      </w:pPr>
      <w:r>
        <w:t>A</w:t>
      </w:r>
      <w:r w:rsidR="0067539C" w:rsidRPr="004B4645">
        <w:t>fter EPA approval, the manufacturer will be required to report within 60 days any material changes to the information provided in the application</w:t>
      </w:r>
      <w:r w:rsidR="0067539C">
        <w:t xml:space="preserve"> for the operational independence determination</w:t>
      </w:r>
      <w:r w:rsidR="0067539C" w:rsidRPr="004B4645">
        <w:t xml:space="preserve">. </w:t>
      </w:r>
    </w:p>
    <w:p w:rsidR="00BE7EF6" w:rsidRDefault="00BE7EF6" w:rsidP="004C72D6">
      <w:pPr>
        <w:rPr>
          <w:spacing w:val="6"/>
        </w:rPr>
      </w:pPr>
    </w:p>
    <w:p w:rsidR="004C72D6" w:rsidRDefault="000062EF" w:rsidP="004C72D6">
      <w:pPr>
        <w:rPr>
          <w:spacing w:val="6"/>
          <w:u w:val="single"/>
        </w:rPr>
      </w:pPr>
      <w:r w:rsidRPr="00465950">
        <w:rPr>
          <w:spacing w:val="6"/>
        </w:rPr>
        <w:t xml:space="preserve"> </w:t>
      </w:r>
      <w:r w:rsidR="004C72D6" w:rsidRPr="00465950">
        <w:rPr>
          <w:spacing w:val="6"/>
        </w:rPr>
        <w:t xml:space="preserve">(ii) </w:t>
      </w:r>
      <w:r w:rsidR="004C72D6" w:rsidRPr="005379F3">
        <w:rPr>
          <w:spacing w:val="6"/>
          <w:u w:val="single"/>
        </w:rPr>
        <w:t>Respondent Activities</w:t>
      </w:r>
    </w:p>
    <w:p w:rsidR="004C72D6" w:rsidRPr="005379F3" w:rsidRDefault="004C72D6" w:rsidP="004C72D6">
      <w:pPr>
        <w:rPr>
          <w:spacing w:val="6"/>
        </w:rPr>
      </w:pPr>
    </w:p>
    <w:p w:rsidR="004C72D6" w:rsidRPr="004D5102" w:rsidRDefault="004C72D6" w:rsidP="004C72D6">
      <w:pPr>
        <w:pStyle w:val="Style6"/>
        <w:jc w:val="left"/>
        <w:rPr>
          <w:spacing w:val="6"/>
        </w:rPr>
      </w:pPr>
      <w:r>
        <w:rPr>
          <w:spacing w:val="6"/>
        </w:rPr>
        <w:tab/>
      </w:r>
      <w:r w:rsidRPr="004D5102">
        <w:rPr>
          <w:spacing w:val="6"/>
        </w:rPr>
        <w:t xml:space="preserve">While there is no “typical” respondent, all manufacturers must describe their product and supply test data and other information </w:t>
      </w:r>
      <w:r>
        <w:rPr>
          <w:spacing w:val="6"/>
        </w:rPr>
        <w:t xml:space="preserve">to verify compliance, including the test data and reports added by this </w:t>
      </w:r>
      <w:r w:rsidR="00441BD8">
        <w:rPr>
          <w:spacing w:val="6"/>
        </w:rPr>
        <w:t>rule</w:t>
      </w:r>
      <w:r>
        <w:rPr>
          <w:spacing w:val="6"/>
        </w:rPr>
        <w:t xml:space="preserve">. After certification, additional fuel economy tests are conducted and the results reported to EPA for base engines within the test group. After the end of the model year a calculated fleet average greenhouse gas emissions will be calculated and reported and credits, debits, and trades described. As now, high mileage and low mileage in-use vehicles are procured by manufacturers and tested for emissions, including the testing added by </w:t>
      </w:r>
      <w:r w:rsidR="006F617E">
        <w:rPr>
          <w:spacing w:val="6"/>
        </w:rPr>
        <w:t>the prior rule</w:t>
      </w:r>
      <w:r>
        <w:rPr>
          <w:spacing w:val="6"/>
        </w:rPr>
        <w:t xml:space="preserve">. </w:t>
      </w:r>
      <w:r w:rsidRPr="004D5102">
        <w:rPr>
          <w:spacing w:val="6"/>
        </w:rPr>
        <w:t xml:space="preserve">EPA </w:t>
      </w:r>
      <w:r>
        <w:rPr>
          <w:spacing w:val="6"/>
        </w:rPr>
        <w:t>also</w:t>
      </w:r>
      <w:r w:rsidRPr="004D5102">
        <w:rPr>
          <w:spacing w:val="6"/>
        </w:rPr>
        <w:t xml:space="preserve"> conduct</w:t>
      </w:r>
      <w:r>
        <w:rPr>
          <w:spacing w:val="6"/>
        </w:rPr>
        <w:t>s</w:t>
      </w:r>
      <w:r w:rsidRPr="004D5102">
        <w:rPr>
          <w:spacing w:val="6"/>
        </w:rPr>
        <w:t xml:space="preserve"> a limited number of “confirmatory tests” to monitor manufacturer results</w:t>
      </w:r>
      <w:r>
        <w:rPr>
          <w:spacing w:val="6"/>
        </w:rPr>
        <w:t>, and this will continue as before with inclusion of testing for GHGs</w:t>
      </w:r>
      <w:r w:rsidRPr="004D5102">
        <w:rPr>
          <w:spacing w:val="6"/>
        </w:rPr>
        <w:t xml:space="preserve">. </w:t>
      </w:r>
      <w:r>
        <w:rPr>
          <w:spacing w:val="6"/>
        </w:rPr>
        <w:t xml:space="preserve"> </w:t>
      </w:r>
      <w:r w:rsidRPr="004D5102">
        <w:rPr>
          <w:spacing w:val="6"/>
        </w:rPr>
        <w:t xml:space="preserve">This requires test vehicles </w:t>
      </w:r>
      <w:r>
        <w:rPr>
          <w:spacing w:val="6"/>
        </w:rPr>
        <w:t xml:space="preserve">to </w:t>
      </w:r>
      <w:r w:rsidRPr="004D5102">
        <w:rPr>
          <w:spacing w:val="6"/>
        </w:rPr>
        <w:t xml:space="preserve">be shipped to EPA’s laboratory. Manufacturers must also retain records. </w:t>
      </w:r>
      <w:r>
        <w:rPr>
          <w:spacing w:val="6"/>
        </w:rPr>
        <w:t xml:space="preserve"> </w:t>
      </w:r>
      <w:r w:rsidRPr="004D5102">
        <w:rPr>
          <w:spacing w:val="6"/>
        </w:rPr>
        <w:t xml:space="preserve">These tasks are repeated for each model year, although typically previous data and information can be “carried over” when no significant changes have occurred. </w:t>
      </w:r>
      <w:r>
        <w:rPr>
          <w:spacing w:val="6"/>
        </w:rPr>
        <w:t xml:space="preserve"> </w:t>
      </w:r>
      <w:r w:rsidRPr="004D5102">
        <w:rPr>
          <w:spacing w:val="6"/>
        </w:rPr>
        <w:t>If, during the course of a model year a product change is made (a “running change”), EPA must be notified.</w:t>
      </w:r>
      <w:r>
        <w:rPr>
          <w:spacing w:val="6"/>
        </w:rPr>
        <w:t xml:space="preserve">  </w:t>
      </w:r>
      <w:r w:rsidRPr="004D5102">
        <w:rPr>
          <w:spacing w:val="6"/>
        </w:rPr>
        <w:t>Under some circumstances additional test data may be required.</w:t>
      </w:r>
      <w:r>
        <w:rPr>
          <w:spacing w:val="6"/>
        </w:rPr>
        <w:t xml:space="preserve"> Manufacturer activities also include the post-certification, end of model year, and IUVP actions discussed in Section 4(b)(i). </w:t>
      </w:r>
    </w:p>
    <w:p w:rsidR="004C72D6" w:rsidRPr="005379F3" w:rsidRDefault="004C72D6" w:rsidP="004C72D6">
      <w:pPr>
        <w:pStyle w:val="Style6"/>
        <w:jc w:val="left"/>
        <w:rPr>
          <w:spacing w:val="6"/>
        </w:rPr>
      </w:pPr>
    </w:p>
    <w:p w:rsidR="004C72D6" w:rsidRDefault="004C72D6" w:rsidP="004C72D6">
      <w:pPr>
        <w:pStyle w:val="Style6"/>
        <w:jc w:val="left"/>
        <w:rPr>
          <w:spacing w:val="6"/>
          <w:u w:val="single"/>
        </w:rPr>
      </w:pPr>
      <w:r w:rsidRPr="005379F3">
        <w:rPr>
          <w:spacing w:val="4"/>
          <w:u w:val="single"/>
        </w:rPr>
        <w:t>Sectio</w:t>
      </w:r>
      <w:r>
        <w:rPr>
          <w:spacing w:val="4"/>
          <w:u w:val="single"/>
        </w:rPr>
        <w:t>n 5: The Information Collected—</w:t>
      </w:r>
      <w:r w:rsidRPr="005379F3">
        <w:rPr>
          <w:spacing w:val="4"/>
          <w:u w:val="single"/>
        </w:rPr>
        <w:t xml:space="preserve">Agency Activities, Collection Methodology, and </w:t>
      </w:r>
      <w:r>
        <w:rPr>
          <w:spacing w:val="4"/>
          <w:u w:val="single"/>
        </w:rPr>
        <w:t>I</w:t>
      </w:r>
      <w:r w:rsidRPr="005379F3">
        <w:rPr>
          <w:spacing w:val="4"/>
          <w:u w:val="single"/>
        </w:rPr>
        <w:t>nformation</w:t>
      </w:r>
      <w:r w:rsidRPr="00EF655F">
        <w:rPr>
          <w:spacing w:val="4"/>
          <w:u w:val="single"/>
        </w:rPr>
        <w:t xml:space="preserve"> </w:t>
      </w:r>
      <w:r w:rsidRPr="005379F3">
        <w:rPr>
          <w:spacing w:val="6"/>
          <w:u w:val="single"/>
        </w:rPr>
        <w:t>Management</w:t>
      </w:r>
    </w:p>
    <w:p w:rsidR="004C72D6" w:rsidRPr="005379F3" w:rsidRDefault="004C72D6" w:rsidP="004C72D6">
      <w:pPr>
        <w:pStyle w:val="Style5"/>
        <w:adjustRightInd/>
        <w:rPr>
          <w:spacing w:val="6"/>
        </w:rPr>
      </w:pPr>
    </w:p>
    <w:p w:rsidR="000062EF" w:rsidRDefault="004C72D6" w:rsidP="000062EF">
      <w:pPr>
        <w:numPr>
          <w:ilvl w:val="0"/>
          <w:numId w:val="3"/>
        </w:numPr>
        <w:rPr>
          <w:spacing w:val="6"/>
        </w:rPr>
      </w:pPr>
      <w:r w:rsidRPr="005379F3">
        <w:rPr>
          <w:spacing w:val="6"/>
          <w:u w:val="single"/>
        </w:rPr>
        <w:t>Agency Activities</w:t>
      </w:r>
      <w:r w:rsidR="000062EF">
        <w:rPr>
          <w:spacing w:val="6"/>
        </w:rPr>
        <w:t xml:space="preserve"> </w:t>
      </w:r>
    </w:p>
    <w:p w:rsidR="000062EF" w:rsidRPr="000062EF" w:rsidRDefault="000062EF" w:rsidP="000062EF">
      <w:pPr>
        <w:rPr>
          <w:spacing w:val="6"/>
        </w:rPr>
      </w:pPr>
    </w:p>
    <w:p w:rsidR="004C72D6" w:rsidRDefault="004C72D6" w:rsidP="004C72D6">
      <w:pPr>
        <w:pStyle w:val="Style6"/>
        <w:jc w:val="left"/>
        <w:rPr>
          <w:spacing w:val="6"/>
        </w:rPr>
      </w:pPr>
      <w:r>
        <w:rPr>
          <w:spacing w:val="6"/>
        </w:rPr>
        <w:tab/>
      </w:r>
      <w:r w:rsidRPr="00834D74">
        <w:rPr>
          <w:spacing w:val="6"/>
        </w:rPr>
        <w:t xml:space="preserve">The test data used </w:t>
      </w:r>
      <w:r>
        <w:rPr>
          <w:spacing w:val="6"/>
        </w:rPr>
        <w:t xml:space="preserve">by EPA </w:t>
      </w:r>
      <w:r w:rsidRPr="00834D74">
        <w:rPr>
          <w:spacing w:val="6"/>
        </w:rPr>
        <w:t xml:space="preserve">to determine </w:t>
      </w:r>
      <w:r>
        <w:rPr>
          <w:spacing w:val="6"/>
        </w:rPr>
        <w:t>compliance with GHGs and other emissions and fuel economy standards are</w:t>
      </w:r>
      <w:r w:rsidRPr="00834D74">
        <w:rPr>
          <w:spacing w:val="6"/>
        </w:rPr>
        <w:t xml:space="preserve"> derived from vehicle testing done by vehicle manufacturers who </w:t>
      </w:r>
      <w:r>
        <w:rPr>
          <w:spacing w:val="6"/>
        </w:rPr>
        <w:t>report</w:t>
      </w:r>
      <w:r w:rsidRPr="00834D74">
        <w:rPr>
          <w:spacing w:val="6"/>
        </w:rPr>
        <w:t xml:space="preserve"> their own test data to EPA</w:t>
      </w:r>
      <w:r>
        <w:rPr>
          <w:spacing w:val="6"/>
        </w:rPr>
        <w:t xml:space="preserve">, and </w:t>
      </w:r>
      <w:r w:rsidRPr="00834D74">
        <w:rPr>
          <w:spacing w:val="6"/>
        </w:rPr>
        <w:t xml:space="preserve">at EPA's National Vehicle </w:t>
      </w:r>
      <w:r w:rsidRPr="00834D74">
        <w:rPr>
          <w:spacing w:val="6"/>
        </w:rPr>
        <w:lastRenderedPageBreak/>
        <w:t>and Fuel Emissions Labora</w:t>
      </w:r>
      <w:r>
        <w:rPr>
          <w:spacing w:val="6"/>
        </w:rPr>
        <w:t xml:space="preserve">tory in </w:t>
      </w:r>
      <w:smartTag w:uri="urn:schemas-microsoft-com:office:smarttags" w:element="place">
        <w:smartTag w:uri="urn:schemas-microsoft-com:office:smarttags" w:element="City">
          <w:r>
            <w:rPr>
              <w:spacing w:val="6"/>
            </w:rPr>
            <w:t>Ann Arbor</w:t>
          </w:r>
        </w:smartTag>
        <w:r>
          <w:rPr>
            <w:spacing w:val="6"/>
          </w:rPr>
          <w:t xml:space="preserve">, </w:t>
        </w:r>
        <w:smartTag w:uri="urn:schemas-microsoft-com:office:smarttags" w:element="State">
          <w:r>
            <w:rPr>
              <w:spacing w:val="6"/>
            </w:rPr>
            <w:t>Michigan</w:t>
          </w:r>
        </w:smartTag>
      </w:smartTag>
      <w:r w:rsidRPr="00834D74">
        <w:rPr>
          <w:spacing w:val="6"/>
        </w:rPr>
        <w:t xml:space="preserve">. </w:t>
      </w:r>
      <w:r>
        <w:rPr>
          <w:spacing w:val="6"/>
        </w:rPr>
        <w:t xml:space="preserve"> </w:t>
      </w:r>
      <w:r w:rsidRPr="00834D74">
        <w:rPr>
          <w:spacing w:val="6"/>
        </w:rPr>
        <w:t xml:space="preserve">Each year, EPA provides fuel economy data to the Department of Energy (DOE), </w:t>
      </w:r>
      <w:r>
        <w:rPr>
          <w:spacing w:val="6"/>
        </w:rPr>
        <w:t>NHTSA,</w:t>
      </w:r>
      <w:r w:rsidRPr="00834D74">
        <w:rPr>
          <w:spacing w:val="6"/>
        </w:rPr>
        <w:t xml:space="preserve"> and the Internal Revenue Service (IRS) so that they can administer their fuel economy-related programs. </w:t>
      </w:r>
      <w:r>
        <w:rPr>
          <w:spacing w:val="6"/>
        </w:rPr>
        <w:t xml:space="preserve"> </w:t>
      </w:r>
      <w:r w:rsidRPr="00834D74">
        <w:rPr>
          <w:spacing w:val="6"/>
        </w:rPr>
        <w:t xml:space="preserve">DOE publishes the annual fuel economy label values in the annual Fuel Economy Guide and on the fuel economy web site at http://www.fueleconomy.gov. </w:t>
      </w:r>
      <w:r>
        <w:rPr>
          <w:spacing w:val="6"/>
        </w:rPr>
        <w:t xml:space="preserve"> NHTSA</w:t>
      </w:r>
      <w:r w:rsidRPr="00834D74">
        <w:rPr>
          <w:spacing w:val="6"/>
        </w:rPr>
        <w:t xml:space="preserve"> receives the manufacturers' fleet average fuel economy from EPA, and determines if manufacturers are complying with the CAFE standards. </w:t>
      </w:r>
      <w:r>
        <w:rPr>
          <w:spacing w:val="6"/>
        </w:rPr>
        <w:t xml:space="preserve"> </w:t>
      </w:r>
      <w:r w:rsidRPr="00834D74">
        <w:rPr>
          <w:spacing w:val="6"/>
        </w:rPr>
        <w:t xml:space="preserve">EPA provides IRS with the fuel economy data for vehicles </w:t>
      </w:r>
      <w:r>
        <w:rPr>
          <w:spacing w:val="6"/>
        </w:rPr>
        <w:t>that</w:t>
      </w:r>
      <w:r w:rsidRPr="00834D74">
        <w:rPr>
          <w:spacing w:val="6"/>
        </w:rPr>
        <w:t xml:space="preserve"> may be subject to the Gas Guzzler tax penalty. </w:t>
      </w:r>
      <w:r>
        <w:rPr>
          <w:spacing w:val="6"/>
        </w:rPr>
        <w:t xml:space="preserve"> The </w:t>
      </w:r>
      <w:r w:rsidRPr="00834D74">
        <w:rPr>
          <w:spacing w:val="6"/>
        </w:rPr>
        <w:t>IRS is responsible for collecting those taxes from manufacturers.</w:t>
      </w:r>
    </w:p>
    <w:p w:rsidR="004C72D6" w:rsidRPr="00834D74" w:rsidRDefault="004C72D6" w:rsidP="004C72D6">
      <w:pPr>
        <w:pStyle w:val="Style6"/>
        <w:jc w:val="left"/>
        <w:rPr>
          <w:spacing w:val="6"/>
        </w:rPr>
      </w:pPr>
    </w:p>
    <w:p w:rsidR="004C72D6" w:rsidRDefault="004C72D6" w:rsidP="004C72D6">
      <w:pPr>
        <w:pStyle w:val="Style6"/>
        <w:jc w:val="left"/>
        <w:rPr>
          <w:u w:val="single"/>
        </w:rPr>
      </w:pPr>
      <w:r w:rsidRPr="00EF655F">
        <w:t xml:space="preserve">5(b) </w:t>
      </w:r>
      <w:r w:rsidRPr="00EF655F">
        <w:rPr>
          <w:u w:val="single"/>
        </w:rPr>
        <w:t>Collection Methodology and Management</w:t>
      </w:r>
    </w:p>
    <w:p w:rsidR="004C72D6" w:rsidRDefault="004C72D6" w:rsidP="004C72D6">
      <w:pPr>
        <w:pStyle w:val="Style6"/>
        <w:jc w:val="left"/>
        <w:rPr>
          <w:u w:val="single"/>
        </w:rPr>
      </w:pPr>
    </w:p>
    <w:p w:rsidR="004C72D6" w:rsidRDefault="004C72D6" w:rsidP="004C72D6">
      <w:pPr>
        <w:pStyle w:val="Style6"/>
        <w:jc w:val="left"/>
        <w:rPr>
          <w:spacing w:val="6"/>
        </w:rPr>
      </w:pPr>
      <w:r>
        <w:rPr>
          <w:spacing w:val="6"/>
        </w:rPr>
        <w:tab/>
      </w:r>
      <w:r w:rsidRPr="00E4121A">
        <w:rPr>
          <w:spacing w:val="6"/>
        </w:rPr>
        <w:t xml:space="preserve">EPA currently makes extensive use of computers in collecting information from vehicle manufacturers. </w:t>
      </w:r>
      <w:r>
        <w:rPr>
          <w:spacing w:val="6"/>
        </w:rPr>
        <w:t xml:space="preserve"> </w:t>
      </w:r>
      <w:r w:rsidRPr="00E4121A">
        <w:rPr>
          <w:spacing w:val="6"/>
        </w:rPr>
        <w:t xml:space="preserve">Essentially all routine information (test results </w:t>
      </w:r>
      <w:r>
        <w:rPr>
          <w:spacing w:val="6"/>
        </w:rPr>
        <w:t>and</w:t>
      </w:r>
      <w:r w:rsidRPr="00E4121A">
        <w:rPr>
          <w:spacing w:val="6"/>
        </w:rPr>
        <w:t xml:space="preserve"> vehicle descriptions</w:t>
      </w:r>
      <w:r>
        <w:rPr>
          <w:spacing w:val="6"/>
        </w:rPr>
        <w:t xml:space="preserve"> in applications for certification and subsequ</w:t>
      </w:r>
      <w:r w:rsidR="000062EF">
        <w:rPr>
          <w:spacing w:val="6"/>
        </w:rPr>
        <w:t>ent model tests, IUVP data, end-of-</w:t>
      </w:r>
      <w:r>
        <w:rPr>
          <w:spacing w:val="6"/>
        </w:rPr>
        <w:t xml:space="preserve">year reports, </w:t>
      </w:r>
      <w:r w:rsidR="00EB201D">
        <w:rPr>
          <w:spacing w:val="6"/>
        </w:rPr>
        <w:t xml:space="preserve">credits and </w:t>
      </w:r>
      <w:r>
        <w:rPr>
          <w:spacing w:val="6"/>
        </w:rPr>
        <w:t>ABT reports, deterioration determinations, etc.</w:t>
      </w:r>
      <w:r w:rsidRPr="00E4121A">
        <w:rPr>
          <w:spacing w:val="6"/>
        </w:rPr>
        <w:t>) is electronically transmitted directly from the manufacturers through the V</w:t>
      </w:r>
      <w:r>
        <w:rPr>
          <w:spacing w:val="6"/>
        </w:rPr>
        <w:t>erify</w:t>
      </w:r>
      <w:r w:rsidRPr="00E4121A">
        <w:rPr>
          <w:spacing w:val="6"/>
        </w:rPr>
        <w:t xml:space="preserve"> system. </w:t>
      </w:r>
      <w:r>
        <w:rPr>
          <w:spacing w:val="6"/>
        </w:rPr>
        <w:t xml:space="preserve"> </w:t>
      </w:r>
      <w:r w:rsidRPr="00E4121A">
        <w:rPr>
          <w:spacing w:val="6"/>
        </w:rPr>
        <w:t>Remaining information, including diagrams and narrative descriptions</w:t>
      </w:r>
      <w:r>
        <w:rPr>
          <w:spacing w:val="6"/>
        </w:rPr>
        <w:t xml:space="preserve"> of vehicles</w:t>
      </w:r>
      <w:r w:rsidRPr="00E4121A">
        <w:rPr>
          <w:spacing w:val="6"/>
        </w:rPr>
        <w:t>, is submitted on optical disc</w:t>
      </w:r>
      <w:r>
        <w:rPr>
          <w:spacing w:val="6"/>
        </w:rPr>
        <w:t xml:space="preserve">.  The rule makes no changes in this reporting system, only changing the format and content of some of the information reported within it. </w:t>
      </w:r>
    </w:p>
    <w:p w:rsidR="004C72D6" w:rsidRPr="00E4121A" w:rsidRDefault="004C72D6" w:rsidP="004C72D6">
      <w:pPr>
        <w:pStyle w:val="Style6"/>
        <w:jc w:val="left"/>
        <w:rPr>
          <w:spacing w:val="6"/>
        </w:rPr>
      </w:pPr>
    </w:p>
    <w:p w:rsidR="004C72D6" w:rsidRPr="00E4121A" w:rsidRDefault="004C72D6" w:rsidP="004C72D6">
      <w:pPr>
        <w:pStyle w:val="Style6"/>
        <w:jc w:val="left"/>
        <w:rPr>
          <w:spacing w:val="6"/>
        </w:rPr>
      </w:pPr>
      <w:r>
        <w:rPr>
          <w:spacing w:val="6"/>
        </w:rPr>
        <w:tab/>
      </w:r>
      <w:r w:rsidRPr="00E4121A">
        <w:rPr>
          <w:spacing w:val="6"/>
        </w:rPr>
        <w:t xml:space="preserve">All information received by EPA is subject to review. </w:t>
      </w:r>
      <w:r>
        <w:rPr>
          <w:spacing w:val="6"/>
        </w:rPr>
        <w:t xml:space="preserve"> </w:t>
      </w:r>
      <w:r w:rsidRPr="00E4121A">
        <w:rPr>
          <w:spacing w:val="6"/>
        </w:rPr>
        <w:t>D</w:t>
      </w:r>
      <w:r>
        <w:rPr>
          <w:spacing w:val="6"/>
        </w:rPr>
        <w:t xml:space="preserve">ata submitted electronically are </w:t>
      </w:r>
      <w:r w:rsidRPr="00E4121A">
        <w:rPr>
          <w:spacing w:val="6"/>
        </w:rPr>
        <w:t xml:space="preserve">automatically screened; test results that are close to emission </w:t>
      </w:r>
      <w:r>
        <w:rPr>
          <w:spacing w:val="6"/>
        </w:rPr>
        <w:t xml:space="preserve">and fuel economy </w:t>
      </w:r>
      <w:r w:rsidRPr="00E4121A">
        <w:rPr>
          <w:spacing w:val="6"/>
        </w:rPr>
        <w:t xml:space="preserve">standards are reviewed in more detail. </w:t>
      </w:r>
      <w:r>
        <w:rPr>
          <w:spacing w:val="6"/>
        </w:rPr>
        <w:t xml:space="preserve"> </w:t>
      </w:r>
      <w:r w:rsidRPr="00E4121A">
        <w:rPr>
          <w:spacing w:val="6"/>
        </w:rPr>
        <w:t>Narrative descriptions of the proposed product line are checked to verify that the appropriate vehicles have been tested.</w:t>
      </w:r>
      <w:r>
        <w:rPr>
          <w:spacing w:val="6"/>
        </w:rPr>
        <w:t xml:space="preserve"> </w:t>
      </w:r>
      <w:r w:rsidRPr="00E4121A">
        <w:rPr>
          <w:spacing w:val="6"/>
        </w:rPr>
        <w:t xml:space="preserve"> (The emission and fuel economy programs rely on a combination of “worst case” and representative data to accomplish their goals.) </w:t>
      </w:r>
      <w:r>
        <w:rPr>
          <w:spacing w:val="6"/>
        </w:rPr>
        <w:t xml:space="preserve"> </w:t>
      </w:r>
      <w:r w:rsidRPr="005E137A">
        <w:rPr>
          <w:spacing w:val="6"/>
        </w:rPr>
        <w:t xml:space="preserve">Except for projected sales and a limited amount of </w:t>
      </w:r>
      <w:r w:rsidR="00FD3805" w:rsidRPr="005E137A">
        <w:rPr>
          <w:spacing w:val="6"/>
        </w:rPr>
        <w:t>proprietary product information</w:t>
      </w:r>
      <w:r w:rsidRPr="005E137A">
        <w:rPr>
          <w:spacing w:val="6"/>
        </w:rPr>
        <w:t>, all information is available to the public as soon as the vehicle is offered for sale.</w:t>
      </w:r>
      <w:r w:rsidRPr="00E4121A">
        <w:rPr>
          <w:spacing w:val="6"/>
        </w:rPr>
        <w:t xml:space="preserve"> </w:t>
      </w:r>
      <w:r>
        <w:rPr>
          <w:spacing w:val="6"/>
        </w:rPr>
        <w:t xml:space="preserve"> </w:t>
      </w:r>
      <w:r w:rsidRPr="00E4121A">
        <w:rPr>
          <w:spacing w:val="6"/>
        </w:rPr>
        <w:t xml:space="preserve">Emission and fuel economy data </w:t>
      </w:r>
      <w:r>
        <w:rPr>
          <w:spacing w:val="6"/>
        </w:rPr>
        <w:t>are</w:t>
      </w:r>
      <w:r w:rsidRPr="00E4121A">
        <w:rPr>
          <w:spacing w:val="6"/>
        </w:rPr>
        <w:t xml:space="preserve"> available on the internet; other information is available upon request under the Freedom of Information Act.</w:t>
      </w:r>
    </w:p>
    <w:p w:rsidR="004C72D6" w:rsidRDefault="004C72D6" w:rsidP="004C72D6">
      <w:pPr>
        <w:pStyle w:val="Style6"/>
        <w:jc w:val="left"/>
      </w:pPr>
    </w:p>
    <w:p w:rsidR="004C72D6" w:rsidRDefault="004C72D6" w:rsidP="004C72D6">
      <w:pPr>
        <w:pStyle w:val="Style6"/>
        <w:jc w:val="left"/>
        <w:rPr>
          <w:u w:val="single"/>
        </w:rPr>
      </w:pPr>
      <w:r>
        <w:t xml:space="preserve">5(c) </w:t>
      </w:r>
      <w:r w:rsidRPr="005379F3">
        <w:rPr>
          <w:u w:val="single"/>
        </w:rPr>
        <w:t>Small Entity Flexibility</w:t>
      </w:r>
    </w:p>
    <w:p w:rsidR="004C72D6" w:rsidRDefault="004C72D6" w:rsidP="004C72D6">
      <w:pPr>
        <w:pStyle w:val="Style6"/>
        <w:jc w:val="left"/>
      </w:pPr>
    </w:p>
    <w:p w:rsidR="00EB201D" w:rsidRDefault="008A6070" w:rsidP="004C72D6">
      <w:pPr>
        <w:pStyle w:val="Style6"/>
        <w:jc w:val="left"/>
      </w:pPr>
      <w:r>
        <w:rPr>
          <w:spacing w:val="6"/>
        </w:rPr>
        <w:tab/>
      </w:r>
      <w:r w:rsidRPr="00C93956">
        <w:rPr>
          <w:spacing w:val="6"/>
        </w:rPr>
        <w:t xml:space="preserve">The </w:t>
      </w:r>
      <w:r w:rsidR="00E60569">
        <w:rPr>
          <w:spacing w:val="6"/>
        </w:rPr>
        <w:t>rule</w:t>
      </w:r>
      <w:r w:rsidR="00E60569" w:rsidRPr="00C93956">
        <w:rPr>
          <w:spacing w:val="6"/>
        </w:rPr>
        <w:t xml:space="preserve"> </w:t>
      </w:r>
      <w:r w:rsidRPr="00C93956">
        <w:t xml:space="preserve">continues to exempt small businesses from the GHG standards, for any company that meets the SBA’s definition of a small business, as in the prior rule. </w:t>
      </w:r>
      <w:r w:rsidR="00591743" w:rsidRPr="00C93956">
        <w:t xml:space="preserve">These are referred to as "small entities". </w:t>
      </w:r>
      <w:r w:rsidR="00C924B1" w:rsidRPr="00C93956">
        <w:t xml:space="preserve">The </w:t>
      </w:r>
      <w:r w:rsidR="00E60569">
        <w:t>rule</w:t>
      </w:r>
      <w:r w:rsidR="00E60569" w:rsidRPr="00C93956">
        <w:t xml:space="preserve"> </w:t>
      </w:r>
      <w:r w:rsidR="00C924B1" w:rsidRPr="00C93956">
        <w:t xml:space="preserve">adds the flexibility to opt into the standards applicable to regular manufacturers, </w:t>
      </w:r>
      <w:r w:rsidR="00BC0171">
        <w:t xml:space="preserve">and EPA expects paperwork costs for those companies opting in would be similar to other respondents, </w:t>
      </w:r>
      <w:r w:rsidR="00C924B1" w:rsidRPr="00C93956">
        <w:t xml:space="preserve">but this is a voluntary option that is not costed in this ICR. </w:t>
      </w:r>
    </w:p>
    <w:p w:rsidR="00EB201D" w:rsidRDefault="00EB201D" w:rsidP="004C72D6">
      <w:pPr>
        <w:pStyle w:val="Style6"/>
        <w:jc w:val="left"/>
      </w:pPr>
    </w:p>
    <w:p w:rsidR="00EB201D" w:rsidRDefault="00EB201D" w:rsidP="004C72D6">
      <w:pPr>
        <w:pStyle w:val="Style6"/>
        <w:jc w:val="left"/>
      </w:pPr>
      <w:r>
        <w:t xml:space="preserve">5(d) </w:t>
      </w:r>
      <w:r w:rsidRPr="00A53EBF">
        <w:t>Standards for Small Volume Manufacturers</w:t>
      </w:r>
    </w:p>
    <w:p w:rsidR="00EB201D" w:rsidRDefault="00EB201D" w:rsidP="004C72D6">
      <w:pPr>
        <w:pStyle w:val="Style6"/>
        <w:jc w:val="left"/>
      </w:pPr>
    </w:p>
    <w:p w:rsidR="008A6070" w:rsidRDefault="008A6070" w:rsidP="00EB201D">
      <w:pPr>
        <w:pStyle w:val="Style6"/>
        <w:ind w:firstLine="720"/>
        <w:jc w:val="left"/>
      </w:pPr>
      <w:r w:rsidRPr="00C93956">
        <w:t xml:space="preserve">Under the prior rule, </w:t>
      </w:r>
      <w:r w:rsidR="00EB201D">
        <w:t xml:space="preserve">small volume </w:t>
      </w:r>
      <w:r w:rsidRPr="00C93956">
        <w:t>manufacturers</w:t>
      </w:r>
      <w:r w:rsidR="00EB201D">
        <w:t xml:space="preserve"> (SVMs)</w:t>
      </w:r>
      <w:r w:rsidRPr="00C93956">
        <w:t xml:space="preserve"> with U.S. annual sales of less than 5,000 vehicles were </w:t>
      </w:r>
      <w:r w:rsidR="00591743" w:rsidRPr="00C93956">
        <w:t xml:space="preserve">also </w:t>
      </w:r>
      <w:r w:rsidRPr="00C93956">
        <w:t>eligible for an exemption from the CO</w:t>
      </w:r>
      <w:r w:rsidRPr="00C93956">
        <w:rPr>
          <w:vertAlign w:val="subscript"/>
        </w:rPr>
        <w:t>2</w:t>
      </w:r>
      <w:r w:rsidRPr="00C93956">
        <w:t xml:space="preserve"> standards.</w:t>
      </w:r>
      <w:r w:rsidR="00591743" w:rsidRPr="00C93956">
        <w:t xml:space="preserve"> </w:t>
      </w:r>
      <w:r w:rsidRPr="00C93956">
        <w:t xml:space="preserve">The </w:t>
      </w:r>
      <w:r w:rsidR="00E60569">
        <w:t>MY 2017-2025 rule</w:t>
      </w:r>
      <w:r w:rsidR="00E60569" w:rsidRPr="00C93956">
        <w:t xml:space="preserve"> </w:t>
      </w:r>
      <w:r w:rsidRPr="00C93956">
        <w:t>brings these manufacturers into the CO</w:t>
      </w:r>
      <w:r w:rsidR="00324D77" w:rsidRPr="00324D77">
        <w:rPr>
          <w:vertAlign w:val="subscript"/>
        </w:rPr>
        <w:t>2</w:t>
      </w:r>
      <w:r w:rsidRPr="00C93956">
        <w:t xml:space="preserve"> program, but maintains flexibility </w:t>
      </w:r>
      <w:r w:rsidRPr="00C93956">
        <w:lastRenderedPageBreak/>
        <w:t>with an opportunity to petition for alternative standards.</w:t>
      </w:r>
      <w:r w:rsidR="00775569" w:rsidRPr="00C93956">
        <w:t xml:space="preserve">  For purposes of this ICR, the set of manufacturers meeting this condition (not a small business entity, but le</w:t>
      </w:r>
      <w:r w:rsidR="00462D0D" w:rsidRPr="00C93956">
        <w:t>ss</w:t>
      </w:r>
      <w:r w:rsidR="00775569" w:rsidRPr="00C93956">
        <w:t xml:space="preserve"> than 5,000 vehicles sold in the US) is </w:t>
      </w:r>
      <w:r w:rsidR="00C93956" w:rsidRPr="00C93956">
        <w:t xml:space="preserve">from a </w:t>
      </w:r>
      <w:r w:rsidR="00533512" w:rsidRPr="00C93956">
        <w:t xml:space="preserve">low estimate </w:t>
      </w:r>
      <w:r w:rsidR="00C93956" w:rsidRPr="00C93956">
        <w:t xml:space="preserve">of </w:t>
      </w:r>
      <w:r w:rsidR="00E60569">
        <w:t>four</w:t>
      </w:r>
      <w:r w:rsidR="00533512" w:rsidRPr="00C93956">
        <w:t xml:space="preserve">, </w:t>
      </w:r>
      <w:r w:rsidR="00C93956" w:rsidRPr="00C93956">
        <w:t xml:space="preserve">to a </w:t>
      </w:r>
      <w:r w:rsidR="00533512" w:rsidRPr="00C93956">
        <w:t xml:space="preserve">high estimate </w:t>
      </w:r>
      <w:r w:rsidR="00E60569">
        <w:t xml:space="preserve">seven, including an estimated one to two manufacturers meeting the operational independence criteria </w:t>
      </w:r>
      <w:r w:rsidR="00775569" w:rsidRPr="00C93956">
        <w:t>. For these, the costs of paperwork and record keeping calculated for the prior rule apply</w:t>
      </w:r>
      <w:r w:rsidR="006569DC" w:rsidRPr="00C93956">
        <w:t xml:space="preserve"> unless they petition for alternative standards</w:t>
      </w:r>
      <w:r w:rsidR="006F617E">
        <w:t>; for purposes of this estimate we treat all SVMs as applying for the alternative standards.</w:t>
      </w:r>
      <w:r w:rsidR="006569DC" w:rsidRPr="00C93956">
        <w:t xml:space="preserve"> </w:t>
      </w:r>
      <w:r w:rsidR="00BF2D75" w:rsidRPr="00C93956">
        <w:t>Manufacturers with less than 5</w:t>
      </w:r>
      <w:r w:rsidR="00ED3E2F">
        <w:t>,</w:t>
      </w:r>
      <w:r w:rsidR="00BF2D75" w:rsidRPr="00C93956">
        <w:t xml:space="preserve">000 total annual sales are exempt from IUVP, so the increased </w:t>
      </w:r>
      <w:r w:rsidR="00C93956" w:rsidRPr="00C93956">
        <w:t xml:space="preserve">IUVP </w:t>
      </w:r>
      <w:r w:rsidR="00BF2D75" w:rsidRPr="00C93956">
        <w:t>testing otherwise imposed by the prior rule do not apply to them</w:t>
      </w:r>
      <w:r w:rsidR="00591743" w:rsidRPr="00C93956">
        <w:t xml:space="preserve">. </w:t>
      </w:r>
      <w:r w:rsidR="00EC6CE4" w:rsidRPr="00C93956">
        <w:t xml:space="preserve"> </w:t>
      </w:r>
    </w:p>
    <w:p w:rsidR="006F617E" w:rsidRPr="00C93956" w:rsidRDefault="006F617E" w:rsidP="004C72D6">
      <w:pPr>
        <w:pStyle w:val="Style6"/>
        <w:jc w:val="left"/>
        <w:rPr>
          <w:spacing w:val="6"/>
        </w:rPr>
      </w:pPr>
    </w:p>
    <w:p w:rsidR="004C72D6" w:rsidRPr="00C93956" w:rsidRDefault="00887D7F" w:rsidP="004C72D6">
      <w:pPr>
        <w:pStyle w:val="Style6"/>
        <w:jc w:val="left"/>
      </w:pPr>
      <w:r w:rsidRPr="00C93956">
        <w:rPr>
          <w:spacing w:val="6"/>
        </w:rPr>
        <w:tab/>
        <w:t>T</w:t>
      </w:r>
      <w:r w:rsidR="004C72D6" w:rsidRPr="00C93956">
        <w:rPr>
          <w:spacing w:val="6"/>
        </w:rPr>
        <w:t xml:space="preserve">he </w:t>
      </w:r>
      <w:r w:rsidRPr="00C93956">
        <w:rPr>
          <w:spacing w:val="6"/>
        </w:rPr>
        <w:t xml:space="preserve">prior </w:t>
      </w:r>
      <w:r w:rsidR="004C72D6" w:rsidRPr="00C93956">
        <w:rPr>
          <w:spacing w:val="6"/>
        </w:rPr>
        <w:t>rule</w:t>
      </w:r>
      <w:r w:rsidRPr="00C93956">
        <w:rPr>
          <w:spacing w:val="6"/>
        </w:rPr>
        <w:t xml:space="preserve">'s </w:t>
      </w:r>
      <w:r w:rsidR="00EB201D">
        <w:rPr>
          <w:spacing w:val="6"/>
        </w:rPr>
        <w:t xml:space="preserve">temporary </w:t>
      </w:r>
      <w:proofErr w:type="spellStart"/>
      <w:r w:rsidR="00EB201D">
        <w:rPr>
          <w:spacing w:val="6"/>
        </w:rPr>
        <w:t>leadtime</w:t>
      </w:r>
      <w:proofErr w:type="spellEnd"/>
      <w:r w:rsidR="00EB201D">
        <w:rPr>
          <w:spacing w:val="6"/>
        </w:rPr>
        <w:t xml:space="preserve"> allowance alternative standards (TLAAS) provisions which provided an </w:t>
      </w:r>
      <w:r w:rsidRPr="00C93956">
        <w:rPr>
          <w:spacing w:val="6"/>
        </w:rPr>
        <w:t>allowance</w:t>
      </w:r>
      <w:r w:rsidR="004C72D6" w:rsidRPr="00C93956">
        <w:rPr>
          <w:spacing w:val="6"/>
        </w:rPr>
        <w:t xml:space="preserve"> </w:t>
      </w:r>
      <w:r w:rsidRPr="00C93956">
        <w:rPr>
          <w:spacing w:val="6"/>
        </w:rPr>
        <w:t xml:space="preserve">for </w:t>
      </w:r>
      <w:r w:rsidR="004C72D6" w:rsidRPr="00C93956">
        <w:rPr>
          <w:spacing w:val="6"/>
        </w:rPr>
        <w:t xml:space="preserve">a separate averaging fleet with a less stringent GHG standard as a phase-in provision for model years 2012 to 2015 for manufacturers with fewer than 400,000 vehicles, </w:t>
      </w:r>
      <w:r w:rsidR="004C72D6" w:rsidRPr="00C93956">
        <w:rPr>
          <w:color w:val="000000"/>
        </w:rPr>
        <w:t>and for model years 2012 to 2016 for manufacturers with annual sales of less than 50,000 vehicles</w:t>
      </w:r>
      <w:r w:rsidR="006F617E">
        <w:rPr>
          <w:color w:val="000000"/>
        </w:rPr>
        <w:t>,</w:t>
      </w:r>
      <w:r w:rsidRPr="00C93956">
        <w:rPr>
          <w:color w:val="000000"/>
        </w:rPr>
        <w:t xml:space="preserve"> is not being continued</w:t>
      </w:r>
      <w:r w:rsidR="004C72D6" w:rsidRPr="00C93956">
        <w:rPr>
          <w:spacing w:val="6"/>
        </w:rPr>
        <w:t xml:space="preserve">. </w:t>
      </w:r>
      <w:r w:rsidRPr="00C93956">
        <w:rPr>
          <w:spacing w:val="6"/>
        </w:rPr>
        <w:t>As in the prior ICR, t</w:t>
      </w:r>
      <w:r w:rsidR="004C72D6" w:rsidRPr="00C93956">
        <w:rPr>
          <w:spacing w:val="6"/>
        </w:rPr>
        <w:t xml:space="preserve">hese are treated as compliance </w:t>
      </w:r>
      <w:r w:rsidR="00441BD8" w:rsidRPr="00C93956">
        <w:rPr>
          <w:spacing w:val="6"/>
        </w:rPr>
        <w:t xml:space="preserve">burden </w:t>
      </w:r>
      <w:r w:rsidR="004E7BC2" w:rsidRPr="00C93956">
        <w:rPr>
          <w:spacing w:val="6"/>
        </w:rPr>
        <w:t>costs</w:t>
      </w:r>
      <w:r w:rsidR="00441BD8" w:rsidRPr="00C93956">
        <w:rPr>
          <w:spacing w:val="6"/>
        </w:rPr>
        <w:t xml:space="preserve"> </w:t>
      </w:r>
      <w:r w:rsidR="004C72D6" w:rsidRPr="00C93956">
        <w:rPr>
          <w:spacing w:val="6"/>
        </w:rPr>
        <w:t xml:space="preserve">rather than paperwork burden </w:t>
      </w:r>
      <w:r w:rsidR="004E7BC2" w:rsidRPr="00C93956">
        <w:rPr>
          <w:spacing w:val="6"/>
        </w:rPr>
        <w:t>costs</w:t>
      </w:r>
      <w:r w:rsidR="004C72D6" w:rsidRPr="00C93956">
        <w:rPr>
          <w:spacing w:val="6"/>
        </w:rPr>
        <w:t>.</w:t>
      </w:r>
    </w:p>
    <w:p w:rsidR="004C72D6" w:rsidRPr="00C93956" w:rsidRDefault="004C72D6" w:rsidP="004C72D6">
      <w:pPr>
        <w:pStyle w:val="Style6"/>
        <w:jc w:val="left"/>
      </w:pPr>
    </w:p>
    <w:p w:rsidR="004C72D6" w:rsidRDefault="004C72D6" w:rsidP="004C72D6">
      <w:pPr>
        <w:pStyle w:val="Style6"/>
        <w:jc w:val="left"/>
        <w:rPr>
          <w:spacing w:val="6"/>
        </w:rPr>
      </w:pPr>
      <w:r w:rsidRPr="00C93956">
        <w:rPr>
          <w:spacing w:val="6"/>
        </w:rPr>
        <w:tab/>
        <w:t xml:space="preserve">EPA has other previously existing special procedures that might apply to small-volume light-duty vehicle and light-duty truck manufacturers not otherwise excluded by the final rule's small-business exclusion. </w:t>
      </w:r>
      <w:r w:rsidR="00C93956">
        <w:rPr>
          <w:spacing w:val="6"/>
        </w:rPr>
        <w:t>"</w:t>
      </w:r>
      <w:r w:rsidRPr="00C93956">
        <w:rPr>
          <w:spacing w:val="6"/>
        </w:rPr>
        <w:t>Small-volume manufactures</w:t>
      </w:r>
      <w:r w:rsidR="00C93956">
        <w:rPr>
          <w:spacing w:val="6"/>
        </w:rPr>
        <w:t>"</w:t>
      </w:r>
      <w:r w:rsidRPr="00C93956">
        <w:rPr>
          <w:spacing w:val="6"/>
        </w:rPr>
        <w:t xml:space="preserve"> </w:t>
      </w:r>
      <w:r w:rsidR="00C93956">
        <w:rPr>
          <w:spacing w:val="6"/>
        </w:rPr>
        <w:t xml:space="preserve">for purposes of these provisions </w:t>
      </w:r>
      <w:r w:rsidRPr="00C93956">
        <w:rPr>
          <w:spacing w:val="6"/>
        </w:rPr>
        <w:t>are defined as those whose total sales are less than 15,000 units per year</w:t>
      </w:r>
      <w:r w:rsidR="00C93956">
        <w:rPr>
          <w:spacing w:val="6"/>
        </w:rPr>
        <w:t xml:space="preserve"> (40 CFR 1836-01)</w:t>
      </w:r>
      <w:r w:rsidRPr="00C93956">
        <w:rPr>
          <w:spacing w:val="6"/>
        </w:rPr>
        <w:t xml:space="preserve">.  These special procedures allow the small-volume manufacturer to submit a simplified application for certification with respect to durability demonstrations, and these manufacturers also have reduced requirements under the IUVP program.  In addition, engine families with small numbers of vehicles are eligible for reduced certification fees.  Finally, by the very nature of their size, small volume manufacturers typically have very limited product lines.  This characteristic both reduces the amount of information which must be submitted and also </w:t>
      </w:r>
      <w:r w:rsidRPr="000F6458">
        <w:rPr>
          <w:spacing w:val="6"/>
        </w:rPr>
        <w:t>simplifies the process of selecting the correct test vehicle(s).</w:t>
      </w:r>
    </w:p>
    <w:p w:rsidR="004C72D6" w:rsidRDefault="004C72D6" w:rsidP="004C72D6">
      <w:pPr>
        <w:pStyle w:val="Style6"/>
        <w:jc w:val="left"/>
        <w:rPr>
          <w:spacing w:val="6"/>
        </w:rPr>
      </w:pPr>
    </w:p>
    <w:p w:rsidR="004C72D6" w:rsidRPr="005379F3" w:rsidRDefault="004C72D6" w:rsidP="004C72D6">
      <w:pPr>
        <w:pStyle w:val="Style6"/>
        <w:jc w:val="left"/>
      </w:pPr>
      <w:r w:rsidRPr="00190028">
        <w:t>5(</w:t>
      </w:r>
      <w:r w:rsidR="00F03B9D">
        <w:t>e</w:t>
      </w:r>
      <w:r w:rsidRPr="00190028">
        <w:t xml:space="preserve">) </w:t>
      </w:r>
      <w:r w:rsidRPr="000F61C2">
        <w:rPr>
          <w:u w:val="single"/>
        </w:rPr>
        <w:t>Collection Schedule</w:t>
      </w:r>
    </w:p>
    <w:p w:rsidR="004C72D6" w:rsidRPr="005379F3" w:rsidRDefault="004C72D6" w:rsidP="004C72D6">
      <w:pPr>
        <w:pStyle w:val="Style5"/>
        <w:adjustRightInd/>
        <w:rPr>
          <w:spacing w:val="6"/>
        </w:rPr>
      </w:pPr>
    </w:p>
    <w:p w:rsidR="004C72D6" w:rsidRPr="007146CE" w:rsidRDefault="004C72D6" w:rsidP="004C72D6">
      <w:pPr>
        <w:pStyle w:val="Style6"/>
        <w:jc w:val="left"/>
        <w:rPr>
          <w:spacing w:val="6"/>
        </w:rPr>
      </w:pPr>
      <w:r>
        <w:rPr>
          <w:spacing w:val="6"/>
        </w:rPr>
        <w:tab/>
        <w:t xml:space="preserve">See the description in Part 4(b)(i). </w:t>
      </w:r>
      <w:r w:rsidRPr="007146CE">
        <w:rPr>
          <w:spacing w:val="6"/>
        </w:rPr>
        <w:t xml:space="preserve">Information must be submitted for each “model year” that a manufacturer intends to build (or import) vehicles. </w:t>
      </w:r>
      <w:r>
        <w:rPr>
          <w:spacing w:val="6"/>
        </w:rPr>
        <w:t xml:space="preserve"> For emissions purposes, a</w:t>
      </w:r>
      <w:r w:rsidRPr="007146CE">
        <w:rPr>
          <w:spacing w:val="6"/>
        </w:rPr>
        <w:t xml:space="preserve"> “model year” is </w:t>
      </w:r>
      <w:r>
        <w:rPr>
          <w:spacing w:val="6"/>
        </w:rPr>
        <w:t xml:space="preserve">statutorily defined as </w:t>
      </w:r>
      <w:r w:rsidRPr="00AE3FA0">
        <w:rPr>
          <w:spacing w:val="6"/>
        </w:rPr>
        <w:t xml:space="preserve">the annual production period of a manufacturer, as decided by the Administrator, that includes January 1 of that calendar year; or  that calendar year if the manufacturer does not have an annual production period. </w:t>
      </w:r>
      <w:r>
        <w:rPr>
          <w:spacing w:val="6"/>
        </w:rPr>
        <w:t xml:space="preserve"> During the model year, the results of such additional fuel economy and GHG tests as the manufacturer conducts are also reported to EPA. After the end of the model year fleet-wide GHG emissions are calculated and reported. </w:t>
      </w:r>
      <w:r w:rsidRPr="007146CE">
        <w:rPr>
          <w:spacing w:val="6"/>
        </w:rPr>
        <w:t xml:space="preserve">If a product is unchanged between model years, much of the information can be “carried over.” </w:t>
      </w:r>
      <w:r>
        <w:rPr>
          <w:spacing w:val="6"/>
        </w:rPr>
        <w:t xml:space="preserve"> </w:t>
      </w:r>
      <w:r w:rsidRPr="007146CE">
        <w:rPr>
          <w:spacing w:val="6"/>
        </w:rPr>
        <w:t>The collection frequency and burden are determined to a large extent by the manufacturer’s marketing and product</w:t>
      </w:r>
      <w:r>
        <w:rPr>
          <w:spacing w:val="6"/>
        </w:rPr>
        <w:t>ion</w:t>
      </w:r>
      <w:r w:rsidRPr="007146CE">
        <w:rPr>
          <w:spacing w:val="6"/>
        </w:rPr>
        <w:t xml:space="preserve"> plans.</w:t>
      </w:r>
      <w:r>
        <w:rPr>
          <w:spacing w:val="6"/>
        </w:rPr>
        <w:t xml:space="preserve"> </w:t>
      </w:r>
      <w:r w:rsidRPr="007146CE">
        <w:rPr>
          <w:spacing w:val="6"/>
        </w:rPr>
        <w:t xml:space="preserve"> However, as required by law, some submission is required for each model year’s production. </w:t>
      </w:r>
    </w:p>
    <w:p w:rsidR="004C72D6" w:rsidRPr="005379F3" w:rsidRDefault="004C72D6" w:rsidP="004C72D6">
      <w:pPr>
        <w:pStyle w:val="Style5"/>
        <w:adjustRightInd/>
        <w:rPr>
          <w:spacing w:val="6"/>
        </w:rPr>
      </w:pPr>
    </w:p>
    <w:p w:rsidR="004C72D6" w:rsidRDefault="004C72D6" w:rsidP="004C72D6">
      <w:pPr>
        <w:spacing w:line="480" w:lineRule="auto"/>
        <w:rPr>
          <w:spacing w:val="6"/>
        </w:rPr>
      </w:pPr>
      <w:r>
        <w:rPr>
          <w:spacing w:val="6"/>
          <w:u w:val="single"/>
        </w:rPr>
        <w:lastRenderedPageBreak/>
        <w:t xml:space="preserve">Section 6: </w:t>
      </w:r>
      <w:r w:rsidRPr="005379F3">
        <w:rPr>
          <w:spacing w:val="6"/>
          <w:u w:val="single"/>
        </w:rPr>
        <w:t>Estimating the Burden and Cost of the</w:t>
      </w:r>
      <w:r>
        <w:rPr>
          <w:spacing w:val="6"/>
          <w:u w:val="single"/>
        </w:rPr>
        <w:t xml:space="preserve"> Collection</w:t>
      </w:r>
    </w:p>
    <w:p w:rsidR="004C72D6" w:rsidRDefault="004C72D6" w:rsidP="004C72D6">
      <w:pPr>
        <w:pStyle w:val="Style6"/>
        <w:jc w:val="left"/>
        <w:rPr>
          <w:spacing w:val="6"/>
        </w:rPr>
      </w:pPr>
      <w:r>
        <w:rPr>
          <w:spacing w:val="6"/>
        </w:rPr>
        <w:tab/>
      </w:r>
      <w:r w:rsidRPr="00F432AC">
        <w:rPr>
          <w:spacing w:val="6"/>
        </w:rPr>
        <w:t xml:space="preserve">The following estimates of </w:t>
      </w:r>
      <w:r w:rsidR="005E137A">
        <w:rPr>
          <w:spacing w:val="6"/>
        </w:rPr>
        <w:t>changes in</w:t>
      </w:r>
      <w:r w:rsidRPr="00F432AC">
        <w:rPr>
          <w:spacing w:val="6"/>
        </w:rPr>
        <w:t xml:space="preserve"> burden use baselines and methodologies developed in the process of continuing updates of the 0783 ICR series, including the last renewal (ICR 0783.54, OMB 2060-0104, approved August 31, 2009), the prior disaggregation of that ICR into five ICs, the cold hydrocarbon emissions standards rule (ICR 0783.52), the </w:t>
      </w:r>
      <w:r w:rsidR="005E137A">
        <w:rPr>
          <w:spacing w:val="6"/>
        </w:rPr>
        <w:t xml:space="preserve">latest vehicle </w:t>
      </w:r>
      <w:r w:rsidRPr="00F432AC">
        <w:rPr>
          <w:spacing w:val="6"/>
        </w:rPr>
        <w:t>fuel-economy labeling rule (ICR 0783.</w:t>
      </w:r>
      <w:r w:rsidR="005E137A">
        <w:rPr>
          <w:spacing w:val="6"/>
        </w:rPr>
        <w:t>60</w:t>
      </w:r>
      <w:r w:rsidRPr="00F432AC">
        <w:rPr>
          <w:spacing w:val="6"/>
        </w:rPr>
        <w:t>)</w:t>
      </w:r>
      <w:r w:rsidR="00F432AC" w:rsidRPr="00F432AC">
        <w:rPr>
          <w:spacing w:val="6"/>
        </w:rPr>
        <w:t>, and the prior GHG rule (ICR 0783.</w:t>
      </w:r>
      <w:r w:rsidR="00C91188">
        <w:rPr>
          <w:spacing w:val="6"/>
        </w:rPr>
        <w:t>58</w:t>
      </w:r>
      <w:r w:rsidR="00F432AC" w:rsidRPr="00F432AC">
        <w:rPr>
          <w:spacing w:val="6"/>
        </w:rPr>
        <w:t>)</w:t>
      </w:r>
      <w:r w:rsidRPr="00F432AC">
        <w:rPr>
          <w:spacing w:val="6"/>
        </w:rPr>
        <w:t>.  The reasoning behind estimates of increased burden from the current baseline are given below and summarized in Section 6(f)</w:t>
      </w:r>
      <w:r w:rsidR="00F406CD">
        <w:rPr>
          <w:spacing w:val="6"/>
        </w:rPr>
        <w:t xml:space="preserve"> based on provisions of the </w:t>
      </w:r>
      <w:r w:rsidR="00550F2C">
        <w:rPr>
          <w:spacing w:val="6"/>
        </w:rPr>
        <w:t xml:space="preserve">rule </w:t>
      </w:r>
      <w:r w:rsidR="00F406CD">
        <w:rPr>
          <w:spacing w:val="6"/>
        </w:rPr>
        <w:t>that are summarized in Section 1(b)</w:t>
      </w:r>
      <w:r w:rsidRPr="00F432AC">
        <w:rPr>
          <w:spacing w:val="6"/>
        </w:rPr>
        <w:t xml:space="preserve">. </w:t>
      </w:r>
      <w:r w:rsidR="000062EF">
        <w:rPr>
          <w:spacing w:val="6"/>
        </w:rPr>
        <w:t xml:space="preserve">Most of the burden is included in the underlying certification authorization baseline; the numbers below are only </w:t>
      </w:r>
      <w:r w:rsidR="00242420">
        <w:rPr>
          <w:spacing w:val="6"/>
        </w:rPr>
        <w:t>changes</w:t>
      </w:r>
      <w:r w:rsidR="000062EF">
        <w:rPr>
          <w:spacing w:val="6"/>
        </w:rPr>
        <w:t xml:space="preserve"> to the baseline. </w:t>
      </w:r>
      <w:r w:rsidRPr="00F432AC">
        <w:rPr>
          <w:spacing w:val="6"/>
        </w:rPr>
        <w:t xml:space="preserve">"Respondent Burden" is taken to refer to hours, while "Respondent Costs" are taken to refer to non-labor capital and O&amp;M costs. Hours or costs are reported to the hour or dollar without intending to imply that the totals are significant to the last digit. </w:t>
      </w:r>
    </w:p>
    <w:p w:rsidR="00124826" w:rsidRDefault="00124826" w:rsidP="004C72D6">
      <w:pPr>
        <w:pStyle w:val="Style6"/>
        <w:jc w:val="left"/>
        <w:rPr>
          <w:spacing w:val="6"/>
        </w:rPr>
      </w:pPr>
    </w:p>
    <w:p w:rsidR="00124826" w:rsidRPr="00F432AC" w:rsidRDefault="00124826" w:rsidP="004C72D6">
      <w:pPr>
        <w:pStyle w:val="Style6"/>
        <w:jc w:val="left"/>
        <w:rPr>
          <w:spacing w:val="6"/>
        </w:rPr>
      </w:pPr>
      <w:r>
        <w:rPr>
          <w:spacing w:val="6"/>
        </w:rPr>
        <w:tab/>
        <w:t xml:space="preserve">For both Respondent Burden and Respondent Costs, new and corrected estimates </w:t>
      </w:r>
      <w:r w:rsidR="00CB3EBE">
        <w:rPr>
          <w:spacing w:val="6"/>
        </w:rPr>
        <w:t>will be updated in subsequent ICRs</w:t>
      </w:r>
      <w:r w:rsidR="000062EF">
        <w:rPr>
          <w:spacing w:val="6"/>
        </w:rPr>
        <w:t>, which should benefit from</w:t>
      </w:r>
      <w:r>
        <w:rPr>
          <w:spacing w:val="6"/>
        </w:rPr>
        <w:t xml:space="preserve"> the most recent information available about </w:t>
      </w:r>
      <w:r w:rsidR="00CB3EBE">
        <w:rPr>
          <w:spacing w:val="6"/>
        </w:rPr>
        <w:t xml:space="preserve">real </w:t>
      </w:r>
      <w:r>
        <w:rPr>
          <w:spacing w:val="6"/>
        </w:rPr>
        <w:t xml:space="preserve">testing and reporting costs </w:t>
      </w:r>
      <w:r w:rsidR="00FF55E6">
        <w:rPr>
          <w:spacing w:val="6"/>
        </w:rPr>
        <w:t>associated with credit pathways chosen</w:t>
      </w:r>
      <w:r w:rsidR="00242420">
        <w:rPr>
          <w:spacing w:val="6"/>
        </w:rPr>
        <w:t>,</w:t>
      </w:r>
      <w:r w:rsidR="00FF55E6">
        <w:rPr>
          <w:spacing w:val="6"/>
        </w:rPr>
        <w:t xml:space="preserve"> </w:t>
      </w:r>
      <w:r>
        <w:rPr>
          <w:spacing w:val="6"/>
        </w:rPr>
        <w:t xml:space="preserve">gathered </w:t>
      </w:r>
      <w:r w:rsidR="00CB3EBE">
        <w:rPr>
          <w:spacing w:val="6"/>
        </w:rPr>
        <w:t>through</w:t>
      </w:r>
      <w:r>
        <w:rPr>
          <w:spacing w:val="6"/>
        </w:rPr>
        <w:t xml:space="preserve"> Verify queries </w:t>
      </w:r>
      <w:r w:rsidR="00CB3EBE">
        <w:rPr>
          <w:spacing w:val="6"/>
        </w:rPr>
        <w:t xml:space="preserve">based upon </w:t>
      </w:r>
      <w:r>
        <w:rPr>
          <w:spacing w:val="6"/>
        </w:rPr>
        <w:t xml:space="preserve">actual </w:t>
      </w:r>
      <w:r w:rsidR="00242420">
        <w:rPr>
          <w:spacing w:val="6"/>
        </w:rPr>
        <w:t xml:space="preserve">rather than projected </w:t>
      </w:r>
      <w:r>
        <w:rPr>
          <w:spacing w:val="6"/>
        </w:rPr>
        <w:t>certification applications</w:t>
      </w:r>
      <w:r w:rsidR="00CB3EBE">
        <w:rPr>
          <w:spacing w:val="6"/>
        </w:rPr>
        <w:t>.</w:t>
      </w:r>
      <w:r>
        <w:rPr>
          <w:spacing w:val="6"/>
        </w:rPr>
        <w:t xml:space="preserve"> </w:t>
      </w:r>
    </w:p>
    <w:p w:rsidR="004C72D6" w:rsidRPr="003121A2" w:rsidRDefault="004C72D6" w:rsidP="004C72D6">
      <w:pPr>
        <w:rPr>
          <w:highlight w:val="yellow"/>
        </w:rPr>
      </w:pPr>
      <w:r w:rsidRPr="003121A2">
        <w:rPr>
          <w:highlight w:val="yellow"/>
        </w:rPr>
        <w:t xml:space="preserve"> </w:t>
      </w:r>
    </w:p>
    <w:p w:rsidR="00C3672B" w:rsidRPr="00124826" w:rsidRDefault="004C72D6" w:rsidP="004C72D6">
      <w:pPr>
        <w:spacing w:line="480" w:lineRule="auto"/>
        <w:rPr>
          <w:spacing w:val="6"/>
        </w:rPr>
      </w:pPr>
      <w:r w:rsidRPr="00124826">
        <w:rPr>
          <w:spacing w:val="6"/>
        </w:rPr>
        <w:t xml:space="preserve">6(a) </w:t>
      </w:r>
      <w:r w:rsidRPr="00124826">
        <w:rPr>
          <w:spacing w:val="6"/>
          <w:u w:val="single"/>
        </w:rPr>
        <w:t>Estimating Respondent Burden</w:t>
      </w:r>
    </w:p>
    <w:p w:rsidR="004C72D6" w:rsidRPr="00FF55E6" w:rsidRDefault="00C3672B" w:rsidP="004C72D6">
      <w:pPr>
        <w:pStyle w:val="Style6"/>
        <w:jc w:val="left"/>
        <w:rPr>
          <w:spacing w:val="6"/>
        </w:rPr>
      </w:pPr>
      <w:r w:rsidRPr="00CE54C0">
        <w:rPr>
          <w:spacing w:val="6"/>
        </w:rPr>
        <w:tab/>
      </w:r>
      <w:r w:rsidR="004C72D6" w:rsidRPr="00FF55E6">
        <w:rPr>
          <w:spacing w:val="6"/>
        </w:rPr>
        <w:t xml:space="preserve">The respondent burden </w:t>
      </w:r>
      <w:r w:rsidR="00D77A3E">
        <w:rPr>
          <w:spacing w:val="6"/>
        </w:rPr>
        <w:t xml:space="preserve">hours </w:t>
      </w:r>
      <w:r w:rsidR="000575CD" w:rsidRPr="00FF55E6">
        <w:rPr>
          <w:spacing w:val="6"/>
        </w:rPr>
        <w:t>changes</w:t>
      </w:r>
      <w:r w:rsidR="004C72D6" w:rsidRPr="00FF55E6">
        <w:rPr>
          <w:spacing w:val="6"/>
        </w:rPr>
        <w:t xml:space="preserve"> for the Light-Duty Vehicle Emissions Information Collection reflect new labor hours associated with conducting tests and </w:t>
      </w:r>
      <w:r w:rsidR="00242420">
        <w:rPr>
          <w:spacing w:val="6"/>
        </w:rPr>
        <w:t xml:space="preserve">with </w:t>
      </w:r>
      <w:r w:rsidR="004C72D6" w:rsidRPr="00FF55E6">
        <w:rPr>
          <w:spacing w:val="6"/>
        </w:rPr>
        <w:t xml:space="preserve">reporting. </w:t>
      </w:r>
      <w:r w:rsidR="000575CD" w:rsidRPr="00FF55E6">
        <w:rPr>
          <w:spacing w:val="6"/>
        </w:rPr>
        <w:t>As discussed above, the AC17 air conditioning test alternative could result in either an increase or a decrease in testing labor hours (and testing costs). Once additional information is received</w:t>
      </w:r>
      <w:r w:rsidR="00242420">
        <w:rPr>
          <w:spacing w:val="6"/>
        </w:rPr>
        <w:t>,</w:t>
      </w:r>
      <w:r w:rsidR="000575CD" w:rsidRPr="00FF55E6">
        <w:rPr>
          <w:spacing w:val="6"/>
        </w:rPr>
        <w:t xml:space="preserve"> as compliance cost decreases are translated into reporting cost increases or decreases using this alternative, further adjustments to the baseline </w:t>
      </w:r>
      <w:r w:rsidR="00FF55E6" w:rsidRPr="00FF55E6">
        <w:rPr>
          <w:spacing w:val="6"/>
        </w:rPr>
        <w:t>will likely</w:t>
      </w:r>
      <w:r w:rsidR="000575CD" w:rsidRPr="00FF55E6">
        <w:rPr>
          <w:spacing w:val="6"/>
        </w:rPr>
        <w:t xml:space="preserve"> be warranted.</w:t>
      </w:r>
      <w:r w:rsidR="00CB3EBE" w:rsidRPr="00FF55E6">
        <w:rPr>
          <w:spacing w:val="6"/>
        </w:rPr>
        <w:t xml:space="preserve"> Testing costs also contain a small addition to account for the </w:t>
      </w:r>
      <w:r w:rsidR="000062EF">
        <w:rPr>
          <w:spacing w:val="6"/>
        </w:rPr>
        <w:t xml:space="preserve">estimated </w:t>
      </w:r>
      <w:r w:rsidR="00CB3EBE" w:rsidRPr="00FF55E6">
        <w:rPr>
          <w:spacing w:val="6"/>
        </w:rPr>
        <w:t xml:space="preserve">three to five SVMs that will be required to conduct </w:t>
      </w:r>
      <w:r w:rsidR="00550F2C">
        <w:rPr>
          <w:spacing w:val="6"/>
        </w:rPr>
        <w:t>A</w:t>
      </w:r>
      <w:r w:rsidR="00140AB5">
        <w:rPr>
          <w:spacing w:val="6"/>
        </w:rPr>
        <w:t>/</w:t>
      </w:r>
      <w:r w:rsidR="00550F2C">
        <w:rPr>
          <w:spacing w:val="6"/>
        </w:rPr>
        <w:t>C testing</w:t>
      </w:r>
      <w:r w:rsidR="00CB3EBE" w:rsidRPr="00FF55E6">
        <w:rPr>
          <w:spacing w:val="6"/>
        </w:rPr>
        <w:t xml:space="preserve"> for some fraction of its vehicle families</w:t>
      </w:r>
      <w:r w:rsidR="003D3621">
        <w:rPr>
          <w:spacing w:val="6"/>
        </w:rPr>
        <w:t>, assuming the SVMs would seek to generate A/C credits</w:t>
      </w:r>
      <w:r w:rsidR="00CB3EBE" w:rsidRPr="00FF55E6">
        <w:rPr>
          <w:spacing w:val="6"/>
        </w:rPr>
        <w:t>.</w:t>
      </w:r>
      <w:r w:rsidR="00FF55E6" w:rsidRPr="00FF55E6">
        <w:rPr>
          <w:spacing w:val="6"/>
        </w:rPr>
        <w:t xml:space="preserve"> </w:t>
      </w:r>
      <w:r w:rsidR="00E03F14">
        <w:rPr>
          <w:spacing w:val="6"/>
        </w:rPr>
        <w:t>This increases the high estimate for hours associated with testing</w:t>
      </w:r>
      <w:r w:rsidR="00FF55E6" w:rsidRPr="00FF55E6">
        <w:rPr>
          <w:spacing w:val="6"/>
        </w:rPr>
        <w:t xml:space="preserve"> (which is used for the authorization request) </w:t>
      </w:r>
      <w:r w:rsidR="00AE0198" w:rsidRPr="00AE0198">
        <w:rPr>
          <w:spacing w:val="6"/>
        </w:rPr>
        <w:t xml:space="preserve">by </w:t>
      </w:r>
      <w:r w:rsidR="00E03F14">
        <w:rPr>
          <w:spacing w:val="6"/>
        </w:rPr>
        <w:t>576</w:t>
      </w:r>
      <w:r w:rsidR="00FF55E6" w:rsidRPr="00FF55E6">
        <w:rPr>
          <w:spacing w:val="6"/>
        </w:rPr>
        <w:t xml:space="preserve"> hours.</w:t>
      </w:r>
      <w:r w:rsidR="00CB3EBE" w:rsidRPr="00FF55E6">
        <w:rPr>
          <w:spacing w:val="6"/>
        </w:rPr>
        <w:t xml:space="preserve"> </w:t>
      </w:r>
      <w:r w:rsidR="000575CD" w:rsidRPr="00FF55E6">
        <w:rPr>
          <w:spacing w:val="6"/>
        </w:rPr>
        <w:t xml:space="preserve"> </w:t>
      </w:r>
    </w:p>
    <w:p w:rsidR="000575CD" w:rsidRPr="003121A2" w:rsidRDefault="000575CD" w:rsidP="004C72D6">
      <w:pPr>
        <w:pStyle w:val="Style6"/>
        <w:jc w:val="left"/>
        <w:rPr>
          <w:spacing w:val="6"/>
          <w:highlight w:val="yellow"/>
        </w:rPr>
      </w:pPr>
    </w:p>
    <w:p w:rsidR="005E7B1A" w:rsidRDefault="004C72D6" w:rsidP="004C72D6">
      <w:pPr>
        <w:pStyle w:val="Style6"/>
        <w:jc w:val="left"/>
        <w:rPr>
          <w:spacing w:val="6"/>
        </w:rPr>
      </w:pPr>
      <w:r w:rsidRPr="00FF55E6">
        <w:rPr>
          <w:spacing w:val="6"/>
        </w:rPr>
        <w:tab/>
        <w:t xml:space="preserve">The reporting </w:t>
      </w:r>
      <w:r w:rsidR="00E9779F">
        <w:rPr>
          <w:spacing w:val="6"/>
        </w:rPr>
        <w:t xml:space="preserve">(paperwork) </w:t>
      </w:r>
      <w:r w:rsidRPr="00FF55E6">
        <w:rPr>
          <w:spacing w:val="6"/>
        </w:rPr>
        <w:t xml:space="preserve">and recordkeeping costs </w:t>
      </w:r>
      <w:r w:rsidR="00FF55E6">
        <w:rPr>
          <w:spacing w:val="6"/>
        </w:rPr>
        <w:t xml:space="preserve">have been revised </w:t>
      </w:r>
      <w:r w:rsidR="00E16B3B">
        <w:rPr>
          <w:spacing w:val="6"/>
        </w:rPr>
        <w:t xml:space="preserve">to reflect the </w:t>
      </w:r>
      <w:r w:rsidR="00E9779F">
        <w:rPr>
          <w:spacing w:val="6"/>
        </w:rPr>
        <w:t>estimated</w:t>
      </w:r>
      <w:r w:rsidR="00E16B3B">
        <w:rPr>
          <w:spacing w:val="6"/>
        </w:rPr>
        <w:t xml:space="preserve"> number of manu</w:t>
      </w:r>
      <w:r w:rsidR="00D77A3E">
        <w:rPr>
          <w:spacing w:val="6"/>
        </w:rPr>
        <w:t xml:space="preserve">facturers reporting </w:t>
      </w:r>
      <w:r w:rsidR="00C40668">
        <w:rPr>
          <w:spacing w:val="6"/>
        </w:rPr>
        <w:t xml:space="preserve">full </w:t>
      </w:r>
      <w:r w:rsidR="00D77A3E">
        <w:rPr>
          <w:spacing w:val="6"/>
        </w:rPr>
        <w:t xml:space="preserve">GHG results </w:t>
      </w:r>
      <w:r w:rsidR="00E16B3B">
        <w:rPr>
          <w:spacing w:val="6"/>
        </w:rPr>
        <w:t>to EPA</w:t>
      </w:r>
      <w:r w:rsidR="00E9779F">
        <w:rPr>
          <w:spacing w:val="6"/>
        </w:rPr>
        <w:t xml:space="preserve"> contained in the </w:t>
      </w:r>
      <w:r w:rsidR="00550F2C">
        <w:rPr>
          <w:spacing w:val="6"/>
        </w:rPr>
        <w:t>rule</w:t>
      </w:r>
      <w:r w:rsidR="00E16B3B">
        <w:rPr>
          <w:spacing w:val="6"/>
        </w:rPr>
        <w:t xml:space="preserve">. </w:t>
      </w:r>
      <w:r w:rsidR="00F03B9D">
        <w:rPr>
          <w:spacing w:val="6"/>
        </w:rPr>
        <w:t xml:space="preserve">While SVMs were considered respondents in the MY 2012-2016 rule due to </w:t>
      </w:r>
      <w:r w:rsidR="00C40668">
        <w:rPr>
          <w:spacing w:val="6"/>
        </w:rPr>
        <w:t xml:space="preserve">some </w:t>
      </w:r>
      <w:r w:rsidR="00F03B9D">
        <w:rPr>
          <w:spacing w:val="6"/>
        </w:rPr>
        <w:t xml:space="preserve">reporting requirements, they were exempt from </w:t>
      </w:r>
      <w:r w:rsidR="005E7B1A">
        <w:rPr>
          <w:spacing w:val="6"/>
        </w:rPr>
        <w:t xml:space="preserve">the standards and </w:t>
      </w:r>
      <w:r w:rsidR="00C40668">
        <w:rPr>
          <w:spacing w:val="6"/>
        </w:rPr>
        <w:t>the full reporting</w:t>
      </w:r>
      <w:r w:rsidR="00F03B9D">
        <w:rPr>
          <w:spacing w:val="6"/>
        </w:rPr>
        <w:t xml:space="preserve"> requirements </w:t>
      </w:r>
      <w:r w:rsidR="00C40668">
        <w:rPr>
          <w:spacing w:val="6"/>
        </w:rPr>
        <w:t xml:space="preserve">as they </w:t>
      </w:r>
      <w:r w:rsidR="000C4A61">
        <w:rPr>
          <w:spacing w:val="6"/>
        </w:rPr>
        <w:t>were not required to</w:t>
      </w:r>
      <w:r w:rsidR="00F03B9D">
        <w:rPr>
          <w:spacing w:val="6"/>
        </w:rPr>
        <w:t xml:space="preserve"> </w:t>
      </w:r>
      <w:r w:rsidR="00C40668">
        <w:rPr>
          <w:spacing w:val="6"/>
        </w:rPr>
        <w:t>submit full end of year compliance reports</w:t>
      </w:r>
      <w:r w:rsidR="00F03B9D">
        <w:rPr>
          <w:spacing w:val="6"/>
        </w:rPr>
        <w:t xml:space="preserve">.  </w:t>
      </w:r>
      <w:r w:rsidR="00E9779F">
        <w:rPr>
          <w:spacing w:val="6"/>
        </w:rPr>
        <w:t xml:space="preserve">A line item has been added to account for small volume manufacturers, which are assumed to submit </w:t>
      </w:r>
      <w:r w:rsidR="00242420">
        <w:rPr>
          <w:spacing w:val="6"/>
        </w:rPr>
        <w:t xml:space="preserve">applications for </w:t>
      </w:r>
      <w:r w:rsidR="00E9779F">
        <w:rPr>
          <w:spacing w:val="6"/>
        </w:rPr>
        <w:t xml:space="preserve">alternative standards </w:t>
      </w:r>
      <w:r w:rsidR="00F406CD">
        <w:rPr>
          <w:spacing w:val="6"/>
        </w:rPr>
        <w:t>the yearly burden of which in paperwork burdens is taken to subsume the above categories</w:t>
      </w:r>
      <w:r w:rsidR="00242420">
        <w:rPr>
          <w:spacing w:val="6"/>
        </w:rPr>
        <w:t xml:space="preserve"> (initial total fleet reporting, and credits that are separately counted for other manufacturers)</w:t>
      </w:r>
      <w:r w:rsidR="00E9779F">
        <w:rPr>
          <w:spacing w:val="6"/>
        </w:rPr>
        <w:t xml:space="preserve">. The yearly cost </w:t>
      </w:r>
      <w:r w:rsidR="00D77A3E">
        <w:rPr>
          <w:spacing w:val="6"/>
        </w:rPr>
        <w:t xml:space="preserve">of doing so </w:t>
      </w:r>
      <w:r w:rsidR="00E9779F">
        <w:rPr>
          <w:spacing w:val="6"/>
        </w:rPr>
        <w:t xml:space="preserve">is scaled to account for the provision that the alternative standards can </w:t>
      </w:r>
      <w:r w:rsidR="00E9779F">
        <w:rPr>
          <w:spacing w:val="6"/>
        </w:rPr>
        <w:lastRenderedPageBreak/>
        <w:t xml:space="preserve">last up to five years, but may be less than that. We used three years as an approximation. </w:t>
      </w:r>
      <w:r w:rsidR="00F40BD7">
        <w:rPr>
          <w:spacing w:val="6"/>
        </w:rPr>
        <w:t xml:space="preserve">The increment over their current burden is estimated at </w:t>
      </w:r>
      <w:r w:rsidR="00E03F14">
        <w:rPr>
          <w:spacing w:val="6"/>
        </w:rPr>
        <w:t>8</w:t>
      </w:r>
      <w:r w:rsidR="00525C88">
        <w:rPr>
          <w:spacing w:val="6"/>
        </w:rPr>
        <w:t xml:space="preserve">67 </w:t>
      </w:r>
      <w:r w:rsidR="00F40BD7">
        <w:rPr>
          <w:spacing w:val="6"/>
        </w:rPr>
        <w:t xml:space="preserve">hours per year. </w:t>
      </w:r>
      <w:r w:rsidR="00E9779F">
        <w:rPr>
          <w:spacing w:val="6"/>
        </w:rPr>
        <w:t>Since every manufacturer will be required to su</w:t>
      </w:r>
      <w:r w:rsidR="000062EF">
        <w:rPr>
          <w:spacing w:val="6"/>
        </w:rPr>
        <w:t>bmit an end-of-</w:t>
      </w:r>
      <w:r w:rsidR="00E9779F">
        <w:rPr>
          <w:spacing w:val="6"/>
        </w:rPr>
        <w:t xml:space="preserve">year report on compliance with fleet average GHG requirements, the number </w:t>
      </w:r>
      <w:r w:rsidR="00F03B9D">
        <w:rPr>
          <w:spacing w:val="6"/>
        </w:rPr>
        <w:t xml:space="preserve">of respondents </w:t>
      </w:r>
      <w:r w:rsidR="00E9779F">
        <w:rPr>
          <w:spacing w:val="6"/>
        </w:rPr>
        <w:t xml:space="preserve">used for this item is </w:t>
      </w:r>
      <w:r w:rsidR="002A3929">
        <w:rPr>
          <w:spacing w:val="6"/>
        </w:rPr>
        <w:t>33</w:t>
      </w:r>
      <w:r w:rsidR="00E9779F">
        <w:rPr>
          <w:spacing w:val="6"/>
        </w:rPr>
        <w:t xml:space="preserve">. </w:t>
      </w:r>
    </w:p>
    <w:p w:rsidR="005E7B1A" w:rsidRDefault="005E7B1A" w:rsidP="004C72D6">
      <w:pPr>
        <w:pStyle w:val="Style6"/>
        <w:jc w:val="left"/>
        <w:rPr>
          <w:spacing w:val="6"/>
        </w:rPr>
      </w:pPr>
    </w:p>
    <w:p w:rsidR="00943D5F" w:rsidRDefault="00E03F14">
      <w:pPr>
        <w:pStyle w:val="Style6"/>
        <w:ind w:firstLine="720"/>
        <w:jc w:val="left"/>
        <w:rPr>
          <w:spacing w:val="6"/>
        </w:rPr>
      </w:pPr>
      <w:r>
        <w:rPr>
          <w:spacing w:val="6"/>
        </w:rPr>
        <w:t>The hours related to reporting for implementing credits programs and end of year reporting has been increased by 1,662 hours.  The recordkeeping burden has been increased by 2,562 hours.  The total incremental reporting and recordkeeping burden</w:t>
      </w:r>
      <w:r w:rsidR="00890643">
        <w:rPr>
          <w:spacing w:val="6"/>
        </w:rPr>
        <w:t xml:space="preserve"> </w:t>
      </w:r>
      <w:r w:rsidR="00324D77" w:rsidRPr="00E64AFE">
        <w:rPr>
          <w:spacing w:val="6"/>
        </w:rPr>
        <w:t>associated with the rulemaking,</w:t>
      </w:r>
      <w:r w:rsidR="004F7297" w:rsidRPr="00E64AFE">
        <w:rPr>
          <w:spacing w:val="6"/>
        </w:rPr>
        <w:t xml:space="preserve"> including the testing </w:t>
      </w:r>
      <w:proofErr w:type="gramStart"/>
      <w:r w:rsidR="004F7297" w:rsidRPr="00E64AFE">
        <w:rPr>
          <w:spacing w:val="6"/>
        </w:rPr>
        <w:t>hours</w:t>
      </w:r>
      <w:proofErr w:type="gramEnd"/>
      <w:r w:rsidR="004F7297" w:rsidRPr="00E64AFE">
        <w:rPr>
          <w:spacing w:val="6"/>
        </w:rPr>
        <w:t xml:space="preserve"> burden</w:t>
      </w:r>
      <w:r w:rsidRPr="00E64AFE">
        <w:rPr>
          <w:spacing w:val="6"/>
        </w:rPr>
        <w:t xml:space="preserve"> is estimated to be</w:t>
      </w:r>
      <w:r w:rsidR="004F7297" w:rsidRPr="00E64AFE">
        <w:rPr>
          <w:spacing w:val="6"/>
        </w:rPr>
        <w:t xml:space="preserve"> 5,667 hours.</w:t>
      </w:r>
      <w:r w:rsidR="00890643" w:rsidRPr="00E64AFE">
        <w:rPr>
          <w:spacing w:val="6"/>
        </w:rPr>
        <w:t xml:space="preserve">  </w:t>
      </w:r>
      <w:r w:rsidR="00324D77" w:rsidRPr="00E64AFE">
        <w:rPr>
          <w:spacing w:val="6"/>
        </w:rPr>
        <w:t>For the entire collection, the previously approved burden hours were 674,400 hours so with the addition of 5,667 hours due to this rulemaking the total burden hours for this collection is estimated at 680,067 hours</w:t>
      </w:r>
      <w:r w:rsidR="00890643" w:rsidRPr="00E64AFE">
        <w:rPr>
          <w:spacing w:val="6"/>
        </w:rPr>
        <w:t>.</w:t>
      </w:r>
      <w:r w:rsidR="00890643">
        <w:rPr>
          <w:spacing w:val="6"/>
        </w:rPr>
        <w:t xml:space="preserve">  </w:t>
      </w:r>
      <w:r>
        <w:rPr>
          <w:spacing w:val="6"/>
        </w:rPr>
        <w:t xml:space="preserve">  </w:t>
      </w:r>
    </w:p>
    <w:p w:rsidR="00F40BD7" w:rsidRDefault="00F40BD7" w:rsidP="004C72D6">
      <w:pPr>
        <w:pStyle w:val="Style6"/>
        <w:jc w:val="left"/>
        <w:rPr>
          <w:spacing w:val="6"/>
          <w:highlight w:val="yellow"/>
        </w:rPr>
      </w:pPr>
    </w:p>
    <w:p w:rsidR="004C72D6" w:rsidRPr="00556649" w:rsidRDefault="004C72D6" w:rsidP="004C72D6">
      <w:pPr>
        <w:pStyle w:val="Style6"/>
        <w:jc w:val="left"/>
      </w:pPr>
      <w:r w:rsidRPr="00556649">
        <w:rPr>
          <w:spacing w:val="6"/>
        </w:rPr>
        <w:tab/>
        <w:t>All labor hours associated with startup costs for installing (updating) information technology systems to incorporate the new information to be reported</w:t>
      </w:r>
      <w:r w:rsidR="00F40BD7">
        <w:rPr>
          <w:spacing w:val="6"/>
        </w:rPr>
        <w:t>, and startup costs for familiarization with the new regulations,</w:t>
      </w:r>
      <w:r w:rsidRPr="00556649">
        <w:t xml:space="preserve"> are associated with capital/startup costs, so they are included under that heading.  </w:t>
      </w:r>
    </w:p>
    <w:p w:rsidR="004C72D6" w:rsidRPr="003121A2" w:rsidRDefault="004C72D6" w:rsidP="004C72D6">
      <w:pPr>
        <w:pStyle w:val="Style6"/>
        <w:jc w:val="left"/>
        <w:rPr>
          <w:highlight w:val="yellow"/>
        </w:rPr>
      </w:pPr>
    </w:p>
    <w:p w:rsidR="004C72D6" w:rsidRPr="00A22CE9" w:rsidRDefault="004C72D6" w:rsidP="004C72D6">
      <w:pPr>
        <w:pStyle w:val="Style6"/>
        <w:jc w:val="left"/>
      </w:pPr>
      <w:r w:rsidRPr="00A22CE9">
        <w:t xml:space="preserve">6(b) </w:t>
      </w:r>
      <w:r w:rsidRPr="00A22CE9">
        <w:rPr>
          <w:u w:val="single"/>
        </w:rPr>
        <w:t>Estimating Respondent Costs</w:t>
      </w:r>
    </w:p>
    <w:p w:rsidR="004C72D6" w:rsidRPr="006013AD" w:rsidRDefault="004C72D6" w:rsidP="004C72D6">
      <w:pPr>
        <w:numPr>
          <w:ilvl w:val="0"/>
          <w:numId w:val="5"/>
        </w:numPr>
        <w:spacing w:before="216"/>
      </w:pPr>
      <w:r w:rsidRPr="006013AD">
        <w:rPr>
          <w:u w:val="single"/>
        </w:rPr>
        <w:t>Estimating labor costs</w:t>
      </w:r>
    </w:p>
    <w:p w:rsidR="004C72D6" w:rsidRPr="003121A2" w:rsidRDefault="004C72D6" w:rsidP="004C72D6">
      <w:pPr>
        <w:pStyle w:val="Style6"/>
        <w:jc w:val="left"/>
        <w:rPr>
          <w:spacing w:val="6"/>
          <w:highlight w:val="yellow"/>
        </w:rPr>
      </w:pPr>
    </w:p>
    <w:p w:rsidR="004C72D6" w:rsidRDefault="004C72D6" w:rsidP="004C72D6">
      <w:pPr>
        <w:pStyle w:val="Style6"/>
        <w:jc w:val="left"/>
      </w:pPr>
      <w:r w:rsidRPr="00F432AC">
        <w:tab/>
      </w:r>
      <w:r w:rsidRPr="00A70FD5">
        <w:t xml:space="preserve">Information technology specialists for analysis and coding and label redesign are priced at $100 per hour.  Labor costs for testing follow the testing labor cost assumptions of ICR 0783.47 and 0783.51 and average out to $55 per hour. </w:t>
      </w:r>
      <w:r w:rsidR="00F432AC" w:rsidRPr="00A70FD5">
        <w:t xml:space="preserve">Because this estimate underlies the entire certification program and not just this GHG portion, it will be adjusted for inflation in the next renewal of the ICR 0783 series.  </w:t>
      </w:r>
      <w:r w:rsidRPr="00A70FD5">
        <w:t>For labor costs associated with reporting and recordkeeping, rates for engineering managers (SOC 11-9</w:t>
      </w:r>
      <w:r w:rsidR="00A70FD5" w:rsidRPr="00A70FD5">
        <w:t>199</w:t>
      </w:r>
      <w:r w:rsidRPr="00A70FD5">
        <w:t>), mechanical engineers (SOC 17-2141), and secretaries (except legal, medical, and executive; SOC 43-6014) are from the May 20</w:t>
      </w:r>
      <w:r w:rsidR="00F432AC" w:rsidRPr="00A70FD5">
        <w:t>10</w:t>
      </w:r>
      <w:r w:rsidRPr="00A70FD5">
        <w:t xml:space="preserve"> BLS National Industry-Specific Occupational Employment and Wage Estimates </w:t>
      </w:r>
      <w:r w:rsidR="00F432AC" w:rsidRPr="00A70FD5">
        <w:t xml:space="preserve">for NAICS 336100 - Motor Vehicle Manufacturing </w:t>
      </w:r>
      <w:r w:rsidRPr="00A70FD5">
        <w:t>(</w:t>
      </w:r>
      <w:r w:rsidR="00F432AC" w:rsidRPr="00A70FD5">
        <w:t>http://www.bls.gov/oes/current/naics4_336100.htm</w:t>
      </w:r>
      <w:r w:rsidRPr="00A70FD5">
        <w:t xml:space="preserve">, accessed </w:t>
      </w:r>
      <w:r w:rsidR="00A70FD5" w:rsidRPr="00A70FD5">
        <w:t>October 13</w:t>
      </w:r>
      <w:r w:rsidRPr="00A70FD5">
        <w:t>, 20</w:t>
      </w:r>
      <w:r w:rsidR="00A70FD5" w:rsidRPr="00A70FD5">
        <w:t>11</w:t>
      </w:r>
      <w:r w:rsidRPr="00A70FD5">
        <w:t>). With a 160% overhead multiplier, these are $87.3</w:t>
      </w:r>
      <w:r w:rsidR="00A70FD5" w:rsidRPr="00A70FD5">
        <w:t>3</w:t>
      </w:r>
      <w:r w:rsidRPr="00A70FD5">
        <w:t>, $</w:t>
      </w:r>
      <w:r w:rsidR="00A70FD5" w:rsidRPr="00A70FD5">
        <w:t>70.</w:t>
      </w:r>
      <w:r w:rsidRPr="00A70FD5">
        <w:t>37, and $31.6</w:t>
      </w:r>
      <w:r w:rsidR="00A70FD5" w:rsidRPr="00A70FD5">
        <w:t>8</w:t>
      </w:r>
      <w:r w:rsidRPr="00A70FD5">
        <w:t>, respectively.</w:t>
      </w:r>
      <w:r w:rsidR="00701198">
        <w:t xml:space="preserve"> </w:t>
      </w:r>
    </w:p>
    <w:p w:rsidR="00242420" w:rsidRPr="003121A2" w:rsidRDefault="00242420" w:rsidP="004C72D6">
      <w:pPr>
        <w:pStyle w:val="Style6"/>
        <w:jc w:val="left"/>
        <w:rPr>
          <w:szCs w:val="20"/>
          <w:highlight w:val="yellow"/>
        </w:rPr>
      </w:pPr>
    </w:p>
    <w:p w:rsidR="004C72D6" w:rsidRPr="00811A60" w:rsidRDefault="004C72D6" w:rsidP="004C72D6">
      <w:pPr>
        <w:rPr>
          <w:spacing w:val="6"/>
          <w:u w:val="single"/>
        </w:rPr>
      </w:pPr>
      <w:r w:rsidRPr="00811A60">
        <w:rPr>
          <w:spacing w:val="6"/>
        </w:rPr>
        <w:t xml:space="preserve">(ii) </w:t>
      </w:r>
      <w:r w:rsidRPr="00811A60">
        <w:rPr>
          <w:spacing w:val="6"/>
          <w:u w:val="single"/>
        </w:rPr>
        <w:t>Estimating Operations and Maintenance Costs</w:t>
      </w:r>
    </w:p>
    <w:p w:rsidR="004C72D6" w:rsidRPr="003121A2" w:rsidRDefault="004C72D6" w:rsidP="004C72D6">
      <w:pPr>
        <w:rPr>
          <w:spacing w:val="6"/>
          <w:highlight w:val="yellow"/>
          <w:u w:val="single"/>
        </w:rPr>
      </w:pPr>
    </w:p>
    <w:p w:rsidR="008A4417" w:rsidRDefault="004C72D6" w:rsidP="00A92FDD">
      <w:pPr>
        <w:rPr>
          <w:spacing w:val="6"/>
        </w:rPr>
      </w:pPr>
      <w:r w:rsidRPr="00602A80">
        <w:rPr>
          <w:spacing w:val="6"/>
        </w:rPr>
        <w:tab/>
      </w:r>
      <w:r w:rsidR="008A4417">
        <w:rPr>
          <w:spacing w:val="6"/>
        </w:rPr>
        <w:t xml:space="preserve">For the MY 2012-2016 rule, </w:t>
      </w:r>
      <w:r w:rsidRPr="00602A80">
        <w:rPr>
          <w:spacing w:val="6"/>
        </w:rPr>
        <w:t>Operation and Maintenance costs include the non-labor costs associated with conducting the new tests that are anticipated for model year 201</w:t>
      </w:r>
      <w:r w:rsidR="00B31E78">
        <w:rPr>
          <w:spacing w:val="6"/>
        </w:rPr>
        <w:t>2</w:t>
      </w:r>
      <w:r w:rsidRPr="00602A80">
        <w:rPr>
          <w:spacing w:val="6"/>
        </w:rPr>
        <w:t xml:space="preserve"> and after.  For the Emissions IC, the Idle Test is estimated to involve $210 to $420 per test (low and high estimates); </w:t>
      </w:r>
      <w:r w:rsidR="00811A60" w:rsidRPr="00602A80">
        <w:rPr>
          <w:spacing w:val="6"/>
        </w:rPr>
        <w:t xml:space="preserve">in the prior ICR </w:t>
      </w:r>
      <w:r w:rsidRPr="00602A80">
        <w:rPr>
          <w:spacing w:val="6"/>
        </w:rPr>
        <w:t xml:space="preserve">these </w:t>
      </w:r>
      <w:r w:rsidR="00811A60" w:rsidRPr="00602A80">
        <w:rPr>
          <w:spacing w:val="6"/>
        </w:rPr>
        <w:t>were</w:t>
      </w:r>
      <w:r w:rsidRPr="00602A80">
        <w:rPr>
          <w:spacing w:val="6"/>
        </w:rPr>
        <w:t xml:space="preserve"> applied to an estimate of the number of such tests the major manufacturers who choose to apply for the credit will need to do to represent their production volume in model year 2014 and after, for an industry total of $41,297 to $171,570 per year. After the initial year, there would presumably be a number of carry-overs, so this is a conservative estimate (i.e., tending to be on the high side) for the years after model year 2012. </w:t>
      </w:r>
    </w:p>
    <w:p w:rsidR="008A4417" w:rsidRDefault="008A4417" w:rsidP="00A92FDD">
      <w:pPr>
        <w:rPr>
          <w:spacing w:val="6"/>
        </w:rPr>
      </w:pPr>
    </w:p>
    <w:p w:rsidR="00943D5F" w:rsidRDefault="00A92FDD">
      <w:pPr>
        <w:ind w:firstLine="720"/>
        <w:rPr>
          <w:spacing w:val="6"/>
        </w:rPr>
      </w:pPr>
      <w:r>
        <w:rPr>
          <w:spacing w:val="6"/>
        </w:rPr>
        <w:lastRenderedPageBreak/>
        <w:t xml:space="preserve">As discussed above, </w:t>
      </w:r>
      <w:r w:rsidR="00550F2C">
        <w:rPr>
          <w:spacing w:val="6"/>
        </w:rPr>
        <w:t xml:space="preserve">EPA is finalizing a new </w:t>
      </w:r>
      <w:r w:rsidRPr="00F63AAC">
        <w:t xml:space="preserve">AC17 </w:t>
      </w:r>
      <w:r w:rsidRPr="00F63AAC">
        <w:rPr>
          <w:spacing w:val="6"/>
        </w:rPr>
        <w:t>test procedure</w:t>
      </w:r>
      <w:r w:rsidR="00550F2C">
        <w:rPr>
          <w:spacing w:val="6"/>
        </w:rPr>
        <w:t xml:space="preserve"> to begin in MY 2017 as a replacement for the idle test. Prior to MY 2017 the AC17 test is an optional alternative to the idle test</w:t>
      </w:r>
      <w:r w:rsidRPr="00F63AAC">
        <w:rPr>
          <w:spacing w:val="6"/>
        </w:rPr>
        <w:t xml:space="preserve">. </w:t>
      </w:r>
      <w:r>
        <w:rPr>
          <w:spacing w:val="6"/>
        </w:rPr>
        <w:t>Th</w:t>
      </w:r>
      <w:r w:rsidR="00550F2C">
        <w:rPr>
          <w:spacing w:val="6"/>
        </w:rPr>
        <w:t>e AC17 test</w:t>
      </w:r>
      <w:r>
        <w:rPr>
          <w:spacing w:val="6"/>
        </w:rPr>
        <w:t xml:space="preserve"> is more expensive from a testing and paperwork standpoint but only applies to "platforms", a smaller class than "test groups" so that, depending on the number of platforms using the </w:t>
      </w:r>
      <w:r w:rsidR="00D8571E">
        <w:rPr>
          <w:spacing w:val="6"/>
        </w:rPr>
        <w:t>AC17 test</w:t>
      </w:r>
      <w:r>
        <w:rPr>
          <w:spacing w:val="6"/>
        </w:rPr>
        <w:t xml:space="preserve"> could either increase or decrease the testing burden associated with the A/C credit. This is reflected in an increased range of the high and low estimates for this paperwork cost item</w:t>
      </w:r>
      <w:r w:rsidR="00A54135">
        <w:rPr>
          <w:spacing w:val="6"/>
        </w:rPr>
        <w:t>.</w:t>
      </w:r>
      <w:r>
        <w:rPr>
          <w:spacing w:val="6"/>
        </w:rPr>
        <w:t xml:space="preserve"> </w:t>
      </w:r>
      <w:r w:rsidR="00A22CE9">
        <w:rPr>
          <w:spacing w:val="6"/>
        </w:rPr>
        <w:t xml:space="preserve">This </w:t>
      </w:r>
      <w:r w:rsidR="007B0CF9">
        <w:rPr>
          <w:spacing w:val="6"/>
        </w:rPr>
        <w:t xml:space="preserve">is applied to an estimate of </w:t>
      </w:r>
      <w:r w:rsidR="00AE0198" w:rsidRPr="00AE0198">
        <w:rPr>
          <w:spacing w:val="6"/>
        </w:rPr>
        <w:t>195</w:t>
      </w:r>
      <w:r w:rsidR="0093391B" w:rsidRPr="00BD73E8">
        <w:rPr>
          <w:spacing w:val="6"/>
        </w:rPr>
        <w:t xml:space="preserve"> to 4</w:t>
      </w:r>
      <w:r w:rsidR="00BD73E8" w:rsidRPr="00BD73E8">
        <w:rPr>
          <w:spacing w:val="6"/>
        </w:rPr>
        <w:t>09</w:t>
      </w:r>
      <w:r w:rsidR="00A22CE9">
        <w:rPr>
          <w:spacing w:val="6"/>
        </w:rPr>
        <w:t xml:space="preserve"> test groups (accounting for the addition of small volume manufacturers). </w:t>
      </w:r>
      <w:r w:rsidR="00A54135">
        <w:rPr>
          <w:spacing w:val="6"/>
        </w:rPr>
        <w:t xml:space="preserve"> The new range is estimated to be $32,760 to $206,136 compared to the previous $41,297 to </w:t>
      </w:r>
      <w:r w:rsidR="005E7B1A">
        <w:rPr>
          <w:spacing w:val="6"/>
        </w:rPr>
        <w:t>$</w:t>
      </w:r>
      <w:r w:rsidR="00A54135">
        <w:rPr>
          <w:spacing w:val="6"/>
        </w:rPr>
        <w:t xml:space="preserve">171,570. </w:t>
      </w:r>
      <w:r>
        <w:rPr>
          <w:spacing w:val="6"/>
        </w:rPr>
        <w:t>Th</w:t>
      </w:r>
      <w:r w:rsidR="00A22CE9">
        <w:rPr>
          <w:spacing w:val="6"/>
        </w:rPr>
        <w:t>e</w:t>
      </w:r>
      <w:r w:rsidR="00B4453B">
        <w:rPr>
          <w:spacing w:val="6"/>
        </w:rPr>
        <w:t xml:space="preserve"> adjustment to account for the switch from the idle test to the AC17 test</w:t>
      </w:r>
      <w:r>
        <w:rPr>
          <w:spacing w:val="6"/>
        </w:rPr>
        <w:t xml:space="preserve"> increase</w:t>
      </w:r>
      <w:r w:rsidR="00B4453B">
        <w:rPr>
          <w:spacing w:val="6"/>
        </w:rPr>
        <w:t>s</w:t>
      </w:r>
      <w:r>
        <w:rPr>
          <w:spacing w:val="6"/>
        </w:rPr>
        <w:t xml:space="preserve"> the high estimate </w:t>
      </w:r>
      <w:r w:rsidRPr="00BD73E8">
        <w:rPr>
          <w:spacing w:val="6"/>
        </w:rPr>
        <w:t xml:space="preserve">by </w:t>
      </w:r>
      <w:r w:rsidR="0093391B" w:rsidRPr="00BD73E8">
        <w:rPr>
          <w:spacing w:val="6"/>
        </w:rPr>
        <w:t>$3</w:t>
      </w:r>
      <w:r w:rsidR="0052577C">
        <w:rPr>
          <w:spacing w:val="6"/>
        </w:rPr>
        <w:t>4,566</w:t>
      </w:r>
      <w:r>
        <w:rPr>
          <w:spacing w:val="6"/>
        </w:rPr>
        <w:t xml:space="preserve"> annually from the current baseline. </w:t>
      </w:r>
    </w:p>
    <w:p w:rsidR="00384455" w:rsidRDefault="00384455" w:rsidP="00A92FDD">
      <w:pPr>
        <w:rPr>
          <w:spacing w:val="6"/>
        </w:rPr>
      </w:pPr>
    </w:p>
    <w:p w:rsidR="00384455" w:rsidRPr="00602A80" w:rsidRDefault="00384455" w:rsidP="00A92FDD">
      <w:pPr>
        <w:rPr>
          <w:color w:val="FF0000"/>
          <w:spacing w:val="6"/>
        </w:rPr>
      </w:pPr>
      <w:r>
        <w:rPr>
          <w:spacing w:val="6"/>
        </w:rPr>
        <w:tab/>
        <w:t xml:space="preserve">No changes are expected for the IUVP O&amp;M costs. </w:t>
      </w:r>
    </w:p>
    <w:p w:rsidR="004C72D6" w:rsidRPr="003121A2" w:rsidRDefault="004C72D6" w:rsidP="004C72D6">
      <w:pPr>
        <w:rPr>
          <w:spacing w:val="6"/>
          <w:highlight w:val="yellow"/>
        </w:rPr>
      </w:pPr>
    </w:p>
    <w:p w:rsidR="004C72D6" w:rsidRPr="006013AD" w:rsidRDefault="004C72D6" w:rsidP="004C72D6">
      <w:pPr>
        <w:rPr>
          <w:spacing w:val="6"/>
          <w:u w:val="single"/>
        </w:rPr>
      </w:pPr>
      <w:r w:rsidRPr="006013AD">
        <w:rPr>
          <w:spacing w:val="6"/>
        </w:rPr>
        <w:t xml:space="preserve">(iii)  </w:t>
      </w:r>
      <w:r w:rsidRPr="006013AD">
        <w:rPr>
          <w:spacing w:val="6"/>
          <w:u w:val="single"/>
        </w:rPr>
        <w:t xml:space="preserve">Start-up </w:t>
      </w:r>
      <w:r w:rsidR="00F03B9D">
        <w:rPr>
          <w:spacing w:val="6"/>
          <w:u w:val="single"/>
        </w:rPr>
        <w:t xml:space="preserve">and </w:t>
      </w:r>
      <w:r w:rsidRPr="006013AD">
        <w:rPr>
          <w:spacing w:val="6"/>
          <w:u w:val="single"/>
        </w:rPr>
        <w:t>Capital Costs</w:t>
      </w:r>
    </w:p>
    <w:p w:rsidR="004C72D6" w:rsidRPr="006013AD" w:rsidRDefault="004C72D6" w:rsidP="004C72D6">
      <w:pPr>
        <w:rPr>
          <w:spacing w:val="6"/>
        </w:rPr>
      </w:pPr>
    </w:p>
    <w:p w:rsidR="004C72D6" w:rsidRPr="006013AD" w:rsidRDefault="004C72D6" w:rsidP="004C72D6">
      <w:r w:rsidRPr="006013AD">
        <w:tab/>
        <w:t xml:space="preserve">“Startup” costs are one-time costs to implement the new requirements in the </w:t>
      </w:r>
      <w:r w:rsidR="00545640" w:rsidRPr="006013AD">
        <w:t>rule</w:t>
      </w:r>
      <w:r w:rsidRPr="006013AD">
        <w:t xml:space="preserve"> that are applicable to model year 2012 vehicles being certified or in-use tested by the respondent manufacturers. These startup burdens fall into three categories. </w:t>
      </w:r>
    </w:p>
    <w:p w:rsidR="004C72D6" w:rsidRPr="003121A2" w:rsidRDefault="004C72D6" w:rsidP="004C72D6">
      <w:pPr>
        <w:rPr>
          <w:highlight w:val="yellow"/>
        </w:rPr>
      </w:pPr>
    </w:p>
    <w:p w:rsidR="004C72D6" w:rsidRDefault="004C72D6" w:rsidP="004C72D6">
      <w:r w:rsidRPr="006013AD">
        <w:tab/>
      </w:r>
      <w:r w:rsidR="005D0455">
        <w:t>For the Emissions IC, f</w:t>
      </w:r>
      <w:r w:rsidRPr="006013AD">
        <w:t xml:space="preserve">irst are information technology costs involving familiarization with the new data reporting requirements and installation of reformatted management information systems to carry out and report the necessary data and calculations.  All these burdens are add-ons to well established reporting requirements: manufacturers already submit similar data to EPA.  </w:t>
      </w:r>
      <w:r w:rsidR="006013AD">
        <w:t xml:space="preserve">However, because manufacturers must not only program the reporting requirements, but also make management decisions about which of the compliance pathways to follow, this ICR adds a line item familiarization cost not separately counted in the prior ICR. These adjustments add </w:t>
      </w:r>
      <w:r w:rsidR="006013AD" w:rsidRPr="00245C03">
        <w:t>$</w:t>
      </w:r>
      <w:r w:rsidR="0093391B" w:rsidRPr="00B4453B">
        <w:t>160,990</w:t>
      </w:r>
      <w:r w:rsidR="006013AD" w:rsidRPr="00245C03">
        <w:t xml:space="preserve"> </w:t>
      </w:r>
      <w:r w:rsidR="00245C03">
        <w:t xml:space="preserve">(depreciated) </w:t>
      </w:r>
      <w:r w:rsidR="006013AD" w:rsidRPr="00245C03">
        <w:t>to</w:t>
      </w:r>
      <w:r w:rsidR="006013AD">
        <w:t xml:space="preserve"> the baseline for</w:t>
      </w:r>
      <w:r w:rsidR="00245C03">
        <w:t xml:space="preserve"> this category of startup costs.</w:t>
      </w:r>
      <w:r w:rsidR="00F03B9D">
        <w:rPr>
          <w:rStyle w:val="FootnoteReference"/>
        </w:rPr>
        <w:footnoteReference w:id="2"/>
      </w:r>
      <w:r w:rsidR="006013AD">
        <w:t xml:space="preserve">  </w:t>
      </w:r>
    </w:p>
    <w:p w:rsidR="005D0455" w:rsidRPr="003121A2" w:rsidRDefault="005D0455" w:rsidP="004C72D6">
      <w:pPr>
        <w:rPr>
          <w:highlight w:val="yellow"/>
        </w:rPr>
      </w:pPr>
    </w:p>
    <w:p w:rsidR="00E31490" w:rsidRDefault="00AE0198" w:rsidP="004C72D6">
      <w:pPr>
        <w:ind w:firstLine="720"/>
        <w:rPr>
          <w:rFonts w:eastAsia="MS Mincho"/>
          <w:color w:val="000000"/>
          <w:lang w:eastAsia="ja-JP"/>
        </w:rPr>
      </w:pPr>
      <w:r w:rsidRPr="00AD2BA2">
        <w:rPr>
          <w:rFonts w:eastAsia="MS Mincho"/>
          <w:color w:val="000000"/>
          <w:lang w:eastAsia="ja-JP"/>
        </w:rPr>
        <w:t>Second are startup costs associated with N</w:t>
      </w:r>
      <w:r w:rsidRPr="00AD2BA2">
        <w:rPr>
          <w:rFonts w:eastAsia="MS Mincho"/>
          <w:color w:val="000000"/>
          <w:vertAlign w:val="subscript"/>
          <w:lang w:eastAsia="ja-JP"/>
        </w:rPr>
        <w:t>2</w:t>
      </w:r>
      <w:r w:rsidRPr="00AD2BA2">
        <w:rPr>
          <w:rFonts w:eastAsia="MS Mincho"/>
          <w:color w:val="000000"/>
          <w:lang w:eastAsia="ja-JP"/>
        </w:rPr>
        <w:t>O measurement. The prior ICR estimated a cost of $50,000 to $60,000 per analyzer, with one to five needed by 33 manufacturers. An updated cost estimate of $60,000 to $120,000 for each of the laser-based measurement systems likely to be chosen by most manufacturers, applied to 33 manufacturers, accounts for most of the increase in the high-estimate baseline for this item ($9</w:t>
      </w:r>
      <w:r w:rsidR="004F7E05" w:rsidRPr="00AD2BA2">
        <w:rPr>
          <w:rFonts w:eastAsia="MS Mincho"/>
          <w:color w:val="000000"/>
          <w:lang w:eastAsia="ja-JP"/>
        </w:rPr>
        <w:t>82</w:t>
      </w:r>
      <w:r w:rsidRPr="00AD2BA2">
        <w:rPr>
          <w:rFonts w:eastAsia="MS Mincho"/>
          <w:color w:val="000000"/>
          <w:lang w:eastAsia="ja-JP"/>
        </w:rPr>
        <w:t>,</w:t>
      </w:r>
      <w:r w:rsidR="004F7E05" w:rsidRPr="00AD2BA2">
        <w:rPr>
          <w:rFonts w:eastAsia="MS Mincho"/>
          <w:color w:val="000000"/>
          <w:lang w:eastAsia="ja-JP"/>
        </w:rPr>
        <w:t>405</w:t>
      </w:r>
      <w:r w:rsidRPr="00AD2BA2">
        <w:rPr>
          <w:rFonts w:eastAsia="MS Mincho"/>
          <w:color w:val="000000"/>
          <w:lang w:eastAsia="ja-JP"/>
        </w:rPr>
        <w:t>, depreciated).</w:t>
      </w:r>
      <w:r w:rsidR="00C41D36">
        <w:rPr>
          <w:rFonts w:eastAsia="MS Mincho"/>
          <w:color w:val="000000"/>
          <w:lang w:eastAsia="ja-JP"/>
        </w:rPr>
        <w:t xml:space="preserve"> </w:t>
      </w:r>
    </w:p>
    <w:p w:rsidR="00E31490" w:rsidRDefault="00E31490" w:rsidP="004C72D6">
      <w:pPr>
        <w:ind w:firstLine="720"/>
        <w:rPr>
          <w:rFonts w:eastAsia="MS Mincho"/>
          <w:color w:val="000000"/>
          <w:lang w:eastAsia="ja-JP"/>
        </w:rPr>
      </w:pPr>
    </w:p>
    <w:p w:rsidR="00704F0B" w:rsidRPr="003121A2" w:rsidRDefault="00704F0B" w:rsidP="00704F0B">
      <w:pPr>
        <w:rPr>
          <w:highlight w:val="yellow"/>
        </w:rPr>
      </w:pPr>
      <w:r>
        <w:tab/>
        <w:t>For the IUVP IC</w:t>
      </w:r>
      <w:r w:rsidRPr="00C41D36">
        <w:rPr>
          <w:spacing w:val="6"/>
        </w:rPr>
        <w:t>, some of the contracting laboratories that do IUVP testing may also need to install N</w:t>
      </w:r>
      <w:r w:rsidRPr="00C41D36">
        <w:rPr>
          <w:rFonts w:eastAsia="MS Mincho"/>
          <w:color w:val="000000"/>
          <w:vertAlign w:val="subscript"/>
          <w:lang w:eastAsia="ja-JP"/>
        </w:rPr>
        <w:t>2</w:t>
      </w:r>
      <w:r w:rsidRPr="00C41D36">
        <w:rPr>
          <w:spacing w:val="6"/>
        </w:rPr>
        <w:t xml:space="preserve">O analyzers, and the adjustment in analyzer cost for the three to five facilities doing IUVP testing adds an estimated discounted and annualized capital cost of $85,426 </w:t>
      </w:r>
      <w:r>
        <w:rPr>
          <w:spacing w:val="6"/>
        </w:rPr>
        <w:t>(</w:t>
      </w:r>
      <w:proofErr w:type="spellStart"/>
      <w:r>
        <w:rPr>
          <w:spacing w:val="6"/>
        </w:rPr>
        <w:t>undepreciated</w:t>
      </w:r>
      <w:proofErr w:type="spellEnd"/>
      <w:r>
        <w:rPr>
          <w:spacing w:val="6"/>
        </w:rPr>
        <w:t xml:space="preserve">) </w:t>
      </w:r>
      <w:r w:rsidRPr="00C41D36">
        <w:rPr>
          <w:spacing w:val="6"/>
        </w:rPr>
        <w:t xml:space="preserve">to the IUVP IC baseline. </w:t>
      </w:r>
      <w:r w:rsidRPr="00C41D36">
        <w:rPr>
          <w:rFonts w:eastAsia="MS Mincho"/>
          <w:color w:val="000000"/>
          <w:lang w:eastAsia="ja-JP"/>
        </w:rPr>
        <w:t xml:space="preserve">Testing facilities and procedures vary widely, and this is reflected in the order of magnitude range of high and low items for </w:t>
      </w:r>
      <w:r>
        <w:rPr>
          <w:rFonts w:eastAsia="MS Mincho"/>
          <w:color w:val="000000"/>
          <w:lang w:eastAsia="ja-JP"/>
        </w:rPr>
        <w:t>N</w:t>
      </w:r>
      <w:r w:rsidR="00324D77" w:rsidRPr="00324D77">
        <w:rPr>
          <w:rFonts w:eastAsia="MS Mincho"/>
          <w:color w:val="000000"/>
          <w:vertAlign w:val="subscript"/>
          <w:lang w:eastAsia="ja-JP"/>
        </w:rPr>
        <w:t>2</w:t>
      </w:r>
      <w:r>
        <w:rPr>
          <w:rFonts w:eastAsia="MS Mincho"/>
          <w:color w:val="000000"/>
          <w:lang w:eastAsia="ja-JP"/>
        </w:rPr>
        <w:t>O analyzer startup costs</w:t>
      </w:r>
      <w:r w:rsidRPr="00C41D36">
        <w:rPr>
          <w:rFonts w:eastAsia="MS Mincho"/>
          <w:color w:val="000000"/>
          <w:lang w:eastAsia="ja-JP"/>
        </w:rPr>
        <w:t xml:space="preserve">.  </w:t>
      </w:r>
    </w:p>
    <w:p w:rsidR="00704F0B" w:rsidRDefault="00704F0B" w:rsidP="004C72D6">
      <w:pPr>
        <w:ind w:firstLine="720"/>
        <w:rPr>
          <w:rFonts w:eastAsia="MS Mincho"/>
          <w:color w:val="000000"/>
          <w:lang w:eastAsia="ja-JP"/>
        </w:rPr>
      </w:pPr>
    </w:p>
    <w:p w:rsidR="004C72D6" w:rsidRDefault="004C72D6" w:rsidP="004C72D6">
      <w:r w:rsidRPr="00920709">
        <w:lastRenderedPageBreak/>
        <w:tab/>
        <w:t>Third are capital costs associate</w:t>
      </w:r>
      <w:r w:rsidR="002D2F98">
        <w:t xml:space="preserve">d with the new testing facility.  </w:t>
      </w:r>
      <w:r w:rsidR="002D2F98" w:rsidRPr="00920709">
        <w:t>Because manufacturers vary widely in their existing testing facilities, their excess capacities, their work shift arrangements and availabilities, the real estate cost and land availabilities for hypothetical expansions, and their contractual arrangements with other testing facilities, the Compliance Division has for many year</w:t>
      </w:r>
      <w:r w:rsidR="00152B9B">
        <w:t>s</w:t>
      </w:r>
      <w:r w:rsidR="002D2F98" w:rsidRPr="00920709">
        <w:t xml:space="preserve"> now used the approximation that a facility capable of performing 750 FTP/HFET tests per year costs $4,000,000 and allocated this cost to each testing increment. This cost is then allocated over ten years and discounted at 7%. This methodology is considered conservative, because it assumes no excess </w:t>
      </w:r>
      <w:r w:rsidR="00F03B9D">
        <w:t xml:space="preserve">testing </w:t>
      </w:r>
      <w:r w:rsidR="002D2F98" w:rsidRPr="00920709">
        <w:t>capacity.</w:t>
      </w:r>
      <w:r w:rsidR="00F03B9D">
        <w:t xml:space="preserve">  If manufacturers had excess testing capacity, there would be a decreased need for additional testing facilities.</w:t>
      </w:r>
      <w:r w:rsidR="002D2F98">
        <w:t xml:space="preserve"> </w:t>
      </w:r>
      <w:r w:rsidR="00F03B9D">
        <w:t xml:space="preserve"> </w:t>
      </w:r>
      <w:r w:rsidR="002D2F98">
        <w:t xml:space="preserve">This estimate includes no change in the IUVP IC because there are no changes in the idle test cost. </w:t>
      </w:r>
      <w:r w:rsidR="00BD73E8">
        <w:t xml:space="preserve">No change in facility costs is included in the IUVP program for small volume manufacturers because small volume manufacturers are exempt from the IUVP program.  </w:t>
      </w:r>
      <w:r w:rsidR="00DB5CC0">
        <w:t>Given the flexibility in the timing of A</w:t>
      </w:r>
      <w:r w:rsidR="00140AB5">
        <w:t>/</w:t>
      </w:r>
      <w:r w:rsidR="00DB5CC0">
        <w:t>C testing (manufacturers will be able to conduct the testing in off peak times of year) and minimization of testing burden noted above for AC17 as discussed above, EPA believes manufacturers will be able to absorb the additional testing within their current facilities and EPA is not projecting that significant additional testing facilities will be needed to accommodate AC17 requirements beyond those projected previously for the A</w:t>
      </w:r>
      <w:r w:rsidR="00140AB5">
        <w:t>/</w:t>
      </w:r>
      <w:r w:rsidR="00DB5CC0">
        <w:t xml:space="preserve">C idle test.  </w:t>
      </w:r>
      <w:r w:rsidR="002D2F98">
        <w:t>For the Emissions IC, the AC17 test</w:t>
      </w:r>
      <w:r w:rsidR="00DB5CC0">
        <w:t xml:space="preserve"> is projected to </w:t>
      </w:r>
      <w:r w:rsidR="002D2F98">
        <w:t xml:space="preserve">increase the range of facility costs slightly to correspond to the increase in testing costs discussed above. </w:t>
      </w:r>
      <w:r w:rsidR="00384455">
        <w:t>This results in a small increase of $</w:t>
      </w:r>
      <w:r w:rsidR="0024319C">
        <w:t>6,8</w:t>
      </w:r>
      <w:r w:rsidR="00240097">
        <w:t>9</w:t>
      </w:r>
      <w:r w:rsidR="00C67424">
        <w:t>3</w:t>
      </w:r>
      <w:r w:rsidR="0024319C">
        <w:t xml:space="preserve"> (depreciated)</w:t>
      </w:r>
      <w:r w:rsidR="00384455">
        <w:t xml:space="preserve"> per year in the high estimate. </w:t>
      </w:r>
    </w:p>
    <w:p w:rsidR="006F6B24" w:rsidRDefault="006F6B24" w:rsidP="004C72D6"/>
    <w:p w:rsidR="006F6B24" w:rsidRDefault="006F6B24" w:rsidP="004C72D6">
      <w:r>
        <w:t xml:space="preserve">(iv) </w:t>
      </w:r>
      <w:r w:rsidR="00125AAE">
        <w:t xml:space="preserve">Estimating </w:t>
      </w:r>
      <w:r w:rsidRPr="006F6B24">
        <w:rPr>
          <w:u w:val="single"/>
        </w:rPr>
        <w:t>Reporting and Recordkeeping Costs</w:t>
      </w:r>
    </w:p>
    <w:p w:rsidR="006F6B24" w:rsidRDefault="006F6B24" w:rsidP="004C72D6"/>
    <w:p w:rsidR="006F6B24" w:rsidRPr="006F6B24" w:rsidRDefault="006F6B24" w:rsidP="004C72D6">
      <w:r>
        <w:tab/>
        <w:t xml:space="preserve">All reporting and recordkeeping costs associated with the GHG program have been adjusted upward </w:t>
      </w:r>
      <w:r w:rsidR="00125AAE">
        <w:t xml:space="preserve">from the previous ICR </w:t>
      </w:r>
      <w:r>
        <w:t xml:space="preserve">to account for the change in labor costs noted above.  In addition, the new annual costs associated with the new SVM standards provisions are estimated to range from $18,398 to $68,337.  Also, </w:t>
      </w:r>
      <w:r w:rsidR="00AF2413">
        <w:t xml:space="preserve">EPA has included an incremental reporting burden associated with the minor revisions to the various optional credits programs included in the program.  Because the </w:t>
      </w:r>
      <w:r w:rsidR="005E7B1A">
        <w:t xml:space="preserve">credits </w:t>
      </w:r>
      <w:r w:rsidR="00AF2413">
        <w:t>programs are optional</w:t>
      </w:r>
      <w:r w:rsidR="005E7B1A">
        <w:t xml:space="preserve"> and participation is likely for many manufacturers but uncertain</w:t>
      </w:r>
      <w:r w:rsidR="00AF2413">
        <w:t>, the estimates are based on a range of respondents of 15 to 33</w:t>
      </w:r>
      <w:r w:rsidR="00125AAE">
        <w:t>.  The reporting and recordkeeping associated with this adjustment range</w:t>
      </w:r>
      <w:r w:rsidR="00AF2413">
        <w:t>s</w:t>
      </w:r>
      <w:r w:rsidR="00125AAE">
        <w:t xml:space="preserve"> from $4,731 to $39,349.  The total increased reporting and recordkeeping costs are estimated to be $36,336 to $129,352.</w:t>
      </w:r>
      <w:r>
        <w:t xml:space="preserve">  </w:t>
      </w:r>
    </w:p>
    <w:p w:rsidR="00E31490" w:rsidRDefault="00E31490" w:rsidP="004C72D6"/>
    <w:p w:rsidR="004C72D6" w:rsidRPr="00C41D36" w:rsidRDefault="00704F0B" w:rsidP="004C72D6">
      <w:pPr>
        <w:rPr>
          <w:spacing w:val="6"/>
        </w:rPr>
      </w:pPr>
      <w:r>
        <w:tab/>
      </w:r>
      <w:r w:rsidR="004C72D6" w:rsidRPr="00C41D36">
        <w:rPr>
          <w:spacing w:val="6"/>
        </w:rPr>
        <w:t xml:space="preserve">6(c) </w:t>
      </w:r>
      <w:r w:rsidR="004C72D6" w:rsidRPr="00C41D36">
        <w:rPr>
          <w:spacing w:val="6"/>
          <w:u w:val="single"/>
        </w:rPr>
        <w:t>Estimating Agency Burden</w:t>
      </w:r>
    </w:p>
    <w:p w:rsidR="004C72D6" w:rsidRPr="003121A2" w:rsidRDefault="004C72D6" w:rsidP="004C72D6">
      <w:pPr>
        <w:pStyle w:val="Style5"/>
        <w:adjustRightInd/>
        <w:rPr>
          <w:spacing w:val="6"/>
          <w:highlight w:val="yellow"/>
        </w:rPr>
      </w:pPr>
    </w:p>
    <w:p w:rsidR="004C72D6" w:rsidRPr="0017264A" w:rsidRDefault="004C72D6" w:rsidP="004C72D6">
      <w:pPr>
        <w:pStyle w:val="Style6"/>
        <w:jc w:val="left"/>
        <w:rPr>
          <w:spacing w:val="6"/>
        </w:rPr>
      </w:pPr>
      <w:r w:rsidRPr="00C41D36">
        <w:rPr>
          <w:spacing w:val="6"/>
        </w:rPr>
        <w:tab/>
        <w:t>The</w:t>
      </w:r>
      <w:r w:rsidRPr="00B727B1">
        <w:rPr>
          <w:spacing w:val="6"/>
        </w:rPr>
        <w:t xml:space="preserve"> emissions certification, fuel economy, and IUVP programs are administered by EPA’s Compliance Division.  </w:t>
      </w:r>
      <w:r w:rsidRPr="0017264A">
        <w:rPr>
          <w:spacing w:val="6"/>
        </w:rPr>
        <w:t>Approximately 47.5 full time employee equivalents are directly involved in the combined emission and fuel economy</w:t>
      </w:r>
      <w:r w:rsidR="004E3B5B">
        <w:rPr>
          <w:spacing w:val="6"/>
        </w:rPr>
        <w:t xml:space="preserve"> programs for</w:t>
      </w:r>
      <w:r w:rsidRPr="0017264A">
        <w:rPr>
          <w:spacing w:val="6"/>
        </w:rPr>
        <w:t xml:space="preserve"> light-duty</w:t>
      </w:r>
      <w:r w:rsidR="004E3B5B">
        <w:rPr>
          <w:spacing w:val="6"/>
        </w:rPr>
        <w:t xml:space="preserve"> vehicle</w:t>
      </w:r>
      <w:r w:rsidRPr="0017264A">
        <w:rPr>
          <w:spacing w:val="6"/>
        </w:rPr>
        <w:t>, motorcycle, and other, secondary programs; their cost is approximately $5.9 million, including benefits but not overhead.  EPA also participates in a program whereby the agency contracts with organization</w:t>
      </w:r>
      <w:r w:rsidR="0017264A" w:rsidRPr="0017264A">
        <w:rPr>
          <w:spacing w:val="6"/>
        </w:rPr>
        <w:t>s</w:t>
      </w:r>
      <w:r w:rsidRPr="0017264A">
        <w:rPr>
          <w:spacing w:val="6"/>
        </w:rPr>
        <w:t xml:space="preserve"> that provide qualified persons to perform duties for the agency that are not performed by EPA employees.  The cost associated with these persons who work directly on these programs is approximately $0.23 million, excluding overhead.   Overhead percentage for the entire division is </w:t>
      </w:r>
      <w:r w:rsidRPr="0017264A">
        <w:rPr>
          <w:spacing w:val="6"/>
        </w:rPr>
        <w:lastRenderedPageBreak/>
        <w:t xml:space="preserve">approximately 16.9%, yielding an estimated total agency labor cost of $7.17 million. The total non-capital costs for the light-duty and motorcycle programs, including direct and indirect labor, operations and maintenance, and overhead, is estimated as $11.14 million for FY 2007. </w:t>
      </w:r>
    </w:p>
    <w:p w:rsidR="004C72D6" w:rsidRPr="003121A2" w:rsidRDefault="004C72D6" w:rsidP="004C72D6">
      <w:pPr>
        <w:pStyle w:val="Style6"/>
        <w:jc w:val="left"/>
        <w:rPr>
          <w:spacing w:val="6"/>
          <w:highlight w:val="yellow"/>
        </w:rPr>
      </w:pPr>
    </w:p>
    <w:p w:rsidR="004C72D6" w:rsidRDefault="004C72D6" w:rsidP="004C72D6">
      <w:pPr>
        <w:pStyle w:val="Style6"/>
        <w:jc w:val="left"/>
        <w:rPr>
          <w:spacing w:val="6"/>
        </w:rPr>
      </w:pPr>
      <w:r w:rsidRPr="004E5ACF">
        <w:rPr>
          <w:spacing w:val="6"/>
        </w:rPr>
        <w:tab/>
        <w:t xml:space="preserve">Implementation of the new GHG </w:t>
      </w:r>
      <w:r w:rsidR="00D8571E">
        <w:rPr>
          <w:spacing w:val="6"/>
        </w:rPr>
        <w:t>rule</w:t>
      </w:r>
      <w:r w:rsidR="00D8571E" w:rsidRPr="004E5ACF">
        <w:rPr>
          <w:spacing w:val="6"/>
        </w:rPr>
        <w:t xml:space="preserve"> </w:t>
      </w:r>
      <w:r w:rsidRPr="004E5ACF">
        <w:rPr>
          <w:spacing w:val="6"/>
        </w:rPr>
        <w:t>will be carried out by existing staff</w:t>
      </w:r>
      <w:r w:rsidR="0017264A" w:rsidRPr="004E5ACF">
        <w:rPr>
          <w:spacing w:val="6"/>
        </w:rPr>
        <w:t>. The prior rule included startup costs for information systems and programming, including overhead of $4,000,000 (high estimate).</w:t>
      </w:r>
      <w:r w:rsidRPr="004E5ACF">
        <w:rPr>
          <w:spacing w:val="6"/>
        </w:rPr>
        <w:t xml:space="preserve">  </w:t>
      </w:r>
      <w:r w:rsidR="0017264A" w:rsidRPr="004E5ACF">
        <w:rPr>
          <w:spacing w:val="6"/>
        </w:rPr>
        <w:t xml:space="preserve">Annualized over ten years with 7% depreciation this cost burden came to $569,510. Ongoing agency burden added by the rule for maintaining and managing the database after startup </w:t>
      </w:r>
      <w:r w:rsidR="009A5FB2" w:rsidRPr="004E5ACF">
        <w:rPr>
          <w:spacing w:val="6"/>
        </w:rPr>
        <w:t>was</w:t>
      </w:r>
      <w:r w:rsidR="0017264A" w:rsidRPr="004E5ACF">
        <w:rPr>
          <w:spacing w:val="6"/>
        </w:rPr>
        <w:t xml:space="preserve"> estimated at 12% of the startup costs, or $480,000, corresponding to approximately 6,281 hours.  Combined labor and annu</w:t>
      </w:r>
      <w:r w:rsidR="004E5ACF" w:rsidRPr="004E5ACF">
        <w:rPr>
          <w:spacing w:val="6"/>
        </w:rPr>
        <w:t>al startup costs therefore tota</w:t>
      </w:r>
      <w:r w:rsidR="009A5FB2" w:rsidRPr="004E5ACF">
        <w:rPr>
          <w:spacing w:val="6"/>
        </w:rPr>
        <w:t>led</w:t>
      </w:r>
      <w:r w:rsidR="0017264A" w:rsidRPr="004E5ACF">
        <w:rPr>
          <w:spacing w:val="6"/>
        </w:rPr>
        <w:t xml:space="preserve"> 6,281 hours (startup hours not annualized) and $1,049,510. </w:t>
      </w:r>
      <w:r w:rsidR="009A5FB2" w:rsidRPr="00BC1B74">
        <w:rPr>
          <w:spacing w:val="6"/>
        </w:rPr>
        <w:t xml:space="preserve">Implementing the new GHG </w:t>
      </w:r>
      <w:r w:rsidR="00D8571E">
        <w:rPr>
          <w:spacing w:val="6"/>
        </w:rPr>
        <w:t>rule</w:t>
      </w:r>
      <w:r w:rsidR="00D8571E" w:rsidRPr="00BC1B74">
        <w:rPr>
          <w:spacing w:val="6"/>
        </w:rPr>
        <w:t xml:space="preserve"> </w:t>
      </w:r>
      <w:r w:rsidR="009A5FB2" w:rsidRPr="00BC1B74">
        <w:rPr>
          <w:spacing w:val="6"/>
        </w:rPr>
        <w:t xml:space="preserve">will undoubtedly require additional information systems startup costs and ongoing O&amp;M. </w:t>
      </w:r>
      <w:r w:rsidRPr="00BC1B74">
        <w:rPr>
          <w:spacing w:val="6"/>
        </w:rPr>
        <w:t xml:space="preserve">As the Agency has not yet determined </w:t>
      </w:r>
      <w:r w:rsidR="009A5FB2" w:rsidRPr="00BC1B74">
        <w:rPr>
          <w:spacing w:val="6"/>
        </w:rPr>
        <w:t xml:space="preserve">this level of effort, </w:t>
      </w:r>
      <w:r w:rsidR="004E5ACF" w:rsidRPr="00BC1B74">
        <w:rPr>
          <w:spacing w:val="6"/>
        </w:rPr>
        <w:t xml:space="preserve">this ICR will use one-third of the expenses of the prior rule as a placeholder: $1,333,333 startup capital costs with a yearly discounted value of $189,837, and $160,000 a year </w:t>
      </w:r>
      <w:r w:rsidR="00BC1B74">
        <w:rPr>
          <w:spacing w:val="6"/>
        </w:rPr>
        <w:t xml:space="preserve">including overhead </w:t>
      </w:r>
      <w:r w:rsidR="004E5ACF" w:rsidRPr="00BC1B74">
        <w:rPr>
          <w:spacing w:val="6"/>
        </w:rPr>
        <w:t>in ongoing maintenance and management of the database,</w:t>
      </w:r>
      <w:r w:rsidR="004A62AF">
        <w:rPr>
          <w:spacing w:val="6"/>
        </w:rPr>
        <w:t xml:space="preserve"> for a total of $349,837,</w:t>
      </w:r>
      <w:r w:rsidR="004E5ACF" w:rsidRPr="00BC1B74">
        <w:rPr>
          <w:spacing w:val="6"/>
        </w:rPr>
        <w:t xml:space="preserve"> equivalent to 2</w:t>
      </w:r>
      <w:r w:rsidR="001B5507">
        <w:rPr>
          <w:spacing w:val="6"/>
        </w:rPr>
        <w:t>,</w:t>
      </w:r>
      <w:r w:rsidR="004E5ACF" w:rsidRPr="00BC1B74">
        <w:rPr>
          <w:spacing w:val="6"/>
        </w:rPr>
        <w:t>094 hours</w:t>
      </w:r>
      <w:r w:rsidRPr="00BC1B74">
        <w:rPr>
          <w:spacing w:val="6"/>
        </w:rPr>
        <w:t xml:space="preserve">.  This estimate includes costs associated with developing formats and collecting information within the Verify system for the new reporting elements summarized in 4(b)(i).  Other ongoing database management, oversight, and certification activities are part of the fuel economy and emissions program Agency baseline.  All EPA labor estimates are based on Office of Personnel Management </w:t>
      </w:r>
      <w:r w:rsidR="00BC1B74" w:rsidRPr="00BC1B74">
        <w:rPr>
          <w:spacing w:val="6"/>
        </w:rPr>
        <w:t>Salary Table 2011-GS (http://www.opm.gov/oca/11tables/pd</w:t>
      </w:r>
      <w:bookmarkStart w:id="1" w:name="_GoBack"/>
      <w:bookmarkEnd w:id="1"/>
      <w:r w:rsidR="00BC1B74" w:rsidRPr="00BC1B74">
        <w:rPr>
          <w:spacing w:val="6"/>
        </w:rPr>
        <w:t xml:space="preserve">f/gs_h.pdf , accessed 10/17/2011) </w:t>
      </w:r>
      <w:r w:rsidRPr="00BC1B74">
        <w:rPr>
          <w:spacing w:val="6"/>
        </w:rPr>
        <w:t xml:space="preserve">with a 1.6 multiplier for overhead based on EPA’s latest fees cost allocation study (1.37 indirect program cost overhead times 1.16 overall EPA overhead).  This estimate does not include Agency burdens incurred prior to the effective date of the rule, such as costs of developing the rule and preliminary consultations with manufacturers on database issues. </w:t>
      </w:r>
    </w:p>
    <w:p w:rsidR="00890643" w:rsidRDefault="00890643" w:rsidP="004C72D6">
      <w:pPr>
        <w:pStyle w:val="Style6"/>
        <w:jc w:val="left"/>
        <w:rPr>
          <w:spacing w:val="6"/>
        </w:rPr>
      </w:pPr>
    </w:p>
    <w:p w:rsidR="00943D5F" w:rsidRDefault="00324D77">
      <w:pPr>
        <w:pStyle w:val="Style6"/>
        <w:ind w:firstLine="720"/>
        <w:jc w:val="left"/>
        <w:rPr>
          <w:spacing w:val="6"/>
        </w:rPr>
      </w:pPr>
      <w:r w:rsidRPr="00E64AFE">
        <w:rPr>
          <w:spacing w:val="6"/>
        </w:rPr>
        <w:t>For the entire collection, the previously estimated agency cost was $11,140,000 so adding the incremental cost of $349,</w:t>
      </w:r>
      <w:r w:rsidR="003D7ACA">
        <w:rPr>
          <w:spacing w:val="6"/>
        </w:rPr>
        <w:t>8</w:t>
      </w:r>
      <w:r w:rsidRPr="00E64AFE">
        <w:rPr>
          <w:spacing w:val="6"/>
        </w:rPr>
        <w:t>37 yields $11,489,837 in total cost for the agency to implement this collection each year.</w:t>
      </w:r>
      <w:r w:rsidR="00890643">
        <w:rPr>
          <w:spacing w:val="6"/>
        </w:rPr>
        <w:t xml:space="preserve">  </w:t>
      </w:r>
      <w:r w:rsidR="00890643" w:rsidRPr="00890643">
        <w:rPr>
          <w:spacing w:val="6"/>
        </w:rPr>
        <w:t xml:space="preserve">    </w:t>
      </w:r>
    </w:p>
    <w:p w:rsidR="004C72D6" w:rsidRPr="003121A2" w:rsidRDefault="004C72D6" w:rsidP="004C72D6">
      <w:pPr>
        <w:pStyle w:val="Style6"/>
        <w:jc w:val="left"/>
        <w:rPr>
          <w:spacing w:val="6"/>
          <w:highlight w:val="yellow"/>
        </w:rPr>
      </w:pPr>
    </w:p>
    <w:p w:rsidR="004C72D6" w:rsidRPr="00BC1B74" w:rsidRDefault="004C72D6" w:rsidP="004C72D6">
      <w:pPr>
        <w:spacing w:line="264" w:lineRule="atLeast"/>
        <w:rPr>
          <w:spacing w:val="6"/>
        </w:rPr>
      </w:pPr>
      <w:r w:rsidRPr="00BC1B74">
        <w:rPr>
          <w:spacing w:val="6"/>
        </w:rPr>
        <w:t xml:space="preserve">6(d) </w:t>
      </w:r>
      <w:r w:rsidRPr="00BC1B74">
        <w:rPr>
          <w:spacing w:val="6"/>
          <w:u w:val="single"/>
        </w:rPr>
        <w:t>Estimating the Respondent Universe and Total Burden and Costs</w:t>
      </w:r>
    </w:p>
    <w:p w:rsidR="004C72D6" w:rsidRPr="003121A2" w:rsidRDefault="004C72D6" w:rsidP="004C72D6">
      <w:pPr>
        <w:pStyle w:val="Style5"/>
        <w:adjustRightInd/>
        <w:rPr>
          <w:spacing w:val="6"/>
          <w:highlight w:val="yellow"/>
        </w:rPr>
      </w:pPr>
    </w:p>
    <w:p w:rsidR="000F595E" w:rsidRDefault="004C72D6" w:rsidP="004C72D6">
      <w:pPr>
        <w:pStyle w:val="Style6"/>
        <w:jc w:val="left"/>
        <w:rPr>
          <w:spacing w:val="6"/>
          <w:highlight w:val="yellow"/>
        </w:rPr>
      </w:pPr>
      <w:r w:rsidRPr="000F595E">
        <w:rPr>
          <w:spacing w:val="6"/>
        </w:rPr>
        <w:tab/>
      </w:r>
      <w:r w:rsidR="00DC5666" w:rsidRPr="000F595E">
        <w:rPr>
          <w:spacing w:val="6"/>
        </w:rPr>
        <w:t xml:space="preserve">As mentioned above, the respondent universe is </w:t>
      </w:r>
      <w:r w:rsidR="00C67424">
        <w:rPr>
          <w:spacing w:val="6"/>
        </w:rPr>
        <w:t>a total of 3</w:t>
      </w:r>
      <w:r w:rsidR="00DC5666" w:rsidRPr="000F595E">
        <w:rPr>
          <w:spacing w:val="6"/>
        </w:rPr>
        <w:t xml:space="preserve">3, </w:t>
      </w:r>
      <w:r w:rsidR="00C67424">
        <w:rPr>
          <w:spacing w:val="6"/>
        </w:rPr>
        <w:t>including</w:t>
      </w:r>
      <w:r w:rsidR="00DC5666" w:rsidRPr="000F595E">
        <w:rPr>
          <w:spacing w:val="6"/>
        </w:rPr>
        <w:t xml:space="preserve"> </w:t>
      </w:r>
      <w:r w:rsidR="00D8571E">
        <w:rPr>
          <w:spacing w:val="6"/>
        </w:rPr>
        <w:t>4</w:t>
      </w:r>
      <w:r w:rsidR="004E3B5B">
        <w:rPr>
          <w:spacing w:val="6"/>
        </w:rPr>
        <w:t xml:space="preserve"> to </w:t>
      </w:r>
      <w:r w:rsidR="00D8571E">
        <w:rPr>
          <w:spacing w:val="6"/>
        </w:rPr>
        <w:t>7</w:t>
      </w:r>
      <w:r w:rsidR="00DC5666" w:rsidRPr="000F595E">
        <w:rPr>
          <w:spacing w:val="6"/>
        </w:rPr>
        <w:t xml:space="preserve"> small volume manufacturers </w:t>
      </w:r>
      <w:r w:rsidR="00C67424">
        <w:rPr>
          <w:spacing w:val="6"/>
        </w:rPr>
        <w:t>that may petition for alternative standards</w:t>
      </w:r>
      <w:r w:rsidR="00DC5666" w:rsidRPr="000F595E">
        <w:rPr>
          <w:spacing w:val="6"/>
        </w:rPr>
        <w:t xml:space="preserve">. The </w:t>
      </w:r>
      <w:r w:rsidR="00D8571E">
        <w:rPr>
          <w:spacing w:val="6"/>
        </w:rPr>
        <w:t>rule</w:t>
      </w:r>
      <w:r w:rsidR="00D8571E" w:rsidRPr="000F595E">
        <w:rPr>
          <w:spacing w:val="6"/>
        </w:rPr>
        <w:t xml:space="preserve"> </w:t>
      </w:r>
      <w:r w:rsidR="00DC5666" w:rsidRPr="000F595E">
        <w:rPr>
          <w:spacing w:val="6"/>
        </w:rPr>
        <w:t>also exempts police and emergency vehicles</w:t>
      </w:r>
      <w:r w:rsidR="000F595E" w:rsidRPr="000F595E">
        <w:rPr>
          <w:spacing w:val="6"/>
        </w:rPr>
        <w:t xml:space="preserve"> from the GHG rule. It is possible that this could change the number of test groups by one or two out of the 823 model level and 427 certification vehicle submissions assumed in the baseline. This is below the threshold of accuracy for the current estimate. The main benefit of the exemption is in reducing the sales figures for purposes of compliance with the standards. </w:t>
      </w:r>
    </w:p>
    <w:p w:rsidR="000F595E" w:rsidRPr="000F595E" w:rsidRDefault="000F595E" w:rsidP="004C72D6">
      <w:pPr>
        <w:pStyle w:val="Style6"/>
        <w:jc w:val="left"/>
        <w:rPr>
          <w:spacing w:val="6"/>
        </w:rPr>
      </w:pPr>
    </w:p>
    <w:p w:rsidR="004C72D6" w:rsidRPr="000F595E" w:rsidRDefault="000F595E" w:rsidP="004C72D6">
      <w:pPr>
        <w:pStyle w:val="Style6"/>
        <w:jc w:val="left"/>
        <w:rPr>
          <w:spacing w:val="6"/>
        </w:rPr>
      </w:pPr>
      <w:r w:rsidRPr="000F595E">
        <w:rPr>
          <w:spacing w:val="6"/>
        </w:rPr>
        <w:tab/>
      </w:r>
      <w:r w:rsidR="004C72D6" w:rsidRPr="000F595E">
        <w:rPr>
          <w:spacing w:val="6"/>
        </w:rPr>
        <w:t>From the above discussion the following total burden and cost estimates can be calculated.  (Due to the diverse nature of the motor vehicle industry, there is n</w:t>
      </w:r>
      <w:r w:rsidRPr="000F595E">
        <w:rPr>
          <w:spacing w:val="6"/>
        </w:rPr>
        <w:t xml:space="preserve">o typical </w:t>
      </w:r>
      <w:r w:rsidRPr="000F595E">
        <w:rPr>
          <w:spacing w:val="6"/>
        </w:rPr>
        <w:lastRenderedPageBreak/>
        <w:t>or average respondent, and this estimate makes many assumptions in an attempt to accommodate this diversity.)</w:t>
      </w:r>
      <w:r w:rsidR="004C72D6" w:rsidRPr="000F595E">
        <w:rPr>
          <w:spacing w:val="6"/>
        </w:rPr>
        <w:t xml:space="preserve">  </w:t>
      </w:r>
    </w:p>
    <w:p w:rsidR="004C72D6" w:rsidRPr="003121A2" w:rsidRDefault="004C72D6" w:rsidP="004C72D6">
      <w:pPr>
        <w:rPr>
          <w:highlight w:val="yellow"/>
        </w:rPr>
      </w:pPr>
    </w:p>
    <w:p w:rsidR="004C72D6" w:rsidRPr="00FD3805" w:rsidRDefault="004C72D6" w:rsidP="004C72D6">
      <w:pPr>
        <w:rPr>
          <w:u w:val="single"/>
        </w:rPr>
      </w:pPr>
      <w:r w:rsidRPr="00FD3805">
        <w:t xml:space="preserve">6(e) </w:t>
      </w:r>
      <w:r w:rsidRPr="00FD3805">
        <w:rPr>
          <w:u w:val="single"/>
        </w:rPr>
        <w:t>Bottom Line Burden Hours and Cost</w:t>
      </w:r>
    </w:p>
    <w:p w:rsidR="004C72D6" w:rsidRPr="00FD3805" w:rsidRDefault="004C72D6" w:rsidP="004C72D6">
      <w:pPr>
        <w:rPr>
          <w:u w:val="single"/>
        </w:rPr>
      </w:pPr>
    </w:p>
    <w:p w:rsidR="004C72D6" w:rsidRPr="00FD3805" w:rsidRDefault="004C72D6" w:rsidP="004C72D6">
      <w:r w:rsidRPr="00FD3805">
        <w:t xml:space="preserve">(i)  </w:t>
      </w:r>
      <w:r w:rsidRPr="00FD3805">
        <w:rPr>
          <w:u w:val="single"/>
        </w:rPr>
        <w:t>Respondent Tally</w:t>
      </w:r>
    </w:p>
    <w:p w:rsidR="004C72D6" w:rsidRPr="00FD3805" w:rsidRDefault="004C72D6" w:rsidP="004C72D6"/>
    <w:p w:rsidR="004C72D6" w:rsidRPr="00FD3805" w:rsidRDefault="004C72D6" w:rsidP="004C72D6">
      <w:pPr>
        <w:tabs>
          <w:tab w:val="right" w:pos="4680"/>
        </w:tabs>
      </w:pPr>
      <w:r w:rsidRPr="00FD3805">
        <w:t>RESPONDENTS</w:t>
      </w:r>
      <w:r w:rsidRPr="00FD3805">
        <w:tab/>
      </w:r>
      <w:r w:rsidR="00C67424">
        <w:t>33</w:t>
      </w:r>
    </w:p>
    <w:p w:rsidR="004C72D6" w:rsidRPr="00FD3805" w:rsidRDefault="004C72D6" w:rsidP="004C72D6">
      <w:pPr>
        <w:tabs>
          <w:tab w:val="right" w:pos="4680"/>
        </w:tabs>
      </w:pPr>
      <w:r w:rsidRPr="00FD3805">
        <w:t>BURDEN HOURS</w:t>
      </w:r>
      <w:r w:rsidRPr="00FD3805">
        <w:tab/>
      </w:r>
      <w:r w:rsidR="00C67424">
        <w:t>5,</w:t>
      </w:r>
      <w:r w:rsidR="004F7E05">
        <w:t>667</w:t>
      </w:r>
    </w:p>
    <w:p w:rsidR="004C72D6" w:rsidRPr="00701198" w:rsidRDefault="004C72D6" w:rsidP="004C72D6">
      <w:pPr>
        <w:tabs>
          <w:tab w:val="right" w:pos="4680"/>
        </w:tabs>
        <w:rPr>
          <w:spacing w:val="6"/>
        </w:rPr>
      </w:pPr>
      <w:r w:rsidRPr="00701198">
        <w:t>OPERATING COST</w:t>
      </w:r>
      <w:r w:rsidRPr="00701198">
        <w:tab/>
        <w:t xml:space="preserve">     </w:t>
      </w:r>
      <w:r w:rsidR="004F7E05">
        <w:t>$</w:t>
      </w:r>
      <w:r w:rsidR="00395E16">
        <w:rPr>
          <w:spacing w:val="6"/>
        </w:rPr>
        <w:t>1</w:t>
      </w:r>
      <w:r w:rsidR="004F7E05">
        <w:rPr>
          <w:spacing w:val="6"/>
        </w:rPr>
        <w:t>63</w:t>
      </w:r>
      <w:r w:rsidR="00395E16">
        <w:rPr>
          <w:spacing w:val="6"/>
        </w:rPr>
        <w:t>,</w:t>
      </w:r>
      <w:r w:rsidR="004F7E05">
        <w:rPr>
          <w:spacing w:val="6"/>
        </w:rPr>
        <w:t>918</w:t>
      </w:r>
    </w:p>
    <w:p w:rsidR="004C72D6" w:rsidRPr="00701198" w:rsidRDefault="004C72D6" w:rsidP="004C72D6">
      <w:pPr>
        <w:tabs>
          <w:tab w:val="right" w:pos="4680"/>
        </w:tabs>
      </w:pPr>
      <w:r w:rsidRPr="00701198">
        <w:t>CAPITALIZED COST</w:t>
      </w:r>
      <w:r w:rsidRPr="00701198">
        <w:tab/>
        <w:t>$</w:t>
      </w:r>
      <w:r w:rsidR="00701198" w:rsidRPr="00701198">
        <w:t>1,235,714</w:t>
      </w:r>
    </w:p>
    <w:p w:rsidR="004C72D6" w:rsidRPr="003121A2" w:rsidRDefault="004C72D6" w:rsidP="004C72D6">
      <w:pPr>
        <w:tabs>
          <w:tab w:val="right" w:pos="4680"/>
        </w:tabs>
        <w:rPr>
          <w:highlight w:val="yellow"/>
        </w:rPr>
      </w:pPr>
    </w:p>
    <w:p w:rsidR="004C72D6" w:rsidRPr="00602053" w:rsidRDefault="004C72D6" w:rsidP="004C72D6">
      <w:pPr>
        <w:tabs>
          <w:tab w:val="right" w:pos="4680"/>
        </w:tabs>
      </w:pPr>
      <w:r w:rsidRPr="00602053">
        <w:t>A more detailed summary can be seen in the tables below:</w:t>
      </w:r>
    </w:p>
    <w:p w:rsidR="004C72D6" w:rsidRDefault="004C72D6" w:rsidP="004C72D6">
      <w:pPr>
        <w:tabs>
          <w:tab w:val="right" w:pos="4680"/>
        </w:tabs>
        <w:rPr>
          <w:highlight w:val="yellow"/>
        </w:rPr>
      </w:pPr>
    </w:p>
    <w:tbl>
      <w:tblPr>
        <w:tblW w:w="7050" w:type="dxa"/>
        <w:tblInd w:w="108" w:type="dxa"/>
        <w:tblLook w:val="04A0"/>
      </w:tblPr>
      <w:tblGrid>
        <w:gridCol w:w="1574"/>
        <w:gridCol w:w="272"/>
        <w:gridCol w:w="1796"/>
        <w:gridCol w:w="416"/>
        <w:gridCol w:w="1336"/>
        <w:gridCol w:w="1656"/>
      </w:tblGrid>
      <w:tr w:rsidR="00831270" w:rsidRPr="00831270" w:rsidTr="00E64AFE">
        <w:trPr>
          <w:trHeight w:val="255"/>
        </w:trPr>
        <w:tc>
          <w:tcPr>
            <w:tcW w:w="1846" w:type="dxa"/>
            <w:gridSpan w:val="2"/>
            <w:tcBorders>
              <w:top w:val="nil"/>
              <w:left w:val="nil"/>
              <w:bottom w:val="nil"/>
              <w:right w:val="nil"/>
            </w:tcBorders>
            <w:shd w:val="clear" w:color="000000" w:fill="FFFFFF"/>
            <w:noWrap/>
            <w:vAlign w:val="bottom"/>
            <w:hideMark/>
          </w:tcPr>
          <w:p w:rsidR="00831270" w:rsidRDefault="00831270" w:rsidP="00831270">
            <w:pPr>
              <w:widowControl/>
              <w:autoSpaceDE/>
              <w:autoSpaceDN/>
              <w:jc w:val="center"/>
              <w:rPr>
                <w:rFonts w:ascii="Arial" w:hAnsi="Arial" w:cs="Arial"/>
                <w:b/>
                <w:bCs/>
                <w:sz w:val="20"/>
                <w:szCs w:val="20"/>
              </w:rPr>
            </w:pPr>
          </w:p>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COST BURDEN</w:t>
            </w:r>
          </w:p>
        </w:tc>
        <w:tc>
          <w:tcPr>
            <w:tcW w:w="179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41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133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165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r>
      <w:tr w:rsidR="00831270" w:rsidRPr="00831270" w:rsidTr="00E64AFE">
        <w:trPr>
          <w:trHeight w:val="255"/>
        </w:trPr>
        <w:tc>
          <w:tcPr>
            <w:tcW w:w="1574"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sz w:val="20"/>
                <w:szCs w:val="20"/>
              </w:rPr>
            </w:pPr>
            <w:r w:rsidRPr="00831270">
              <w:rPr>
                <w:rFonts w:ascii="Arial" w:hAnsi="Arial" w:cs="Arial"/>
                <w:sz w:val="20"/>
                <w:szCs w:val="20"/>
              </w:rPr>
              <w:t> </w:t>
            </w:r>
          </w:p>
        </w:tc>
        <w:tc>
          <w:tcPr>
            <w:tcW w:w="272" w:type="dxa"/>
            <w:tcBorders>
              <w:top w:val="nil"/>
              <w:left w:val="nil"/>
              <w:bottom w:val="single" w:sz="4" w:space="0" w:color="auto"/>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1796" w:type="dxa"/>
            <w:tcBorders>
              <w:top w:val="nil"/>
              <w:left w:val="nil"/>
              <w:bottom w:val="single" w:sz="4" w:space="0" w:color="auto"/>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416" w:type="dxa"/>
            <w:tcBorders>
              <w:top w:val="nil"/>
              <w:left w:val="nil"/>
              <w:bottom w:val="single" w:sz="4" w:space="0" w:color="auto"/>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w:t>
            </w:r>
          </w:p>
        </w:tc>
        <w:tc>
          <w:tcPr>
            <w:tcW w:w="1336" w:type="dxa"/>
            <w:tcBorders>
              <w:top w:val="nil"/>
              <w:left w:val="nil"/>
              <w:bottom w:val="single" w:sz="4" w:space="0" w:color="auto"/>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Min</w:t>
            </w:r>
          </w:p>
        </w:tc>
        <w:tc>
          <w:tcPr>
            <w:tcW w:w="1656" w:type="dxa"/>
            <w:tcBorders>
              <w:top w:val="nil"/>
              <w:left w:val="nil"/>
              <w:bottom w:val="single" w:sz="4" w:space="0" w:color="auto"/>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Max</w:t>
            </w:r>
          </w:p>
        </w:tc>
      </w:tr>
      <w:tr w:rsidR="00831270" w:rsidRPr="00831270" w:rsidTr="00E64AFE">
        <w:trPr>
          <w:trHeight w:val="255"/>
        </w:trPr>
        <w:tc>
          <w:tcPr>
            <w:tcW w:w="3642"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Emissions IC</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xml:space="preserve">   </w:t>
            </w:r>
          </w:p>
        </w:tc>
        <w:tc>
          <w:tcPr>
            <w:tcW w:w="133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xml:space="preserve"> </w:t>
            </w:r>
          </w:p>
        </w:tc>
        <w:tc>
          <w:tcPr>
            <w:tcW w:w="165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xml:space="preserve"> </w:t>
            </w:r>
          </w:p>
        </w:tc>
      </w:tr>
      <w:tr w:rsidR="00831270" w:rsidRPr="00831270" w:rsidTr="00E64AFE">
        <w:trPr>
          <w:trHeight w:val="825"/>
        </w:trPr>
        <w:tc>
          <w:tcPr>
            <w:tcW w:w="3642" w:type="dxa"/>
            <w:gridSpan w:val="3"/>
            <w:tcBorders>
              <w:top w:val="single" w:sz="4" w:space="0" w:color="auto"/>
              <w:left w:val="single" w:sz="4" w:space="0" w:color="auto"/>
              <w:bottom w:val="nil"/>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Startup: Capital one-time IT/Paperwork/Familiarization/N</w:t>
            </w:r>
            <w:r w:rsidRPr="00831270">
              <w:rPr>
                <w:rFonts w:ascii="Arial" w:hAnsi="Arial" w:cs="Arial"/>
                <w:b/>
                <w:bCs/>
                <w:sz w:val="18"/>
                <w:szCs w:val="18"/>
                <w:vertAlign w:val="subscript"/>
              </w:rPr>
              <w:t>2</w:t>
            </w:r>
            <w:r w:rsidRPr="00831270">
              <w:rPr>
                <w:rFonts w:ascii="Arial" w:hAnsi="Arial" w:cs="Arial"/>
                <w:b/>
                <w:bCs/>
                <w:sz w:val="20"/>
                <w:szCs w:val="20"/>
              </w:rPr>
              <w:t>O (annualized 10yrs/7%)</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395E16">
            <w:pPr>
              <w:widowControl/>
              <w:autoSpaceDE/>
              <w:autoSpaceDN/>
              <w:jc w:val="center"/>
              <w:rPr>
                <w:rFonts w:ascii="Arial" w:hAnsi="Arial" w:cs="Arial"/>
                <w:sz w:val="20"/>
                <w:szCs w:val="20"/>
              </w:rPr>
            </w:pPr>
            <w:r w:rsidRPr="00397EF9">
              <w:rPr>
                <w:rFonts w:ascii="Arial" w:hAnsi="Arial" w:cs="Arial"/>
                <w:sz w:val="20"/>
                <w:szCs w:val="20"/>
              </w:rPr>
              <w:t>$</w:t>
            </w:r>
            <w:r w:rsidR="00395E16" w:rsidRPr="00397EF9">
              <w:rPr>
                <w:rFonts w:ascii="Arial" w:hAnsi="Arial" w:cs="Arial"/>
                <w:sz w:val="20"/>
                <w:szCs w:val="20"/>
              </w:rPr>
              <w:t>62,721</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$1,143,395</w:t>
            </w:r>
          </w:p>
        </w:tc>
      </w:tr>
      <w:tr w:rsidR="00831270" w:rsidRPr="00831270" w:rsidTr="00E64AFE">
        <w:trPr>
          <w:trHeight w:val="600"/>
        </w:trPr>
        <w:tc>
          <w:tcPr>
            <w:tcW w:w="364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New Facilities: Ongoing Capital (annualized 10yrs/7%)</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397EF9">
              <w:rPr>
                <w:rFonts w:ascii="Arial" w:hAnsi="Arial" w:cs="Arial"/>
                <w:sz w:val="20"/>
                <w:szCs w:val="20"/>
              </w:rPr>
              <w:t>-$3,318</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240097">
            <w:pPr>
              <w:widowControl/>
              <w:autoSpaceDE/>
              <w:autoSpaceDN/>
              <w:jc w:val="center"/>
              <w:rPr>
                <w:rFonts w:ascii="Arial" w:hAnsi="Arial" w:cs="Arial"/>
                <w:sz w:val="20"/>
                <w:szCs w:val="20"/>
              </w:rPr>
            </w:pPr>
            <w:r w:rsidRPr="00831270">
              <w:rPr>
                <w:rFonts w:ascii="Arial" w:hAnsi="Arial" w:cs="Arial"/>
                <w:sz w:val="20"/>
                <w:szCs w:val="20"/>
              </w:rPr>
              <w:t>$6,</w:t>
            </w:r>
            <w:r w:rsidR="00B31E78">
              <w:rPr>
                <w:rFonts w:ascii="Arial" w:hAnsi="Arial" w:cs="Arial"/>
                <w:sz w:val="20"/>
                <w:szCs w:val="20"/>
              </w:rPr>
              <w:t>8</w:t>
            </w:r>
            <w:r w:rsidR="00240097">
              <w:rPr>
                <w:rFonts w:ascii="Arial" w:hAnsi="Arial" w:cs="Arial"/>
                <w:sz w:val="20"/>
                <w:szCs w:val="20"/>
              </w:rPr>
              <w:t>9</w:t>
            </w:r>
            <w:r w:rsidRPr="00831270">
              <w:rPr>
                <w:rFonts w:ascii="Arial" w:hAnsi="Arial" w:cs="Arial"/>
                <w:sz w:val="20"/>
                <w:szCs w:val="20"/>
              </w:rPr>
              <w:t xml:space="preserve">3 </w:t>
            </w:r>
          </w:p>
        </w:tc>
      </w:tr>
      <w:tr w:rsidR="00831270" w:rsidRPr="00831270" w:rsidTr="00E64AFE">
        <w:trPr>
          <w:trHeight w:val="600"/>
        </w:trPr>
        <w:tc>
          <w:tcPr>
            <w:tcW w:w="364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Capital Subtotal</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395E16">
            <w:pPr>
              <w:widowControl/>
              <w:autoSpaceDE/>
              <w:autoSpaceDN/>
              <w:jc w:val="center"/>
              <w:rPr>
                <w:rFonts w:ascii="Arial" w:hAnsi="Arial" w:cs="Arial"/>
                <w:sz w:val="20"/>
                <w:szCs w:val="20"/>
              </w:rPr>
            </w:pPr>
            <w:r w:rsidRPr="00831270">
              <w:rPr>
                <w:rFonts w:ascii="Arial" w:hAnsi="Arial" w:cs="Arial"/>
                <w:sz w:val="20"/>
                <w:szCs w:val="20"/>
              </w:rPr>
              <w:t>$</w:t>
            </w:r>
            <w:r w:rsidR="00395E16">
              <w:rPr>
                <w:rFonts w:ascii="Arial" w:hAnsi="Arial" w:cs="Arial"/>
                <w:sz w:val="20"/>
                <w:szCs w:val="20"/>
              </w:rPr>
              <w:t>59,403</w:t>
            </w:r>
            <w:r w:rsidRPr="00831270">
              <w:rPr>
                <w:rFonts w:ascii="Arial" w:hAnsi="Arial" w:cs="Arial"/>
                <w:sz w:val="20"/>
                <w:szCs w:val="20"/>
              </w:rPr>
              <w:t xml:space="preserve"> </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xml:space="preserve">$1,150,288 </w:t>
            </w:r>
          </w:p>
        </w:tc>
      </w:tr>
      <w:tr w:rsidR="00831270" w:rsidRPr="00831270" w:rsidTr="00E64AFE">
        <w:trPr>
          <w:trHeight w:val="390"/>
        </w:trPr>
        <w:tc>
          <w:tcPr>
            <w:tcW w:w="3642" w:type="dxa"/>
            <w:gridSpan w:val="3"/>
            <w:tcBorders>
              <w:top w:val="nil"/>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New Testing (O&amp;M)</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395E16" w:rsidP="00395E16">
            <w:pPr>
              <w:widowControl/>
              <w:autoSpaceDE/>
              <w:autoSpaceDN/>
              <w:jc w:val="center"/>
              <w:rPr>
                <w:rFonts w:ascii="Arial" w:hAnsi="Arial" w:cs="Arial"/>
                <w:sz w:val="20"/>
                <w:szCs w:val="20"/>
              </w:rPr>
            </w:pPr>
            <w:r w:rsidRPr="00397EF9">
              <w:rPr>
                <w:rFonts w:ascii="Arial" w:hAnsi="Arial" w:cs="Arial"/>
                <w:sz w:val="20"/>
                <w:szCs w:val="20"/>
              </w:rPr>
              <w:t>$-8</w:t>
            </w:r>
            <w:r w:rsidR="004F7E05" w:rsidRPr="00397EF9">
              <w:rPr>
                <w:rFonts w:ascii="Arial" w:hAnsi="Arial" w:cs="Arial"/>
                <w:sz w:val="20"/>
                <w:szCs w:val="20"/>
              </w:rPr>
              <w:t>,</w:t>
            </w:r>
            <w:r w:rsidRPr="00397EF9">
              <w:rPr>
                <w:rFonts w:ascii="Arial" w:hAnsi="Arial" w:cs="Arial"/>
                <w:sz w:val="20"/>
                <w:szCs w:val="20"/>
              </w:rPr>
              <w:t>537</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395E16">
            <w:pPr>
              <w:widowControl/>
              <w:autoSpaceDE/>
              <w:autoSpaceDN/>
              <w:jc w:val="center"/>
              <w:rPr>
                <w:rFonts w:ascii="Arial" w:hAnsi="Arial" w:cs="Arial"/>
                <w:sz w:val="20"/>
                <w:szCs w:val="20"/>
              </w:rPr>
            </w:pPr>
            <w:r w:rsidRPr="00831270">
              <w:rPr>
                <w:rFonts w:ascii="Arial" w:hAnsi="Arial" w:cs="Arial"/>
                <w:sz w:val="20"/>
                <w:szCs w:val="20"/>
              </w:rPr>
              <w:t>$3</w:t>
            </w:r>
            <w:r w:rsidR="00395E16">
              <w:rPr>
                <w:rFonts w:ascii="Arial" w:hAnsi="Arial" w:cs="Arial"/>
                <w:sz w:val="20"/>
                <w:szCs w:val="20"/>
              </w:rPr>
              <w:t>4,566</w:t>
            </w:r>
          </w:p>
        </w:tc>
      </w:tr>
      <w:tr w:rsidR="00831270" w:rsidRPr="00831270" w:rsidTr="00E64AFE">
        <w:trPr>
          <w:trHeight w:val="495"/>
        </w:trPr>
        <w:tc>
          <w:tcPr>
            <w:tcW w:w="364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New Reporting &amp; Recordkeeping</w:t>
            </w:r>
          </w:p>
        </w:tc>
        <w:tc>
          <w:tcPr>
            <w:tcW w:w="416" w:type="dxa"/>
            <w:tcBorders>
              <w:top w:val="nil"/>
              <w:left w:val="nil"/>
              <w:bottom w:val="nil"/>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397EF9" w:rsidRDefault="00831270" w:rsidP="004F7E05">
            <w:pPr>
              <w:widowControl/>
              <w:autoSpaceDE/>
              <w:autoSpaceDN/>
              <w:jc w:val="center"/>
              <w:rPr>
                <w:rFonts w:ascii="Arial" w:hAnsi="Arial" w:cs="Arial"/>
                <w:sz w:val="20"/>
                <w:szCs w:val="20"/>
              </w:rPr>
            </w:pPr>
            <w:r w:rsidRPr="00397EF9">
              <w:rPr>
                <w:rFonts w:ascii="Arial" w:hAnsi="Arial" w:cs="Arial"/>
                <w:sz w:val="20"/>
                <w:szCs w:val="20"/>
              </w:rPr>
              <w:t>$</w:t>
            </w:r>
            <w:r w:rsidR="004F7E05" w:rsidRPr="00397EF9">
              <w:rPr>
                <w:rFonts w:ascii="Arial" w:hAnsi="Arial" w:cs="Arial"/>
                <w:sz w:val="20"/>
                <w:szCs w:val="20"/>
              </w:rPr>
              <w:t>36</w:t>
            </w:r>
            <w:r w:rsidR="00395E16" w:rsidRPr="00397EF9">
              <w:rPr>
                <w:rFonts w:ascii="Arial" w:hAnsi="Arial" w:cs="Arial"/>
                <w:sz w:val="20"/>
                <w:szCs w:val="20"/>
              </w:rPr>
              <w:t>,</w:t>
            </w:r>
            <w:r w:rsidR="004F7E05" w:rsidRPr="00397EF9">
              <w:rPr>
                <w:rFonts w:ascii="Arial" w:hAnsi="Arial" w:cs="Arial"/>
                <w:sz w:val="20"/>
                <w:szCs w:val="20"/>
              </w:rPr>
              <w:t>336</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397EF9" w:rsidRDefault="00831270" w:rsidP="004F7E05">
            <w:pPr>
              <w:widowControl/>
              <w:autoSpaceDE/>
              <w:autoSpaceDN/>
              <w:jc w:val="center"/>
              <w:rPr>
                <w:rFonts w:ascii="Arial" w:hAnsi="Arial" w:cs="Arial"/>
                <w:sz w:val="20"/>
                <w:szCs w:val="20"/>
              </w:rPr>
            </w:pPr>
            <w:r w:rsidRPr="00397EF9">
              <w:rPr>
                <w:rFonts w:ascii="Arial" w:hAnsi="Arial" w:cs="Arial"/>
                <w:sz w:val="20"/>
                <w:szCs w:val="20"/>
              </w:rPr>
              <w:t>$</w:t>
            </w:r>
            <w:r w:rsidR="004F7E05" w:rsidRPr="00397EF9">
              <w:rPr>
                <w:rFonts w:ascii="Arial" w:hAnsi="Arial" w:cs="Arial"/>
                <w:sz w:val="20"/>
                <w:szCs w:val="20"/>
              </w:rPr>
              <w:t>129</w:t>
            </w:r>
            <w:r w:rsidR="00395E16" w:rsidRPr="00397EF9">
              <w:rPr>
                <w:rFonts w:ascii="Arial" w:hAnsi="Arial" w:cs="Arial"/>
                <w:sz w:val="20"/>
                <w:szCs w:val="20"/>
              </w:rPr>
              <w:t>,</w:t>
            </w:r>
            <w:r w:rsidR="004F7E05" w:rsidRPr="00397EF9">
              <w:rPr>
                <w:rFonts w:ascii="Arial" w:hAnsi="Arial" w:cs="Arial"/>
                <w:sz w:val="20"/>
                <w:szCs w:val="20"/>
              </w:rPr>
              <w:t>352</w:t>
            </w:r>
          </w:p>
        </w:tc>
      </w:tr>
      <w:tr w:rsidR="00831270" w:rsidRPr="00831270" w:rsidTr="00E64AFE">
        <w:trPr>
          <w:trHeight w:val="255"/>
        </w:trPr>
        <w:tc>
          <w:tcPr>
            <w:tcW w:w="1574" w:type="dxa"/>
            <w:tcBorders>
              <w:top w:val="nil"/>
              <w:left w:val="single" w:sz="4" w:space="0" w:color="auto"/>
              <w:bottom w:val="single" w:sz="4" w:space="0" w:color="auto"/>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xml:space="preserve">Total </w:t>
            </w:r>
          </w:p>
        </w:tc>
        <w:tc>
          <w:tcPr>
            <w:tcW w:w="272" w:type="dxa"/>
            <w:tcBorders>
              <w:top w:val="nil"/>
              <w:left w:val="nil"/>
              <w:bottom w:val="single" w:sz="4" w:space="0" w:color="auto"/>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179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416" w:type="dxa"/>
            <w:tcBorders>
              <w:top w:val="single" w:sz="4" w:space="0" w:color="auto"/>
              <w:left w:val="nil"/>
              <w:bottom w:val="nil"/>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xml:space="preserve">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395E16" w:rsidP="004F7E05">
            <w:pPr>
              <w:widowControl/>
              <w:autoSpaceDE/>
              <w:autoSpaceDN/>
              <w:jc w:val="center"/>
              <w:rPr>
                <w:rFonts w:ascii="Arial" w:hAnsi="Arial" w:cs="Arial"/>
                <w:b/>
                <w:bCs/>
                <w:sz w:val="20"/>
                <w:szCs w:val="20"/>
              </w:rPr>
            </w:pPr>
            <w:r>
              <w:rPr>
                <w:rFonts w:ascii="Arial" w:hAnsi="Arial" w:cs="Arial"/>
                <w:b/>
                <w:bCs/>
                <w:sz w:val="20"/>
                <w:szCs w:val="20"/>
              </w:rPr>
              <w:t>$</w:t>
            </w:r>
            <w:r w:rsidR="004F7E05">
              <w:rPr>
                <w:rFonts w:ascii="Arial" w:hAnsi="Arial" w:cs="Arial"/>
                <w:b/>
                <w:bCs/>
                <w:sz w:val="20"/>
                <w:szCs w:val="20"/>
              </w:rPr>
              <w:t>87,202</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4F7E05">
            <w:pPr>
              <w:widowControl/>
              <w:autoSpaceDE/>
              <w:autoSpaceDN/>
              <w:jc w:val="center"/>
              <w:rPr>
                <w:rFonts w:ascii="Arial" w:hAnsi="Arial" w:cs="Arial"/>
                <w:b/>
                <w:bCs/>
                <w:sz w:val="20"/>
                <w:szCs w:val="20"/>
              </w:rPr>
            </w:pPr>
            <w:r w:rsidRPr="00831270">
              <w:rPr>
                <w:rFonts w:ascii="Arial" w:hAnsi="Arial" w:cs="Arial"/>
                <w:b/>
                <w:bCs/>
                <w:sz w:val="20"/>
                <w:szCs w:val="20"/>
              </w:rPr>
              <w:t>$1,</w:t>
            </w:r>
            <w:r w:rsidR="004F7E05">
              <w:rPr>
                <w:rFonts w:ascii="Arial" w:hAnsi="Arial" w:cs="Arial"/>
                <w:b/>
                <w:bCs/>
                <w:sz w:val="20"/>
                <w:szCs w:val="20"/>
              </w:rPr>
              <w:t>314</w:t>
            </w:r>
            <w:r w:rsidR="00395E16">
              <w:rPr>
                <w:rFonts w:ascii="Arial" w:hAnsi="Arial" w:cs="Arial"/>
                <w:b/>
                <w:bCs/>
                <w:sz w:val="20"/>
                <w:szCs w:val="20"/>
              </w:rPr>
              <w:t>,</w:t>
            </w:r>
            <w:r w:rsidR="004F7E05">
              <w:rPr>
                <w:rFonts w:ascii="Arial" w:hAnsi="Arial" w:cs="Arial"/>
                <w:b/>
                <w:bCs/>
                <w:sz w:val="20"/>
                <w:szCs w:val="20"/>
              </w:rPr>
              <w:t>206</w:t>
            </w:r>
            <w:r w:rsidRPr="00831270">
              <w:rPr>
                <w:rFonts w:ascii="Arial" w:hAnsi="Arial" w:cs="Arial"/>
                <w:b/>
                <w:bCs/>
                <w:sz w:val="20"/>
                <w:szCs w:val="20"/>
              </w:rPr>
              <w:t xml:space="preserve"> </w:t>
            </w:r>
          </w:p>
        </w:tc>
      </w:tr>
      <w:tr w:rsidR="00831270" w:rsidRPr="00831270" w:rsidTr="00E64AFE">
        <w:trPr>
          <w:trHeight w:val="255"/>
        </w:trPr>
        <w:tc>
          <w:tcPr>
            <w:tcW w:w="1574"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179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416" w:type="dxa"/>
            <w:tcBorders>
              <w:top w:val="single" w:sz="4" w:space="0" w:color="auto"/>
              <w:left w:val="nil"/>
              <w:bottom w:val="single" w:sz="4" w:space="0" w:color="auto"/>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w:t>
            </w:r>
          </w:p>
        </w:tc>
        <w:tc>
          <w:tcPr>
            <w:tcW w:w="133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w:t>
            </w:r>
          </w:p>
        </w:tc>
        <w:tc>
          <w:tcPr>
            <w:tcW w:w="165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w:t>
            </w:r>
          </w:p>
        </w:tc>
      </w:tr>
      <w:tr w:rsidR="00831270" w:rsidRPr="00831270" w:rsidTr="00E64AFE">
        <w:trPr>
          <w:trHeight w:val="255"/>
        </w:trPr>
        <w:tc>
          <w:tcPr>
            <w:tcW w:w="3642"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IUVP IC</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single" w:sz="4" w:space="0" w:color="auto"/>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xml:space="preserve"> </w:t>
            </w:r>
          </w:p>
        </w:tc>
        <w:tc>
          <w:tcPr>
            <w:tcW w:w="1656" w:type="dxa"/>
            <w:tcBorders>
              <w:top w:val="single" w:sz="4" w:space="0" w:color="auto"/>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xml:space="preserve"> </w:t>
            </w:r>
          </w:p>
        </w:tc>
      </w:tr>
      <w:tr w:rsidR="00831270" w:rsidRPr="00831270" w:rsidTr="00E64AFE">
        <w:trPr>
          <w:trHeight w:val="825"/>
        </w:trPr>
        <w:tc>
          <w:tcPr>
            <w:tcW w:w="364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Startup: one-time (10yrs/7%)</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397EF9">
              <w:rPr>
                <w:rFonts w:ascii="Arial" w:hAnsi="Arial" w:cs="Arial"/>
                <w:sz w:val="20"/>
                <w:szCs w:val="20"/>
              </w:rPr>
              <w:t>$4,271</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$85,426</w:t>
            </w:r>
          </w:p>
        </w:tc>
      </w:tr>
      <w:tr w:rsidR="00831270" w:rsidRPr="00831270" w:rsidTr="00E64AFE">
        <w:trPr>
          <w:trHeight w:val="540"/>
        </w:trPr>
        <w:tc>
          <w:tcPr>
            <w:tcW w:w="364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New Facilities: Ongoing Capital, annualized 10 yrs/7%)</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$0</w:t>
            </w:r>
          </w:p>
        </w:tc>
      </w:tr>
      <w:tr w:rsidR="00831270" w:rsidRPr="00831270" w:rsidTr="00E64AFE">
        <w:trPr>
          <w:trHeight w:val="540"/>
        </w:trPr>
        <w:tc>
          <w:tcPr>
            <w:tcW w:w="364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Capital Subtotal</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397EF9" w:rsidRDefault="00831270" w:rsidP="00831270">
            <w:pPr>
              <w:widowControl/>
              <w:autoSpaceDE/>
              <w:autoSpaceDN/>
              <w:jc w:val="center"/>
              <w:rPr>
                <w:rFonts w:ascii="Arial" w:hAnsi="Arial" w:cs="Arial"/>
                <w:sz w:val="20"/>
                <w:szCs w:val="20"/>
              </w:rPr>
            </w:pPr>
            <w:r w:rsidRPr="00397EF9">
              <w:rPr>
                <w:rFonts w:ascii="Arial" w:hAnsi="Arial" w:cs="Arial"/>
                <w:sz w:val="20"/>
                <w:szCs w:val="20"/>
              </w:rPr>
              <w:t>$4,271</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397EF9" w:rsidRDefault="00831270" w:rsidP="00831270">
            <w:pPr>
              <w:widowControl/>
              <w:autoSpaceDE/>
              <w:autoSpaceDN/>
              <w:jc w:val="center"/>
              <w:rPr>
                <w:rFonts w:ascii="Arial" w:hAnsi="Arial" w:cs="Arial"/>
                <w:sz w:val="20"/>
                <w:szCs w:val="20"/>
              </w:rPr>
            </w:pPr>
            <w:r w:rsidRPr="00397EF9">
              <w:rPr>
                <w:rFonts w:ascii="Arial" w:hAnsi="Arial" w:cs="Arial"/>
                <w:sz w:val="20"/>
                <w:szCs w:val="20"/>
              </w:rPr>
              <w:t>$85,426</w:t>
            </w:r>
          </w:p>
        </w:tc>
      </w:tr>
      <w:tr w:rsidR="00831270" w:rsidRPr="00831270" w:rsidTr="00E64AFE">
        <w:trPr>
          <w:trHeight w:val="390"/>
        </w:trPr>
        <w:tc>
          <w:tcPr>
            <w:tcW w:w="364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New Testing (O&amp;M)</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$0</w:t>
            </w:r>
          </w:p>
        </w:tc>
      </w:tr>
      <w:tr w:rsidR="00831270" w:rsidRPr="00831270" w:rsidTr="00E64AFE">
        <w:trPr>
          <w:trHeight w:val="600"/>
        </w:trPr>
        <w:tc>
          <w:tcPr>
            <w:tcW w:w="364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New Reporting &amp; Recordkeeping</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$0</w:t>
            </w:r>
          </w:p>
        </w:tc>
      </w:tr>
      <w:tr w:rsidR="00831270" w:rsidRPr="00831270" w:rsidTr="00E64AFE">
        <w:trPr>
          <w:trHeight w:val="255"/>
        </w:trPr>
        <w:tc>
          <w:tcPr>
            <w:tcW w:w="1574" w:type="dxa"/>
            <w:tcBorders>
              <w:top w:val="nil"/>
              <w:left w:val="single" w:sz="4" w:space="0" w:color="auto"/>
              <w:bottom w:val="single" w:sz="4" w:space="0" w:color="auto"/>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xml:space="preserve">Total </w:t>
            </w:r>
          </w:p>
        </w:tc>
        <w:tc>
          <w:tcPr>
            <w:tcW w:w="272" w:type="dxa"/>
            <w:tcBorders>
              <w:top w:val="nil"/>
              <w:left w:val="nil"/>
              <w:bottom w:val="single" w:sz="4" w:space="0" w:color="auto"/>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179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xml:space="preserve">$4,271 </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xml:space="preserve">$85,426 </w:t>
            </w:r>
          </w:p>
        </w:tc>
      </w:tr>
      <w:tr w:rsidR="00831270" w:rsidRPr="00831270" w:rsidTr="00E64AFE">
        <w:trPr>
          <w:trHeight w:val="255"/>
        </w:trPr>
        <w:tc>
          <w:tcPr>
            <w:tcW w:w="1574"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179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41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w:t>
            </w:r>
          </w:p>
        </w:tc>
        <w:tc>
          <w:tcPr>
            <w:tcW w:w="165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w:t>
            </w:r>
          </w:p>
        </w:tc>
      </w:tr>
      <w:tr w:rsidR="00831270" w:rsidRPr="00831270" w:rsidTr="00E64AFE">
        <w:trPr>
          <w:trHeight w:val="255"/>
        </w:trPr>
        <w:tc>
          <w:tcPr>
            <w:tcW w:w="1846" w:type="dxa"/>
            <w:gridSpan w:val="2"/>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TOTAL CAPITAL</w:t>
            </w:r>
          </w:p>
        </w:tc>
        <w:tc>
          <w:tcPr>
            <w:tcW w:w="179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sz w:val="20"/>
                <w:szCs w:val="20"/>
              </w:rPr>
            </w:pPr>
            <w:r w:rsidRPr="00831270">
              <w:rPr>
                <w:rFonts w:ascii="Arial" w:hAnsi="Arial" w:cs="Arial"/>
                <w:sz w:val="20"/>
                <w:szCs w:val="20"/>
              </w:rPr>
              <w:t> </w:t>
            </w:r>
          </w:p>
        </w:tc>
        <w:tc>
          <w:tcPr>
            <w:tcW w:w="41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sz w:val="20"/>
                <w:szCs w:val="20"/>
              </w:rPr>
            </w:pPr>
            <w:r w:rsidRPr="00831270">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rsidR="00831270" w:rsidRPr="00831270" w:rsidRDefault="00831270" w:rsidP="00395E16">
            <w:pPr>
              <w:widowControl/>
              <w:autoSpaceDE/>
              <w:autoSpaceDN/>
              <w:jc w:val="center"/>
              <w:rPr>
                <w:rFonts w:ascii="Arial" w:hAnsi="Arial" w:cs="Arial"/>
                <w:b/>
                <w:bCs/>
                <w:sz w:val="20"/>
                <w:szCs w:val="20"/>
              </w:rPr>
            </w:pPr>
            <w:r w:rsidRPr="00831270">
              <w:rPr>
                <w:rFonts w:ascii="Arial" w:hAnsi="Arial" w:cs="Arial"/>
                <w:b/>
                <w:bCs/>
                <w:sz w:val="20"/>
                <w:szCs w:val="20"/>
              </w:rPr>
              <w:t>$</w:t>
            </w:r>
            <w:r w:rsidR="00395E16">
              <w:rPr>
                <w:rFonts w:ascii="Arial" w:hAnsi="Arial" w:cs="Arial"/>
                <w:b/>
                <w:bCs/>
                <w:sz w:val="20"/>
                <w:szCs w:val="20"/>
              </w:rPr>
              <w:t>63,674</w:t>
            </w:r>
            <w:r w:rsidRPr="00831270">
              <w:rPr>
                <w:rFonts w:ascii="Arial" w:hAnsi="Arial" w:cs="Arial"/>
                <w:b/>
                <w:bCs/>
                <w:sz w:val="20"/>
                <w:szCs w:val="20"/>
              </w:rPr>
              <w:t xml:space="preserve"> </w:t>
            </w:r>
          </w:p>
        </w:tc>
        <w:tc>
          <w:tcPr>
            <w:tcW w:w="165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xml:space="preserve">$1,235,714 </w:t>
            </w:r>
          </w:p>
        </w:tc>
      </w:tr>
      <w:tr w:rsidR="00831270" w:rsidRPr="00831270" w:rsidTr="00E64AFE">
        <w:trPr>
          <w:trHeight w:val="255"/>
        </w:trPr>
        <w:tc>
          <w:tcPr>
            <w:tcW w:w="1846" w:type="dxa"/>
            <w:gridSpan w:val="2"/>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TOTAL O&amp;M</w:t>
            </w:r>
          </w:p>
        </w:tc>
        <w:tc>
          <w:tcPr>
            <w:tcW w:w="179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sz w:val="20"/>
                <w:szCs w:val="20"/>
              </w:rPr>
            </w:pPr>
            <w:r w:rsidRPr="00831270">
              <w:rPr>
                <w:rFonts w:ascii="Arial" w:hAnsi="Arial" w:cs="Arial"/>
                <w:sz w:val="20"/>
                <w:szCs w:val="20"/>
              </w:rPr>
              <w:t> </w:t>
            </w:r>
          </w:p>
        </w:tc>
        <w:tc>
          <w:tcPr>
            <w:tcW w:w="41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sz w:val="20"/>
                <w:szCs w:val="20"/>
              </w:rPr>
            </w:pPr>
            <w:r w:rsidRPr="00831270">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rsidR="00831270" w:rsidRPr="00831270" w:rsidRDefault="00395E16" w:rsidP="00C25C5A">
            <w:pPr>
              <w:widowControl/>
              <w:autoSpaceDE/>
              <w:autoSpaceDN/>
              <w:jc w:val="center"/>
              <w:rPr>
                <w:rFonts w:ascii="Arial" w:hAnsi="Arial" w:cs="Arial"/>
                <w:b/>
                <w:bCs/>
                <w:sz w:val="20"/>
                <w:szCs w:val="20"/>
              </w:rPr>
            </w:pPr>
            <w:r>
              <w:rPr>
                <w:rFonts w:ascii="Arial" w:hAnsi="Arial" w:cs="Arial"/>
                <w:b/>
                <w:bCs/>
                <w:sz w:val="20"/>
                <w:szCs w:val="20"/>
              </w:rPr>
              <w:t>$</w:t>
            </w:r>
            <w:r w:rsidR="00C25C5A">
              <w:rPr>
                <w:rFonts w:ascii="Arial" w:hAnsi="Arial" w:cs="Arial"/>
                <w:b/>
                <w:bCs/>
                <w:sz w:val="20"/>
                <w:szCs w:val="20"/>
              </w:rPr>
              <w:t>2</w:t>
            </w:r>
            <w:r>
              <w:rPr>
                <w:rFonts w:ascii="Arial" w:hAnsi="Arial" w:cs="Arial"/>
                <w:b/>
                <w:bCs/>
                <w:sz w:val="20"/>
                <w:szCs w:val="20"/>
              </w:rPr>
              <w:t>7,</w:t>
            </w:r>
            <w:r w:rsidR="00C25C5A">
              <w:rPr>
                <w:rFonts w:ascii="Arial" w:hAnsi="Arial" w:cs="Arial"/>
                <w:b/>
                <w:bCs/>
                <w:sz w:val="20"/>
                <w:szCs w:val="20"/>
              </w:rPr>
              <w:t>800</w:t>
            </w:r>
          </w:p>
        </w:tc>
        <w:tc>
          <w:tcPr>
            <w:tcW w:w="1656" w:type="dxa"/>
            <w:tcBorders>
              <w:top w:val="nil"/>
              <w:left w:val="nil"/>
              <w:bottom w:val="nil"/>
              <w:right w:val="nil"/>
            </w:tcBorders>
            <w:shd w:val="clear" w:color="000000" w:fill="FFFFFF"/>
            <w:noWrap/>
            <w:vAlign w:val="bottom"/>
            <w:hideMark/>
          </w:tcPr>
          <w:p w:rsidR="00831270" w:rsidRPr="00831270" w:rsidRDefault="00395E16" w:rsidP="00C25C5A">
            <w:pPr>
              <w:widowControl/>
              <w:autoSpaceDE/>
              <w:autoSpaceDN/>
              <w:jc w:val="center"/>
              <w:rPr>
                <w:rFonts w:ascii="Arial" w:hAnsi="Arial" w:cs="Arial"/>
                <w:b/>
                <w:bCs/>
                <w:sz w:val="20"/>
                <w:szCs w:val="20"/>
              </w:rPr>
            </w:pPr>
            <w:r>
              <w:rPr>
                <w:rFonts w:ascii="Arial" w:hAnsi="Arial" w:cs="Arial"/>
                <w:b/>
                <w:bCs/>
                <w:sz w:val="20"/>
                <w:szCs w:val="20"/>
              </w:rPr>
              <w:t>$</w:t>
            </w:r>
            <w:r w:rsidR="00C25C5A">
              <w:rPr>
                <w:rFonts w:ascii="Arial" w:hAnsi="Arial" w:cs="Arial"/>
                <w:b/>
                <w:bCs/>
                <w:sz w:val="20"/>
                <w:szCs w:val="20"/>
              </w:rPr>
              <w:t>163</w:t>
            </w:r>
            <w:r>
              <w:rPr>
                <w:rFonts w:ascii="Arial" w:hAnsi="Arial" w:cs="Arial"/>
                <w:b/>
                <w:bCs/>
                <w:sz w:val="20"/>
                <w:szCs w:val="20"/>
              </w:rPr>
              <w:t>,</w:t>
            </w:r>
            <w:r w:rsidR="00C25C5A">
              <w:rPr>
                <w:rFonts w:ascii="Arial" w:hAnsi="Arial" w:cs="Arial"/>
                <w:b/>
                <w:bCs/>
                <w:sz w:val="20"/>
                <w:szCs w:val="20"/>
              </w:rPr>
              <w:t>918</w:t>
            </w:r>
          </w:p>
        </w:tc>
      </w:tr>
      <w:tr w:rsidR="00831270" w:rsidRPr="00831270" w:rsidTr="00E64AFE">
        <w:trPr>
          <w:trHeight w:val="270"/>
        </w:trPr>
        <w:tc>
          <w:tcPr>
            <w:tcW w:w="3642" w:type="dxa"/>
            <w:gridSpan w:val="3"/>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TOTAL LDV &amp; IUVP</w:t>
            </w:r>
          </w:p>
        </w:tc>
        <w:tc>
          <w:tcPr>
            <w:tcW w:w="41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rsidR="00831270" w:rsidRPr="00831270" w:rsidRDefault="00C25C5A" w:rsidP="00C25C5A">
            <w:pPr>
              <w:widowControl/>
              <w:autoSpaceDE/>
              <w:autoSpaceDN/>
              <w:jc w:val="center"/>
              <w:rPr>
                <w:rFonts w:ascii="Arial" w:hAnsi="Arial" w:cs="Arial"/>
                <w:b/>
                <w:bCs/>
                <w:sz w:val="20"/>
                <w:szCs w:val="20"/>
              </w:rPr>
            </w:pPr>
            <w:r>
              <w:rPr>
                <w:rFonts w:ascii="Arial" w:hAnsi="Arial" w:cs="Arial"/>
                <w:b/>
                <w:bCs/>
                <w:sz w:val="20"/>
                <w:szCs w:val="20"/>
              </w:rPr>
              <w:t>$91</w:t>
            </w:r>
            <w:r w:rsidR="00395E16">
              <w:rPr>
                <w:rFonts w:ascii="Arial" w:hAnsi="Arial" w:cs="Arial"/>
                <w:b/>
                <w:bCs/>
                <w:sz w:val="20"/>
                <w:szCs w:val="20"/>
              </w:rPr>
              <w:t>,</w:t>
            </w:r>
            <w:r>
              <w:rPr>
                <w:rFonts w:ascii="Arial" w:hAnsi="Arial" w:cs="Arial"/>
                <w:b/>
                <w:bCs/>
                <w:sz w:val="20"/>
                <w:szCs w:val="20"/>
              </w:rPr>
              <w:t>473</w:t>
            </w:r>
          </w:p>
        </w:tc>
        <w:tc>
          <w:tcPr>
            <w:tcW w:w="1656" w:type="dxa"/>
            <w:tcBorders>
              <w:top w:val="nil"/>
              <w:left w:val="nil"/>
              <w:bottom w:val="nil"/>
              <w:right w:val="nil"/>
            </w:tcBorders>
            <w:shd w:val="clear" w:color="000000" w:fill="FFFFFF"/>
            <w:noWrap/>
            <w:vAlign w:val="bottom"/>
            <w:hideMark/>
          </w:tcPr>
          <w:p w:rsidR="00831270" w:rsidRPr="00831270" w:rsidRDefault="00831270" w:rsidP="00C25C5A">
            <w:pPr>
              <w:widowControl/>
              <w:autoSpaceDE/>
              <w:autoSpaceDN/>
              <w:jc w:val="center"/>
              <w:rPr>
                <w:rFonts w:ascii="Arial" w:hAnsi="Arial" w:cs="Arial"/>
                <w:b/>
                <w:bCs/>
                <w:sz w:val="20"/>
                <w:szCs w:val="20"/>
              </w:rPr>
            </w:pPr>
            <w:r w:rsidRPr="00831270">
              <w:rPr>
                <w:rFonts w:ascii="Arial" w:hAnsi="Arial" w:cs="Arial"/>
                <w:b/>
                <w:bCs/>
                <w:sz w:val="20"/>
                <w:szCs w:val="20"/>
              </w:rPr>
              <w:t>$</w:t>
            </w:r>
            <w:r w:rsidR="00395E16">
              <w:rPr>
                <w:rFonts w:ascii="Arial" w:hAnsi="Arial" w:cs="Arial"/>
                <w:b/>
                <w:bCs/>
                <w:sz w:val="20"/>
                <w:szCs w:val="20"/>
              </w:rPr>
              <w:t>1,3</w:t>
            </w:r>
            <w:r w:rsidR="00C25C5A">
              <w:rPr>
                <w:rFonts w:ascii="Arial" w:hAnsi="Arial" w:cs="Arial"/>
                <w:b/>
                <w:bCs/>
                <w:sz w:val="20"/>
                <w:szCs w:val="20"/>
              </w:rPr>
              <w:t>99</w:t>
            </w:r>
            <w:r w:rsidR="00395E16">
              <w:rPr>
                <w:rFonts w:ascii="Arial" w:hAnsi="Arial" w:cs="Arial"/>
                <w:b/>
                <w:bCs/>
                <w:sz w:val="20"/>
                <w:szCs w:val="20"/>
              </w:rPr>
              <w:t>,</w:t>
            </w:r>
            <w:r w:rsidR="00C25C5A">
              <w:rPr>
                <w:rFonts w:ascii="Arial" w:hAnsi="Arial" w:cs="Arial"/>
                <w:b/>
                <w:bCs/>
                <w:sz w:val="20"/>
                <w:szCs w:val="20"/>
              </w:rPr>
              <w:t>632</w:t>
            </w:r>
            <w:r w:rsidRPr="00831270">
              <w:rPr>
                <w:rFonts w:ascii="Arial" w:hAnsi="Arial" w:cs="Arial"/>
                <w:b/>
                <w:bCs/>
                <w:sz w:val="20"/>
                <w:szCs w:val="20"/>
              </w:rPr>
              <w:t xml:space="preserve"> </w:t>
            </w:r>
          </w:p>
        </w:tc>
      </w:tr>
    </w:tbl>
    <w:p w:rsidR="00831270" w:rsidRDefault="00831270" w:rsidP="004C72D6">
      <w:pPr>
        <w:tabs>
          <w:tab w:val="right" w:pos="4680"/>
        </w:tabs>
        <w:rPr>
          <w:highlight w:val="yellow"/>
        </w:rPr>
      </w:pPr>
    </w:p>
    <w:p w:rsidR="00831270" w:rsidRDefault="00831270" w:rsidP="004C72D6">
      <w:pPr>
        <w:tabs>
          <w:tab w:val="right" w:pos="4680"/>
        </w:tabs>
        <w:rPr>
          <w:highlight w:val="yellow"/>
        </w:rPr>
      </w:pPr>
    </w:p>
    <w:tbl>
      <w:tblPr>
        <w:tblW w:w="7080" w:type="dxa"/>
        <w:tblInd w:w="108" w:type="dxa"/>
        <w:tblLook w:val="04A0"/>
      </w:tblPr>
      <w:tblGrid>
        <w:gridCol w:w="1681"/>
        <w:gridCol w:w="272"/>
        <w:gridCol w:w="1796"/>
        <w:gridCol w:w="416"/>
        <w:gridCol w:w="1336"/>
        <w:gridCol w:w="1656"/>
      </w:tblGrid>
      <w:tr w:rsidR="004C29CF" w:rsidRPr="004C29CF" w:rsidTr="004C29CF">
        <w:trPr>
          <w:trHeight w:val="255"/>
        </w:trPr>
        <w:tc>
          <w:tcPr>
            <w:tcW w:w="1876" w:type="dxa"/>
            <w:gridSpan w:val="2"/>
            <w:tcBorders>
              <w:top w:val="nil"/>
              <w:left w:val="nil"/>
              <w:bottom w:val="nil"/>
              <w:right w:val="nil"/>
            </w:tcBorders>
            <w:shd w:val="clear" w:color="000000" w:fill="FFFFFF"/>
            <w:noWrap/>
            <w:vAlign w:val="bottom"/>
            <w:hideMark/>
          </w:tcPr>
          <w:p w:rsidR="004C29CF" w:rsidRDefault="004C29CF" w:rsidP="004C29CF">
            <w:pPr>
              <w:widowControl/>
              <w:autoSpaceDE/>
              <w:autoSpaceDN/>
              <w:jc w:val="center"/>
              <w:rPr>
                <w:rFonts w:ascii="Arial" w:hAnsi="Arial" w:cs="Arial"/>
                <w:b/>
                <w:bCs/>
                <w:sz w:val="20"/>
                <w:szCs w:val="20"/>
              </w:rPr>
            </w:pPr>
          </w:p>
          <w:p w:rsidR="004C29CF" w:rsidRDefault="004C29CF" w:rsidP="004C29CF">
            <w:pPr>
              <w:widowControl/>
              <w:autoSpaceDE/>
              <w:autoSpaceDN/>
              <w:jc w:val="center"/>
              <w:rPr>
                <w:rFonts w:ascii="Arial" w:hAnsi="Arial" w:cs="Arial"/>
                <w:b/>
                <w:bCs/>
                <w:sz w:val="20"/>
                <w:szCs w:val="20"/>
              </w:rPr>
            </w:pPr>
          </w:p>
          <w:p w:rsidR="004C29CF" w:rsidRDefault="004C29CF" w:rsidP="004C29CF">
            <w:pPr>
              <w:widowControl/>
              <w:autoSpaceDE/>
              <w:autoSpaceDN/>
              <w:jc w:val="center"/>
              <w:rPr>
                <w:rFonts w:ascii="Arial" w:hAnsi="Arial" w:cs="Arial"/>
                <w:b/>
                <w:bCs/>
                <w:sz w:val="20"/>
                <w:szCs w:val="20"/>
              </w:rPr>
            </w:pPr>
          </w:p>
          <w:p w:rsidR="004C29CF" w:rsidRDefault="004C29CF" w:rsidP="004C29CF">
            <w:pPr>
              <w:widowControl/>
              <w:autoSpaceDE/>
              <w:autoSpaceDN/>
              <w:jc w:val="center"/>
              <w:rPr>
                <w:rFonts w:ascii="Arial" w:hAnsi="Arial" w:cs="Arial"/>
                <w:b/>
                <w:bCs/>
                <w:sz w:val="20"/>
                <w:szCs w:val="20"/>
              </w:rPr>
            </w:pPr>
          </w:p>
          <w:p w:rsidR="004C29CF" w:rsidRDefault="004C29CF" w:rsidP="004C29CF">
            <w:pPr>
              <w:widowControl/>
              <w:autoSpaceDE/>
              <w:autoSpaceDN/>
              <w:jc w:val="center"/>
              <w:rPr>
                <w:rFonts w:ascii="Arial" w:hAnsi="Arial" w:cs="Arial"/>
                <w:b/>
                <w:bCs/>
                <w:sz w:val="20"/>
                <w:szCs w:val="20"/>
              </w:rPr>
            </w:pPr>
          </w:p>
          <w:p w:rsidR="004C29CF" w:rsidRDefault="004C29CF" w:rsidP="004C29CF">
            <w:pPr>
              <w:widowControl/>
              <w:autoSpaceDE/>
              <w:autoSpaceDN/>
              <w:jc w:val="center"/>
              <w:rPr>
                <w:rFonts w:ascii="Arial" w:hAnsi="Arial" w:cs="Arial"/>
                <w:b/>
                <w:bCs/>
                <w:sz w:val="20"/>
                <w:szCs w:val="20"/>
              </w:rPr>
            </w:pPr>
          </w:p>
          <w:p w:rsidR="004C29CF" w:rsidRPr="004C29CF" w:rsidRDefault="004C29CF" w:rsidP="004C29CF">
            <w:pPr>
              <w:widowControl/>
              <w:autoSpaceDE/>
              <w:autoSpaceDN/>
              <w:jc w:val="center"/>
              <w:rPr>
                <w:rFonts w:ascii="Arial" w:hAnsi="Arial" w:cs="Arial"/>
                <w:b/>
                <w:bCs/>
                <w:sz w:val="20"/>
                <w:szCs w:val="20"/>
              </w:rPr>
            </w:pPr>
            <w:r w:rsidRPr="004C29CF">
              <w:rPr>
                <w:rFonts w:ascii="Arial" w:hAnsi="Arial" w:cs="Arial"/>
                <w:b/>
                <w:bCs/>
                <w:sz w:val="20"/>
                <w:szCs w:val="20"/>
              </w:rPr>
              <w:t>HOURS BURDEN</w:t>
            </w:r>
          </w:p>
        </w:tc>
        <w:tc>
          <w:tcPr>
            <w:tcW w:w="179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41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133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165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r>
      <w:tr w:rsidR="004C29CF" w:rsidRPr="004C29CF" w:rsidTr="004C29CF">
        <w:trPr>
          <w:trHeight w:val="255"/>
        </w:trPr>
        <w:tc>
          <w:tcPr>
            <w:tcW w:w="1681"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sz w:val="20"/>
                <w:szCs w:val="20"/>
              </w:rPr>
            </w:pPr>
            <w:r w:rsidRPr="004C29CF">
              <w:rPr>
                <w:rFonts w:ascii="Arial" w:hAnsi="Arial" w:cs="Arial"/>
                <w:sz w:val="20"/>
                <w:szCs w:val="20"/>
              </w:rPr>
              <w:t> </w:t>
            </w:r>
          </w:p>
        </w:tc>
        <w:tc>
          <w:tcPr>
            <w:tcW w:w="195"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sz w:val="20"/>
                <w:szCs w:val="20"/>
              </w:rPr>
            </w:pPr>
            <w:r w:rsidRPr="004C29CF">
              <w:rPr>
                <w:rFonts w:ascii="Arial" w:hAnsi="Arial" w:cs="Arial"/>
                <w:sz w:val="20"/>
                <w:szCs w:val="20"/>
              </w:rPr>
              <w:t> </w:t>
            </w:r>
          </w:p>
        </w:tc>
        <w:tc>
          <w:tcPr>
            <w:tcW w:w="179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sz w:val="20"/>
                <w:szCs w:val="20"/>
              </w:rPr>
            </w:pPr>
            <w:r w:rsidRPr="004C29CF">
              <w:rPr>
                <w:rFonts w:ascii="Arial" w:hAnsi="Arial" w:cs="Arial"/>
                <w:sz w:val="20"/>
                <w:szCs w:val="20"/>
              </w:rPr>
              <w:t> </w:t>
            </w:r>
          </w:p>
        </w:tc>
        <w:tc>
          <w:tcPr>
            <w:tcW w:w="41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65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r>
      <w:tr w:rsidR="004C29CF" w:rsidRPr="004C29CF" w:rsidTr="004C29CF">
        <w:trPr>
          <w:trHeight w:val="255"/>
        </w:trPr>
        <w:tc>
          <w:tcPr>
            <w:tcW w:w="3672"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LDV/LDT Emissions IC</w:t>
            </w:r>
          </w:p>
        </w:tc>
        <w:tc>
          <w:tcPr>
            <w:tcW w:w="416" w:type="dxa"/>
            <w:tcBorders>
              <w:top w:val="single" w:sz="4" w:space="0" w:color="auto"/>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xml:space="preserve">   </w:t>
            </w:r>
          </w:p>
        </w:tc>
        <w:tc>
          <w:tcPr>
            <w:tcW w:w="1336" w:type="dxa"/>
            <w:tcBorders>
              <w:top w:val="single" w:sz="4" w:space="0" w:color="auto"/>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xml:space="preserve"> </w:t>
            </w:r>
          </w:p>
        </w:tc>
        <w:tc>
          <w:tcPr>
            <w:tcW w:w="1656" w:type="dxa"/>
            <w:tcBorders>
              <w:top w:val="single" w:sz="4" w:space="0" w:color="auto"/>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xml:space="preserve"> </w:t>
            </w:r>
          </w:p>
        </w:tc>
      </w:tr>
      <w:tr w:rsidR="004C29CF" w:rsidRPr="004C29CF" w:rsidTr="004C29CF">
        <w:trPr>
          <w:trHeight w:val="735"/>
        </w:trPr>
        <w:tc>
          <w:tcPr>
            <w:tcW w:w="3672" w:type="dxa"/>
            <w:gridSpan w:val="3"/>
            <w:tcBorders>
              <w:top w:val="single" w:sz="4" w:space="0" w:color="auto"/>
              <w:left w:val="single" w:sz="4" w:space="0" w:color="auto"/>
              <w:bottom w:val="nil"/>
              <w:right w:val="single" w:sz="4" w:space="0" w:color="000000"/>
            </w:tcBorders>
            <w:shd w:val="clear" w:color="000000" w:fill="FFFFFF"/>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Startup: Capital one-time IT/Paperwork (annualized 10yrs/7%)</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r>
      <w:tr w:rsidR="004C29CF" w:rsidRPr="004C29CF" w:rsidTr="004C29CF">
        <w:trPr>
          <w:trHeight w:val="615"/>
        </w:trPr>
        <w:tc>
          <w:tcPr>
            <w:tcW w:w="367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New Facilities: Ongoing Capital (annualized 10yrs/7%)</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r>
      <w:tr w:rsidR="004C29CF" w:rsidRPr="004C29CF" w:rsidTr="004C29CF">
        <w:trPr>
          <w:trHeight w:val="390"/>
        </w:trPr>
        <w:tc>
          <w:tcPr>
            <w:tcW w:w="3672" w:type="dxa"/>
            <w:gridSpan w:val="3"/>
            <w:tcBorders>
              <w:top w:val="nil"/>
              <w:left w:val="single" w:sz="4" w:space="0" w:color="auto"/>
              <w:bottom w:val="single" w:sz="4" w:space="0" w:color="auto"/>
              <w:right w:val="single" w:sz="4" w:space="0" w:color="000000"/>
            </w:tcBorders>
            <w:shd w:val="clear" w:color="000000" w:fill="FFFFFF"/>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xml:space="preserve">New Testing </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397EF9" w:rsidRDefault="004C29CF" w:rsidP="00395E16">
            <w:pPr>
              <w:widowControl/>
              <w:autoSpaceDE/>
              <w:autoSpaceDN/>
              <w:jc w:val="center"/>
              <w:rPr>
                <w:rFonts w:ascii="Arial" w:hAnsi="Arial" w:cs="Arial"/>
                <w:sz w:val="20"/>
                <w:szCs w:val="20"/>
              </w:rPr>
            </w:pPr>
            <w:r w:rsidRPr="00397EF9">
              <w:rPr>
                <w:rFonts w:ascii="Arial" w:hAnsi="Arial" w:cs="Arial"/>
                <w:sz w:val="20"/>
                <w:szCs w:val="20"/>
              </w:rPr>
              <w:t>-1</w:t>
            </w:r>
            <w:r w:rsidR="00395E16" w:rsidRPr="00397EF9">
              <w:rPr>
                <w:rFonts w:ascii="Arial" w:hAnsi="Arial" w:cs="Arial"/>
                <w:sz w:val="20"/>
                <w:szCs w:val="20"/>
              </w:rPr>
              <w:t>42</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397EF9" w:rsidRDefault="00395E16" w:rsidP="00395E16">
            <w:pPr>
              <w:widowControl/>
              <w:autoSpaceDE/>
              <w:autoSpaceDN/>
              <w:jc w:val="center"/>
              <w:rPr>
                <w:rFonts w:ascii="Arial" w:hAnsi="Arial" w:cs="Arial"/>
                <w:sz w:val="20"/>
                <w:szCs w:val="20"/>
              </w:rPr>
            </w:pPr>
            <w:r w:rsidRPr="00397EF9">
              <w:rPr>
                <w:rFonts w:ascii="Arial" w:hAnsi="Arial" w:cs="Arial"/>
                <w:sz w:val="20"/>
                <w:szCs w:val="20"/>
              </w:rPr>
              <w:t>576</w:t>
            </w:r>
          </w:p>
        </w:tc>
      </w:tr>
      <w:tr w:rsidR="004C29CF" w:rsidRPr="004C29CF" w:rsidTr="004C29CF">
        <w:trPr>
          <w:trHeight w:val="540"/>
        </w:trPr>
        <w:tc>
          <w:tcPr>
            <w:tcW w:w="367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xml:space="preserve">New Reporting &amp; Recordkeeping </w:t>
            </w:r>
          </w:p>
        </w:tc>
        <w:tc>
          <w:tcPr>
            <w:tcW w:w="416" w:type="dxa"/>
            <w:tcBorders>
              <w:top w:val="nil"/>
              <w:left w:val="nil"/>
              <w:bottom w:val="nil"/>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397EF9" w:rsidRDefault="00395E16" w:rsidP="00C25C5A">
            <w:pPr>
              <w:widowControl/>
              <w:autoSpaceDE/>
              <w:autoSpaceDN/>
              <w:jc w:val="center"/>
              <w:rPr>
                <w:rFonts w:ascii="Arial" w:hAnsi="Arial" w:cs="Arial"/>
                <w:sz w:val="20"/>
                <w:szCs w:val="20"/>
              </w:rPr>
            </w:pPr>
            <w:r w:rsidRPr="00397EF9">
              <w:rPr>
                <w:rFonts w:ascii="Arial" w:hAnsi="Arial" w:cs="Arial"/>
                <w:sz w:val="20"/>
                <w:szCs w:val="20"/>
              </w:rPr>
              <w:t>2,</w:t>
            </w:r>
            <w:r w:rsidR="00C25C5A" w:rsidRPr="00397EF9">
              <w:rPr>
                <w:rFonts w:ascii="Arial" w:hAnsi="Arial" w:cs="Arial"/>
                <w:sz w:val="20"/>
                <w:szCs w:val="20"/>
              </w:rPr>
              <w:t>855</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397EF9" w:rsidRDefault="00C25C5A" w:rsidP="00C25C5A">
            <w:pPr>
              <w:widowControl/>
              <w:autoSpaceDE/>
              <w:autoSpaceDN/>
              <w:jc w:val="center"/>
              <w:rPr>
                <w:rFonts w:ascii="Arial" w:hAnsi="Arial" w:cs="Arial"/>
                <w:sz w:val="20"/>
                <w:szCs w:val="20"/>
              </w:rPr>
            </w:pPr>
            <w:r w:rsidRPr="00397EF9">
              <w:rPr>
                <w:rFonts w:ascii="Arial" w:hAnsi="Arial" w:cs="Arial"/>
                <w:sz w:val="20"/>
                <w:szCs w:val="20"/>
              </w:rPr>
              <w:t>5,091</w:t>
            </w:r>
          </w:p>
        </w:tc>
      </w:tr>
      <w:tr w:rsidR="004C29CF" w:rsidRPr="004C29CF" w:rsidTr="004C29CF">
        <w:trPr>
          <w:trHeight w:val="255"/>
        </w:trPr>
        <w:tc>
          <w:tcPr>
            <w:tcW w:w="1681" w:type="dxa"/>
            <w:tcBorders>
              <w:top w:val="nil"/>
              <w:left w:val="single" w:sz="4" w:space="0" w:color="auto"/>
              <w:bottom w:val="single" w:sz="4" w:space="0" w:color="auto"/>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xml:space="preserve">Total </w:t>
            </w:r>
          </w:p>
        </w:tc>
        <w:tc>
          <w:tcPr>
            <w:tcW w:w="195" w:type="dxa"/>
            <w:tcBorders>
              <w:top w:val="nil"/>
              <w:left w:val="nil"/>
              <w:bottom w:val="single" w:sz="4" w:space="0" w:color="auto"/>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179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416" w:type="dxa"/>
            <w:tcBorders>
              <w:top w:val="single" w:sz="4" w:space="0" w:color="auto"/>
              <w:left w:val="nil"/>
              <w:bottom w:val="nil"/>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xml:space="preserve">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395E16" w:rsidP="00C25C5A">
            <w:pPr>
              <w:widowControl/>
              <w:autoSpaceDE/>
              <w:autoSpaceDN/>
              <w:jc w:val="center"/>
              <w:rPr>
                <w:rFonts w:ascii="Arial" w:hAnsi="Arial" w:cs="Arial"/>
                <w:b/>
                <w:bCs/>
                <w:sz w:val="20"/>
                <w:szCs w:val="20"/>
              </w:rPr>
            </w:pPr>
            <w:r>
              <w:rPr>
                <w:rFonts w:ascii="Arial" w:hAnsi="Arial" w:cs="Arial"/>
                <w:b/>
                <w:bCs/>
                <w:sz w:val="20"/>
                <w:szCs w:val="20"/>
              </w:rPr>
              <w:t>2,</w:t>
            </w:r>
            <w:r w:rsidR="00C25C5A">
              <w:rPr>
                <w:rFonts w:ascii="Arial" w:hAnsi="Arial" w:cs="Arial"/>
                <w:b/>
                <w:bCs/>
                <w:sz w:val="20"/>
                <w:szCs w:val="20"/>
              </w:rPr>
              <w:t>713</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395E16" w:rsidP="00C25C5A">
            <w:pPr>
              <w:widowControl/>
              <w:autoSpaceDE/>
              <w:autoSpaceDN/>
              <w:jc w:val="center"/>
              <w:rPr>
                <w:rFonts w:ascii="Arial" w:hAnsi="Arial" w:cs="Arial"/>
                <w:b/>
                <w:bCs/>
                <w:sz w:val="20"/>
                <w:szCs w:val="20"/>
              </w:rPr>
            </w:pPr>
            <w:r>
              <w:rPr>
                <w:rFonts w:ascii="Arial" w:hAnsi="Arial" w:cs="Arial"/>
                <w:b/>
                <w:bCs/>
                <w:sz w:val="20"/>
                <w:szCs w:val="20"/>
              </w:rPr>
              <w:t>5,</w:t>
            </w:r>
            <w:r w:rsidR="00C25C5A">
              <w:rPr>
                <w:rFonts w:ascii="Arial" w:hAnsi="Arial" w:cs="Arial"/>
                <w:b/>
                <w:bCs/>
                <w:sz w:val="20"/>
                <w:szCs w:val="20"/>
              </w:rPr>
              <w:t>667</w:t>
            </w:r>
          </w:p>
        </w:tc>
      </w:tr>
      <w:tr w:rsidR="004C29CF" w:rsidRPr="004C29CF" w:rsidTr="004C29CF">
        <w:trPr>
          <w:trHeight w:val="255"/>
        </w:trPr>
        <w:tc>
          <w:tcPr>
            <w:tcW w:w="1681"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195"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179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416" w:type="dxa"/>
            <w:tcBorders>
              <w:top w:val="single" w:sz="4" w:space="0" w:color="auto"/>
              <w:left w:val="nil"/>
              <w:bottom w:val="single" w:sz="4" w:space="0" w:color="auto"/>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b/>
                <w:bCs/>
                <w:sz w:val="20"/>
                <w:szCs w:val="20"/>
              </w:rPr>
            </w:pPr>
            <w:r w:rsidRPr="004C29CF">
              <w:rPr>
                <w:rFonts w:ascii="Arial" w:hAnsi="Arial" w:cs="Arial"/>
                <w:b/>
                <w:bCs/>
                <w:sz w:val="20"/>
                <w:szCs w:val="20"/>
              </w:rPr>
              <w:t> </w:t>
            </w:r>
          </w:p>
        </w:tc>
        <w:tc>
          <w:tcPr>
            <w:tcW w:w="133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b/>
                <w:bCs/>
                <w:sz w:val="20"/>
                <w:szCs w:val="20"/>
              </w:rPr>
            </w:pPr>
            <w:r w:rsidRPr="004C29CF">
              <w:rPr>
                <w:rFonts w:ascii="Arial" w:hAnsi="Arial" w:cs="Arial"/>
                <w:b/>
                <w:bCs/>
                <w:sz w:val="20"/>
                <w:szCs w:val="20"/>
              </w:rPr>
              <w:t> </w:t>
            </w:r>
          </w:p>
        </w:tc>
        <w:tc>
          <w:tcPr>
            <w:tcW w:w="165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b/>
                <w:bCs/>
                <w:sz w:val="20"/>
                <w:szCs w:val="20"/>
              </w:rPr>
            </w:pPr>
            <w:r w:rsidRPr="004C29CF">
              <w:rPr>
                <w:rFonts w:ascii="Arial" w:hAnsi="Arial" w:cs="Arial"/>
                <w:b/>
                <w:bCs/>
                <w:sz w:val="20"/>
                <w:szCs w:val="20"/>
              </w:rPr>
              <w:t> </w:t>
            </w:r>
          </w:p>
        </w:tc>
      </w:tr>
      <w:tr w:rsidR="004C29CF" w:rsidRPr="004C29CF" w:rsidTr="004C29CF">
        <w:trPr>
          <w:trHeight w:val="255"/>
        </w:trPr>
        <w:tc>
          <w:tcPr>
            <w:tcW w:w="3672"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IUVP IC</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single" w:sz="4" w:space="0" w:color="auto"/>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xml:space="preserve"> </w:t>
            </w:r>
          </w:p>
        </w:tc>
        <w:tc>
          <w:tcPr>
            <w:tcW w:w="1656" w:type="dxa"/>
            <w:tcBorders>
              <w:top w:val="single" w:sz="4" w:space="0" w:color="auto"/>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xml:space="preserve"> </w:t>
            </w:r>
          </w:p>
        </w:tc>
      </w:tr>
      <w:tr w:rsidR="004C29CF" w:rsidRPr="004C29CF" w:rsidTr="004C29CF">
        <w:trPr>
          <w:trHeight w:val="810"/>
        </w:trPr>
        <w:tc>
          <w:tcPr>
            <w:tcW w:w="367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Startup: one-time IT/Paperwork and O&amp;M (annualized 10yrs/7%)</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r>
      <w:tr w:rsidR="004C29CF" w:rsidRPr="004C29CF" w:rsidTr="004C29CF">
        <w:trPr>
          <w:trHeight w:val="600"/>
        </w:trPr>
        <w:tc>
          <w:tcPr>
            <w:tcW w:w="367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New Facilities: Ongoing Capital, annualized 10 yrs/7%)</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r>
      <w:tr w:rsidR="004C29CF" w:rsidRPr="004C29CF" w:rsidTr="004C29CF">
        <w:trPr>
          <w:trHeight w:val="255"/>
        </w:trPr>
        <w:tc>
          <w:tcPr>
            <w:tcW w:w="367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New Testing (Labor &amp; O&amp;M)</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r>
      <w:tr w:rsidR="004C29CF" w:rsidRPr="004C29CF" w:rsidTr="004C29CF">
        <w:trPr>
          <w:trHeight w:val="540"/>
        </w:trPr>
        <w:tc>
          <w:tcPr>
            <w:tcW w:w="367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New Reporting &amp; Recordkeeping</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r>
      <w:tr w:rsidR="004C29CF" w:rsidRPr="004C29CF" w:rsidTr="004C29CF">
        <w:trPr>
          <w:trHeight w:val="255"/>
        </w:trPr>
        <w:tc>
          <w:tcPr>
            <w:tcW w:w="1681" w:type="dxa"/>
            <w:tcBorders>
              <w:top w:val="nil"/>
              <w:left w:val="single" w:sz="4" w:space="0" w:color="auto"/>
              <w:bottom w:val="single" w:sz="4" w:space="0" w:color="auto"/>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xml:space="preserve">Total </w:t>
            </w:r>
          </w:p>
        </w:tc>
        <w:tc>
          <w:tcPr>
            <w:tcW w:w="195" w:type="dxa"/>
            <w:tcBorders>
              <w:top w:val="nil"/>
              <w:left w:val="nil"/>
              <w:bottom w:val="single" w:sz="4" w:space="0" w:color="auto"/>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179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b/>
                <w:bCs/>
                <w:sz w:val="20"/>
                <w:szCs w:val="20"/>
              </w:rPr>
            </w:pPr>
            <w:r w:rsidRPr="004C29CF">
              <w:rPr>
                <w:rFonts w:ascii="Arial" w:hAnsi="Arial" w:cs="Arial"/>
                <w:b/>
                <w:bCs/>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b/>
                <w:bCs/>
                <w:sz w:val="20"/>
                <w:szCs w:val="20"/>
              </w:rPr>
            </w:pPr>
            <w:r w:rsidRPr="004C29CF">
              <w:rPr>
                <w:rFonts w:ascii="Arial" w:hAnsi="Arial" w:cs="Arial"/>
                <w:b/>
                <w:bCs/>
                <w:sz w:val="20"/>
                <w:szCs w:val="20"/>
              </w:rPr>
              <w:t>0</w:t>
            </w:r>
          </w:p>
        </w:tc>
      </w:tr>
      <w:tr w:rsidR="004C29CF" w:rsidRPr="004C29CF" w:rsidTr="004C29CF">
        <w:trPr>
          <w:trHeight w:val="255"/>
        </w:trPr>
        <w:tc>
          <w:tcPr>
            <w:tcW w:w="1681"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sz w:val="20"/>
                <w:szCs w:val="20"/>
              </w:rPr>
            </w:pPr>
            <w:r w:rsidRPr="004C29CF">
              <w:rPr>
                <w:rFonts w:ascii="Arial" w:hAnsi="Arial" w:cs="Arial"/>
                <w:sz w:val="20"/>
                <w:szCs w:val="20"/>
              </w:rPr>
              <w:t> </w:t>
            </w:r>
          </w:p>
        </w:tc>
        <w:tc>
          <w:tcPr>
            <w:tcW w:w="195"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sz w:val="20"/>
                <w:szCs w:val="20"/>
              </w:rPr>
            </w:pPr>
            <w:r w:rsidRPr="004C29CF">
              <w:rPr>
                <w:rFonts w:ascii="Arial" w:hAnsi="Arial" w:cs="Arial"/>
                <w:sz w:val="20"/>
                <w:szCs w:val="20"/>
              </w:rPr>
              <w:t> </w:t>
            </w:r>
          </w:p>
        </w:tc>
        <w:tc>
          <w:tcPr>
            <w:tcW w:w="179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sz w:val="20"/>
                <w:szCs w:val="20"/>
              </w:rPr>
            </w:pPr>
            <w:r w:rsidRPr="004C29CF">
              <w:rPr>
                <w:rFonts w:ascii="Arial" w:hAnsi="Arial" w:cs="Arial"/>
                <w:sz w:val="20"/>
                <w:szCs w:val="20"/>
              </w:rPr>
              <w:t> </w:t>
            </w:r>
          </w:p>
        </w:tc>
        <w:tc>
          <w:tcPr>
            <w:tcW w:w="41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65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r>
      <w:tr w:rsidR="004C29CF" w:rsidRPr="004C29CF" w:rsidTr="004C29CF">
        <w:trPr>
          <w:trHeight w:val="255"/>
        </w:trPr>
        <w:tc>
          <w:tcPr>
            <w:tcW w:w="3672" w:type="dxa"/>
            <w:gridSpan w:val="3"/>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TOTAL LDV &amp; IUVP</w:t>
            </w:r>
          </w:p>
        </w:tc>
        <w:tc>
          <w:tcPr>
            <w:tcW w:w="41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rsidR="004C29CF" w:rsidRPr="004C29CF" w:rsidRDefault="00395E16" w:rsidP="00C25C5A">
            <w:pPr>
              <w:widowControl/>
              <w:autoSpaceDE/>
              <w:autoSpaceDN/>
              <w:jc w:val="center"/>
              <w:rPr>
                <w:rFonts w:ascii="Arial" w:hAnsi="Arial" w:cs="Arial"/>
                <w:b/>
                <w:bCs/>
                <w:sz w:val="20"/>
                <w:szCs w:val="20"/>
              </w:rPr>
            </w:pPr>
            <w:r>
              <w:rPr>
                <w:rFonts w:ascii="Arial" w:hAnsi="Arial" w:cs="Arial"/>
                <w:b/>
                <w:bCs/>
                <w:sz w:val="20"/>
                <w:szCs w:val="20"/>
              </w:rPr>
              <w:t>2,</w:t>
            </w:r>
            <w:r w:rsidR="00C25C5A">
              <w:rPr>
                <w:rFonts w:ascii="Arial" w:hAnsi="Arial" w:cs="Arial"/>
                <w:b/>
                <w:bCs/>
                <w:sz w:val="20"/>
                <w:szCs w:val="20"/>
              </w:rPr>
              <w:t>713</w:t>
            </w:r>
          </w:p>
        </w:tc>
        <w:tc>
          <w:tcPr>
            <w:tcW w:w="1656" w:type="dxa"/>
            <w:tcBorders>
              <w:top w:val="nil"/>
              <w:left w:val="nil"/>
              <w:bottom w:val="nil"/>
              <w:right w:val="nil"/>
            </w:tcBorders>
            <w:shd w:val="clear" w:color="000000" w:fill="FFFFFF"/>
            <w:noWrap/>
            <w:vAlign w:val="bottom"/>
            <w:hideMark/>
          </w:tcPr>
          <w:p w:rsidR="004C29CF" w:rsidRPr="004C29CF" w:rsidRDefault="00395E16" w:rsidP="00C25C5A">
            <w:pPr>
              <w:widowControl/>
              <w:autoSpaceDE/>
              <w:autoSpaceDN/>
              <w:jc w:val="center"/>
              <w:rPr>
                <w:rFonts w:ascii="Arial" w:hAnsi="Arial" w:cs="Arial"/>
                <w:b/>
                <w:bCs/>
                <w:sz w:val="20"/>
                <w:szCs w:val="20"/>
              </w:rPr>
            </w:pPr>
            <w:r>
              <w:rPr>
                <w:rFonts w:ascii="Arial" w:hAnsi="Arial" w:cs="Arial"/>
                <w:b/>
                <w:bCs/>
                <w:sz w:val="20"/>
                <w:szCs w:val="20"/>
              </w:rPr>
              <w:t>5,</w:t>
            </w:r>
            <w:r w:rsidR="00C25C5A">
              <w:rPr>
                <w:rFonts w:ascii="Arial" w:hAnsi="Arial" w:cs="Arial"/>
                <w:b/>
                <w:bCs/>
                <w:sz w:val="20"/>
                <w:szCs w:val="20"/>
              </w:rPr>
              <w:t>667</w:t>
            </w:r>
          </w:p>
        </w:tc>
      </w:tr>
    </w:tbl>
    <w:p w:rsidR="00831270" w:rsidRDefault="00831270" w:rsidP="004C72D6">
      <w:pPr>
        <w:tabs>
          <w:tab w:val="right" w:pos="4680"/>
        </w:tabs>
        <w:rPr>
          <w:highlight w:val="yellow"/>
        </w:rPr>
      </w:pPr>
    </w:p>
    <w:p w:rsidR="00831270" w:rsidRDefault="00831270" w:rsidP="004C72D6">
      <w:pPr>
        <w:tabs>
          <w:tab w:val="right" w:pos="4680"/>
        </w:tabs>
        <w:rPr>
          <w:highlight w:val="yellow"/>
        </w:rPr>
      </w:pPr>
    </w:p>
    <w:p w:rsidR="004C72D6" w:rsidRPr="00C16E50" w:rsidRDefault="004C72D6" w:rsidP="004C72D6">
      <w:pPr>
        <w:tabs>
          <w:tab w:val="right" w:pos="4680"/>
        </w:tabs>
        <w:rPr>
          <w:u w:val="single"/>
        </w:rPr>
      </w:pPr>
      <w:r w:rsidRPr="00C16E50">
        <w:t xml:space="preserve">(ii)  </w:t>
      </w:r>
      <w:r w:rsidRPr="00C16E50">
        <w:rPr>
          <w:u w:val="single"/>
        </w:rPr>
        <w:t>Agency Tally</w:t>
      </w:r>
    </w:p>
    <w:p w:rsidR="004C72D6" w:rsidRPr="00C16E50" w:rsidRDefault="004C72D6" w:rsidP="004C72D6">
      <w:pPr>
        <w:tabs>
          <w:tab w:val="right" w:pos="4680"/>
        </w:tabs>
        <w:rPr>
          <w:u w:val="single"/>
        </w:rPr>
      </w:pPr>
    </w:p>
    <w:p w:rsidR="004C72D6" w:rsidRPr="00C16E50" w:rsidRDefault="004C72D6" w:rsidP="004C72D6">
      <w:pPr>
        <w:tabs>
          <w:tab w:val="right" w:pos="4680"/>
        </w:tabs>
      </w:pPr>
      <w:r w:rsidRPr="00C16E50">
        <w:t>EMPLOYEES</w:t>
      </w:r>
      <w:r w:rsidRPr="00C16E50">
        <w:tab/>
      </w:r>
      <w:r w:rsidR="00240097">
        <w:t>47.5</w:t>
      </w:r>
    </w:p>
    <w:p w:rsidR="004C72D6" w:rsidRPr="00C16E50" w:rsidRDefault="004C72D6" w:rsidP="004C72D6">
      <w:pPr>
        <w:tabs>
          <w:tab w:val="right" w:pos="4680"/>
        </w:tabs>
      </w:pPr>
      <w:r w:rsidRPr="00C16E50">
        <w:t>STARTUP</w:t>
      </w:r>
      <w:r w:rsidRPr="00C16E50">
        <w:tab/>
        <w:t>$</w:t>
      </w:r>
      <w:r w:rsidR="00C16E50" w:rsidRPr="00C16E50">
        <w:t>349,837</w:t>
      </w:r>
    </w:p>
    <w:p w:rsidR="004C72D6" w:rsidRPr="000F6458" w:rsidRDefault="004C72D6" w:rsidP="004C72D6">
      <w:pPr>
        <w:tabs>
          <w:tab w:val="right" w:pos="4680"/>
        </w:tabs>
      </w:pPr>
      <w:r w:rsidRPr="00C16E50">
        <w:t>LABOR HOURS</w:t>
      </w:r>
      <w:r w:rsidRPr="00C16E50">
        <w:tab/>
      </w:r>
      <w:r w:rsidR="00C16E50" w:rsidRPr="00C16E50">
        <w:t>2,094</w:t>
      </w:r>
    </w:p>
    <w:p w:rsidR="004C72D6" w:rsidRPr="000F6458" w:rsidRDefault="004C72D6" w:rsidP="004C72D6">
      <w:pPr>
        <w:tabs>
          <w:tab w:val="right" w:pos="4680"/>
        </w:tabs>
      </w:pPr>
    </w:p>
    <w:p w:rsidR="004C72D6" w:rsidRPr="000F6458" w:rsidRDefault="004C72D6" w:rsidP="004C72D6">
      <w:pPr>
        <w:tabs>
          <w:tab w:val="right" w:pos="4680"/>
        </w:tabs>
      </w:pPr>
      <w:r w:rsidRPr="000F6458">
        <w:t xml:space="preserve">6(f) </w:t>
      </w:r>
      <w:r w:rsidRPr="000F6458">
        <w:rPr>
          <w:u w:val="single"/>
        </w:rPr>
        <w:t>Reasons for change in burden</w:t>
      </w:r>
    </w:p>
    <w:p w:rsidR="004C72D6" w:rsidRPr="000F6458" w:rsidRDefault="004C72D6" w:rsidP="004C72D6">
      <w:pPr>
        <w:pStyle w:val="Style6"/>
        <w:jc w:val="left"/>
        <w:rPr>
          <w:spacing w:val="6"/>
        </w:rPr>
      </w:pPr>
    </w:p>
    <w:p w:rsidR="004C72D6" w:rsidRDefault="004C72D6" w:rsidP="004C72D6">
      <w:pPr>
        <w:pStyle w:val="Style6"/>
        <w:jc w:val="left"/>
        <w:rPr>
          <w:spacing w:val="6"/>
        </w:rPr>
      </w:pPr>
      <w:r w:rsidRPr="000F6458">
        <w:rPr>
          <w:spacing w:val="6"/>
        </w:rPr>
        <w:tab/>
        <w:t xml:space="preserve">The burden change is from new capital and operations and maintenance costs and labor hours associated with implementing the new programs detailed in this </w:t>
      </w:r>
      <w:r w:rsidR="00545640" w:rsidRPr="000F6458">
        <w:rPr>
          <w:spacing w:val="6"/>
        </w:rPr>
        <w:t>final</w:t>
      </w:r>
      <w:r w:rsidRPr="000F6458">
        <w:rPr>
          <w:spacing w:val="6"/>
        </w:rPr>
        <w:t xml:space="preserve"> ICR</w:t>
      </w:r>
      <w:r w:rsidR="002F74C3">
        <w:rPr>
          <w:spacing w:val="6"/>
        </w:rPr>
        <w:t>.</w:t>
      </w:r>
      <w:r w:rsidRPr="000F6458">
        <w:rPr>
          <w:spacing w:val="6"/>
        </w:rPr>
        <w:t xml:space="preserve"> The increase in burden is due largely to an increase in the estimated (high estimate) cost of information system upgrades for industry. There is also a slight </w:t>
      </w:r>
      <w:r w:rsidRPr="000F6458">
        <w:rPr>
          <w:spacing w:val="6"/>
        </w:rPr>
        <w:lastRenderedPageBreak/>
        <w:t>increase in the reporting burden associated with the end of model year GHG emissions report and the optional credit calculations that they may include.</w:t>
      </w:r>
      <w:r>
        <w:rPr>
          <w:spacing w:val="6"/>
        </w:rPr>
        <w:t xml:space="preserve"> </w:t>
      </w:r>
    </w:p>
    <w:p w:rsidR="004C72D6" w:rsidRDefault="004C72D6" w:rsidP="004C72D6">
      <w:pPr>
        <w:pStyle w:val="Style5"/>
        <w:adjustRightInd/>
        <w:rPr>
          <w:spacing w:val="6"/>
        </w:rPr>
      </w:pPr>
    </w:p>
    <w:p w:rsidR="004C72D6" w:rsidRDefault="004C72D6" w:rsidP="004C72D6">
      <w:pPr>
        <w:pStyle w:val="Style5"/>
        <w:adjustRightInd/>
        <w:rPr>
          <w:spacing w:val="6"/>
        </w:rPr>
      </w:pPr>
      <w:r>
        <w:rPr>
          <w:spacing w:val="6"/>
        </w:rPr>
        <w:t xml:space="preserve">6(g) </w:t>
      </w:r>
      <w:r w:rsidRPr="00C65924">
        <w:rPr>
          <w:spacing w:val="6"/>
          <w:u w:val="single"/>
        </w:rPr>
        <w:t>Burden Statement</w:t>
      </w:r>
    </w:p>
    <w:p w:rsidR="004C72D6" w:rsidRPr="005379F3" w:rsidRDefault="004C72D6" w:rsidP="004C72D6">
      <w:pPr>
        <w:pStyle w:val="Style5"/>
        <w:adjustRightInd/>
        <w:rPr>
          <w:spacing w:val="6"/>
        </w:rPr>
      </w:pPr>
    </w:p>
    <w:p w:rsidR="004C72D6" w:rsidRPr="0064573A" w:rsidRDefault="004C72D6" w:rsidP="004C72D6">
      <w:pPr>
        <w:pStyle w:val="Style6"/>
        <w:jc w:val="left"/>
        <w:rPr>
          <w:spacing w:val="6"/>
        </w:rPr>
      </w:pPr>
      <w:r>
        <w:tab/>
      </w:r>
      <w:r w:rsidRPr="0064573A">
        <w:t xml:space="preserve">The table in Section 6(e) presents the total estimated burden for the </w:t>
      </w:r>
      <w:r w:rsidR="00245DDF">
        <w:t>final</w:t>
      </w:r>
      <w:r w:rsidR="00CA172C">
        <w:t xml:space="preserve"> rule</w:t>
      </w:r>
      <w:r w:rsidRPr="0064573A">
        <w:t xml:space="preserve">: approximately </w:t>
      </w:r>
      <w:r w:rsidR="00395E16">
        <w:t>5,</w:t>
      </w:r>
      <w:r w:rsidR="00C25C5A">
        <w:t>667</w:t>
      </w:r>
      <w:r w:rsidR="00CA172C">
        <w:t xml:space="preserve"> </w:t>
      </w:r>
      <w:r w:rsidR="00395E16">
        <w:t>additional</w:t>
      </w:r>
      <w:r w:rsidRPr="00CA172C">
        <w:t xml:space="preserve"> hours per year, with total annual capitalized and O&amp;M costs estimated at </w:t>
      </w:r>
      <w:r w:rsidR="009450BD" w:rsidRPr="009450BD">
        <w:rPr>
          <w:bCs/>
        </w:rPr>
        <w:t>$1,3</w:t>
      </w:r>
      <w:r w:rsidR="00C25C5A">
        <w:rPr>
          <w:bCs/>
        </w:rPr>
        <w:t>99</w:t>
      </w:r>
      <w:r w:rsidR="009450BD" w:rsidRPr="009450BD">
        <w:rPr>
          <w:bCs/>
        </w:rPr>
        <w:t>,</w:t>
      </w:r>
      <w:r w:rsidR="00C25C5A">
        <w:rPr>
          <w:bCs/>
        </w:rPr>
        <w:t>632</w:t>
      </w:r>
      <w:r w:rsidRPr="00CA172C">
        <w:t>.</w:t>
      </w:r>
      <w:r w:rsidRPr="0064573A">
        <w:t xml:space="preserve"> </w:t>
      </w:r>
      <w:r>
        <w:t xml:space="preserve"> These estimates represent the high end of a high-low range that was used for many of the cost elements. </w:t>
      </w:r>
      <w:r w:rsidRPr="0064573A">
        <w:rPr>
          <w:spacing w:val="6"/>
        </w:rPr>
        <w:t>The annual costs and hours for information collection activities by a given manufacturer under any of the options in this rule depend upon manufacturer-specific variables, such as the number of different test groups</w:t>
      </w:r>
      <w:r>
        <w:rPr>
          <w:spacing w:val="6"/>
        </w:rPr>
        <w:t>,</w:t>
      </w:r>
      <w:r w:rsidRPr="0064573A">
        <w:rPr>
          <w:spacing w:val="6"/>
        </w:rPr>
        <w:t xml:space="preserve"> the number of vehicles tested</w:t>
      </w:r>
      <w:r>
        <w:rPr>
          <w:spacing w:val="6"/>
        </w:rPr>
        <w:t>, the number of new N</w:t>
      </w:r>
      <w:r w:rsidRPr="00D73433">
        <w:rPr>
          <w:spacing w:val="6"/>
          <w:vertAlign w:val="subscript"/>
        </w:rPr>
        <w:t>2</w:t>
      </w:r>
      <w:r>
        <w:rPr>
          <w:spacing w:val="6"/>
        </w:rPr>
        <w:t>O analyzers needed</w:t>
      </w:r>
      <w:r w:rsidR="0067709A">
        <w:rPr>
          <w:spacing w:val="6"/>
        </w:rPr>
        <w:t>, the credit options chosen if any,</w:t>
      </w:r>
      <w:r>
        <w:rPr>
          <w:spacing w:val="6"/>
        </w:rPr>
        <w:t xml:space="preserve"> and the cost of information system upgrades</w:t>
      </w:r>
      <w:r w:rsidRPr="0064573A">
        <w:rPr>
          <w:spacing w:val="6"/>
        </w:rPr>
        <w:t xml:space="preserve">. </w:t>
      </w:r>
      <w:r>
        <w:rPr>
          <w:spacing w:val="6"/>
        </w:rPr>
        <w:t xml:space="preserve"> </w:t>
      </w:r>
      <w:r w:rsidRPr="0064573A">
        <w:rPr>
          <w:spacing w:val="6"/>
        </w:rPr>
        <w:t xml:space="preserve">The estimated number of likely respondent manufacturers is </w:t>
      </w:r>
      <w:r w:rsidR="00395E16">
        <w:rPr>
          <w:spacing w:val="6"/>
        </w:rPr>
        <w:t>33</w:t>
      </w:r>
      <w:r w:rsidRPr="0064573A">
        <w:rPr>
          <w:spacing w:val="6"/>
        </w:rPr>
        <w:t xml:space="preserve">. </w:t>
      </w:r>
      <w:r>
        <w:rPr>
          <w:spacing w:val="6"/>
        </w:rPr>
        <w:t xml:space="preserve"> </w:t>
      </w:r>
      <w:r w:rsidRPr="0064573A">
        <w:rPr>
          <w:spacing w:val="6"/>
        </w:rPr>
        <w:t xml:space="preserve">The responses will be submitted annually </w:t>
      </w:r>
      <w:r>
        <w:rPr>
          <w:spacing w:val="6"/>
        </w:rPr>
        <w:t xml:space="preserve">and occasionally </w:t>
      </w:r>
      <w:r w:rsidRPr="0064573A">
        <w:rPr>
          <w:spacing w:val="6"/>
        </w:rPr>
        <w:t xml:space="preserve">as a part of the existing EPA certification </w:t>
      </w:r>
      <w:r>
        <w:rPr>
          <w:spacing w:val="6"/>
        </w:rPr>
        <w:t>and IUVP programs</w:t>
      </w:r>
      <w:r w:rsidRPr="0064573A">
        <w:rPr>
          <w:spacing w:val="6"/>
        </w:rPr>
        <w:t xml:space="preserve">.  </w:t>
      </w:r>
    </w:p>
    <w:p w:rsidR="004C72D6" w:rsidRPr="005379F3" w:rsidRDefault="004C72D6" w:rsidP="004C72D6">
      <w:pPr>
        <w:pStyle w:val="Style6"/>
        <w:jc w:val="left"/>
        <w:rPr>
          <w:spacing w:val="6"/>
        </w:rPr>
      </w:pPr>
    </w:p>
    <w:p w:rsidR="004C72D6" w:rsidRDefault="004C72D6" w:rsidP="004C72D6">
      <w:pPr>
        <w:pStyle w:val="Style6"/>
        <w:jc w:val="left"/>
        <w:rPr>
          <w:spacing w:val="6"/>
        </w:rPr>
      </w:pPr>
      <w:r>
        <w:rPr>
          <w:spacing w:val="6"/>
        </w:rPr>
        <w:tab/>
      </w:r>
      <w:r w:rsidRPr="00E4121A">
        <w:rPr>
          <w:spacing w:val="6"/>
        </w:rPr>
        <w:t xml:space="preserve">Burden means the total time, effort, or financial resources expended by persons to generate, maintain, retain, or disclose or provide information to or for a Federal agency. </w:t>
      </w:r>
      <w:r>
        <w:rPr>
          <w:spacing w:val="6"/>
        </w:rPr>
        <w:t xml:space="preserve"> </w:t>
      </w:r>
      <w:r w:rsidRPr="00E4121A">
        <w:rPr>
          <w:spacing w:val="6"/>
        </w:rP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r>
        <w:rPr>
          <w:spacing w:val="6"/>
        </w:rPr>
        <w:t xml:space="preserve"> </w:t>
      </w:r>
      <w:r w:rsidRPr="00E4121A">
        <w:rPr>
          <w:spacing w:val="6"/>
        </w:rPr>
        <w:t xml:space="preserve">An agency may not conduct or sponsor, and a person is not required to respond to, a collection of information unless it displays a currently valid OMB control number. </w:t>
      </w:r>
      <w:r>
        <w:rPr>
          <w:spacing w:val="6"/>
        </w:rPr>
        <w:t xml:space="preserve"> </w:t>
      </w:r>
      <w:r w:rsidRPr="00E4121A">
        <w:rPr>
          <w:spacing w:val="6"/>
        </w:rPr>
        <w:t>The OMB control numbers for EPA’s regulations are listed in 40 CFR Part 9</w:t>
      </w:r>
      <w:r>
        <w:rPr>
          <w:spacing w:val="6"/>
        </w:rPr>
        <w:t>.</w:t>
      </w:r>
    </w:p>
    <w:p w:rsidR="008F2C4C" w:rsidRDefault="008F2C4C"/>
    <w:p w:rsidR="00DD6B04" w:rsidRDefault="00516959" w:rsidP="00DD6B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spacing w:val="6"/>
        </w:rPr>
        <w:tab/>
      </w:r>
    </w:p>
    <w:p w:rsidR="004C72D6" w:rsidRDefault="004C72D6" w:rsidP="004C72D6">
      <w:pPr>
        <w:pStyle w:val="Style6"/>
        <w:jc w:val="left"/>
        <w:rPr>
          <w:spacing w:val="6"/>
        </w:rPr>
      </w:pPr>
    </w:p>
    <w:p w:rsidR="004C72D6" w:rsidRDefault="004C72D6"/>
    <w:sectPr w:rsidR="004C72D6" w:rsidSect="007C4A52">
      <w:footerReference w:type="even" r:id="rId14"/>
      <w:footerReference w:type="default" r:id="rId15"/>
      <w:pgSz w:w="12240" w:h="15840"/>
      <w:pgMar w:top="1440" w:right="180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8D0" w:rsidRDefault="006168D0">
      <w:r>
        <w:separator/>
      </w:r>
    </w:p>
  </w:endnote>
  <w:endnote w:type="continuationSeparator" w:id="0">
    <w:p w:rsidR="006168D0" w:rsidRDefault="006168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643" w:rsidRDefault="00D86EF5" w:rsidP="009F7CD6">
    <w:pPr>
      <w:pStyle w:val="Footer"/>
      <w:framePr w:wrap="around" w:vAnchor="text" w:hAnchor="margin" w:xAlign="center" w:y="1"/>
      <w:rPr>
        <w:rStyle w:val="PageNumber"/>
      </w:rPr>
    </w:pPr>
    <w:r>
      <w:rPr>
        <w:rStyle w:val="PageNumber"/>
      </w:rPr>
      <w:fldChar w:fldCharType="begin"/>
    </w:r>
    <w:r w:rsidR="00890643">
      <w:rPr>
        <w:rStyle w:val="PageNumber"/>
      </w:rPr>
      <w:instrText xml:space="preserve">PAGE  </w:instrText>
    </w:r>
    <w:r>
      <w:rPr>
        <w:rStyle w:val="PageNumber"/>
      </w:rPr>
      <w:fldChar w:fldCharType="end"/>
    </w:r>
  </w:p>
  <w:p w:rsidR="00890643" w:rsidRDefault="008906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643" w:rsidRDefault="00D86EF5" w:rsidP="009F7CD6">
    <w:pPr>
      <w:pStyle w:val="Footer"/>
      <w:framePr w:wrap="around" w:vAnchor="text" w:hAnchor="margin" w:xAlign="center" w:y="1"/>
      <w:rPr>
        <w:rStyle w:val="PageNumber"/>
      </w:rPr>
    </w:pPr>
    <w:r>
      <w:rPr>
        <w:rStyle w:val="PageNumber"/>
      </w:rPr>
      <w:fldChar w:fldCharType="begin"/>
    </w:r>
    <w:r w:rsidR="00890643">
      <w:rPr>
        <w:rStyle w:val="PageNumber"/>
      </w:rPr>
      <w:instrText xml:space="preserve">PAGE  </w:instrText>
    </w:r>
    <w:r>
      <w:rPr>
        <w:rStyle w:val="PageNumber"/>
      </w:rPr>
      <w:fldChar w:fldCharType="separate"/>
    </w:r>
    <w:r w:rsidR="00890643">
      <w:rPr>
        <w:rStyle w:val="PageNumber"/>
        <w:noProof/>
      </w:rPr>
      <w:t>2</w:t>
    </w:r>
    <w:r>
      <w:rPr>
        <w:rStyle w:val="PageNumber"/>
      </w:rPr>
      <w:fldChar w:fldCharType="end"/>
    </w:r>
  </w:p>
  <w:p w:rsidR="00890643" w:rsidRDefault="008906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643" w:rsidRDefault="0089064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643" w:rsidRDefault="00D86EF5" w:rsidP="0074523E">
    <w:pPr>
      <w:pStyle w:val="Footer"/>
      <w:framePr w:wrap="around" w:vAnchor="text" w:hAnchor="margin" w:xAlign="center" w:y="1"/>
      <w:rPr>
        <w:rStyle w:val="PageNumber"/>
      </w:rPr>
    </w:pPr>
    <w:r>
      <w:rPr>
        <w:rStyle w:val="PageNumber"/>
      </w:rPr>
      <w:fldChar w:fldCharType="begin"/>
    </w:r>
    <w:r w:rsidR="00890643">
      <w:rPr>
        <w:rStyle w:val="PageNumber"/>
      </w:rPr>
      <w:instrText xml:space="preserve">PAGE  </w:instrText>
    </w:r>
    <w:r>
      <w:rPr>
        <w:rStyle w:val="PageNumber"/>
      </w:rPr>
      <w:fldChar w:fldCharType="end"/>
    </w:r>
  </w:p>
  <w:p w:rsidR="00890643" w:rsidRDefault="0089064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643" w:rsidRDefault="00D86EF5" w:rsidP="0074523E">
    <w:pPr>
      <w:pStyle w:val="Footer"/>
      <w:framePr w:wrap="around" w:vAnchor="text" w:hAnchor="margin" w:xAlign="center" w:y="1"/>
      <w:rPr>
        <w:rStyle w:val="PageNumber"/>
      </w:rPr>
    </w:pPr>
    <w:r>
      <w:rPr>
        <w:rStyle w:val="PageNumber"/>
      </w:rPr>
      <w:fldChar w:fldCharType="begin"/>
    </w:r>
    <w:r w:rsidR="00890643">
      <w:rPr>
        <w:rStyle w:val="PageNumber"/>
      </w:rPr>
      <w:instrText xml:space="preserve">PAGE  </w:instrText>
    </w:r>
    <w:r>
      <w:rPr>
        <w:rStyle w:val="PageNumber"/>
      </w:rPr>
      <w:fldChar w:fldCharType="separate"/>
    </w:r>
    <w:r w:rsidR="006E10AA">
      <w:rPr>
        <w:rStyle w:val="PageNumber"/>
        <w:noProof/>
      </w:rPr>
      <w:t>25</w:t>
    </w:r>
    <w:r>
      <w:rPr>
        <w:rStyle w:val="PageNumber"/>
      </w:rPr>
      <w:fldChar w:fldCharType="end"/>
    </w:r>
  </w:p>
  <w:p w:rsidR="00890643" w:rsidRDefault="008906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8D0" w:rsidRDefault="006168D0">
      <w:r>
        <w:separator/>
      </w:r>
    </w:p>
  </w:footnote>
  <w:footnote w:type="continuationSeparator" w:id="0">
    <w:p w:rsidR="006168D0" w:rsidRDefault="006168D0">
      <w:r>
        <w:continuationSeparator/>
      </w:r>
    </w:p>
  </w:footnote>
  <w:footnote w:id="1">
    <w:p w:rsidR="00890643" w:rsidRDefault="00890643">
      <w:pPr>
        <w:pStyle w:val="FootnoteText"/>
      </w:pPr>
      <w:r>
        <w:rPr>
          <w:rStyle w:val="FootnoteReference"/>
        </w:rPr>
        <w:footnoteRef/>
      </w:r>
      <w:r>
        <w:t xml:space="preserve"> </w:t>
      </w:r>
      <w:r>
        <w:rPr>
          <w:rFonts w:ascii="Courier New" w:hAnsi="Courier New" w:cs="Courier New"/>
        </w:rPr>
        <w:t>§</w:t>
      </w:r>
      <w:r>
        <w:t>86.1865-12(l</w:t>
      </w:r>
      <w:proofErr w:type="gramStart"/>
      <w:r>
        <w:t>)(</w:t>
      </w:r>
      <w:proofErr w:type="gramEnd"/>
      <w:r>
        <w:t>1)(iii) and US Code at 42 U.S.C. 7541 (i)(2).</w:t>
      </w:r>
    </w:p>
  </w:footnote>
  <w:footnote w:id="2">
    <w:p w:rsidR="00890643" w:rsidRDefault="00890643">
      <w:pPr>
        <w:pStyle w:val="FootnoteText"/>
      </w:pPr>
      <w:r>
        <w:rPr>
          <w:rStyle w:val="FootnoteReference"/>
        </w:rPr>
        <w:footnoteRef/>
      </w:r>
      <w:r>
        <w:t xml:space="preserve"> Start-up costs associated with familiarization are grouped with other start-up costs for purposes of this ICR because they are one-time non-recurring costs that are treated similar to capital costs rather than annual burdens.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643" w:rsidRDefault="008906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643" w:rsidRDefault="008906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643" w:rsidRDefault="008906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C2AC"/>
    <w:multiLevelType w:val="singleLevel"/>
    <w:tmpl w:val="50B0D42C"/>
    <w:lvl w:ilvl="0">
      <w:start w:val="1"/>
      <w:numFmt w:val="lowerRoman"/>
      <w:lvlText w:val="(%1)"/>
      <w:lvlJc w:val="left"/>
      <w:pPr>
        <w:tabs>
          <w:tab w:val="num" w:pos="288"/>
        </w:tabs>
      </w:pPr>
      <w:rPr>
        <w:color w:val="000000"/>
      </w:rPr>
    </w:lvl>
  </w:abstractNum>
  <w:abstractNum w:abstractNumId="1">
    <w:nsid w:val="081365AA"/>
    <w:multiLevelType w:val="hybridMultilevel"/>
    <w:tmpl w:val="F65A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E9F7"/>
    <w:multiLevelType w:val="singleLevel"/>
    <w:tmpl w:val="6E735C16"/>
    <w:lvl w:ilvl="0">
      <w:start w:val="1"/>
      <w:numFmt w:val="lowerLetter"/>
      <w:lvlText w:val="5(%1)"/>
      <w:lvlJc w:val="left"/>
      <w:pPr>
        <w:tabs>
          <w:tab w:val="num" w:pos="504"/>
        </w:tabs>
      </w:pPr>
      <w:rPr>
        <w:color w:val="000000"/>
      </w:rPr>
    </w:lvl>
  </w:abstractNum>
  <w:abstractNum w:abstractNumId="3">
    <w:nsid w:val="160DA15D"/>
    <w:multiLevelType w:val="singleLevel"/>
    <w:tmpl w:val="53359613"/>
    <w:lvl w:ilvl="0">
      <w:start w:val="1"/>
      <w:numFmt w:val="lowerLetter"/>
      <w:lvlText w:val="1(%1)"/>
      <w:lvlJc w:val="left"/>
      <w:pPr>
        <w:tabs>
          <w:tab w:val="num" w:pos="432"/>
        </w:tabs>
      </w:pPr>
      <w:rPr>
        <w:color w:val="000000"/>
      </w:rPr>
    </w:lvl>
  </w:abstractNum>
  <w:abstractNum w:abstractNumId="4">
    <w:nsid w:val="18406840"/>
    <w:multiLevelType w:val="singleLevel"/>
    <w:tmpl w:val="4006DC3E"/>
    <w:lvl w:ilvl="0">
      <w:start w:val="2"/>
      <w:numFmt w:val="lowerLetter"/>
      <w:lvlText w:val="3 (%1)"/>
      <w:lvlJc w:val="left"/>
      <w:pPr>
        <w:tabs>
          <w:tab w:val="num" w:pos="504"/>
        </w:tabs>
      </w:pPr>
      <w:rPr>
        <w:color w:val="000000"/>
      </w:rPr>
    </w:lvl>
  </w:abstractNum>
  <w:abstractNum w:abstractNumId="5">
    <w:nsid w:val="2A5945F5"/>
    <w:multiLevelType w:val="hybridMultilevel"/>
    <w:tmpl w:val="1C3A4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644F81"/>
    <w:multiLevelType w:val="hybridMultilevel"/>
    <w:tmpl w:val="96BADA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38BE7F64"/>
    <w:multiLevelType w:val="hybridMultilevel"/>
    <w:tmpl w:val="9796FD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3B666A4B"/>
    <w:multiLevelType w:val="hybridMultilevel"/>
    <w:tmpl w:val="02641BE0"/>
    <w:lvl w:ilvl="0" w:tplc="C770CC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118D8"/>
    <w:multiLevelType w:val="hybridMultilevel"/>
    <w:tmpl w:val="B1B01A64"/>
    <w:lvl w:ilvl="0" w:tplc="CC881F98">
      <w:start w:val="1"/>
      <w:numFmt w:val="decimal"/>
      <w:lvlText w:val="%1."/>
      <w:lvlJc w:val="left"/>
      <w:pPr>
        <w:tabs>
          <w:tab w:val="num" w:pos="720"/>
        </w:tabs>
        <w:ind w:left="720" w:hanging="360"/>
      </w:pPr>
    </w:lvl>
    <w:lvl w:ilvl="1" w:tplc="4BA2D5E4" w:tentative="1">
      <w:start w:val="1"/>
      <w:numFmt w:val="decimal"/>
      <w:lvlText w:val="%2."/>
      <w:lvlJc w:val="left"/>
      <w:pPr>
        <w:tabs>
          <w:tab w:val="num" w:pos="1440"/>
        </w:tabs>
        <w:ind w:left="1440" w:hanging="360"/>
      </w:pPr>
    </w:lvl>
    <w:lvl w:ilvl="2" w:tplc="11926232" w:tentative="1">
      <w:start w:val="1"/>
      <w:numFmt w:val="decimal"/>
      <w:lvlText w:val="%3."/>
      <w:lvlJc w:val="left"/>
      <w:pPr>
        <w:tabs>
          <w:tab w:val="num" w:pos="2160"/>
        </w:tabs>
        <w:ind w:left="2160" w:hanging="360"/>
      </w:pPr>
    </w:lvl>
    <w:lvl w:ilvl="3" w:tplc="A5C6322E" w:tentative="1">
      <w:start w:val="1"/>
      <w:numFmt w:val="decimal"/>
      <w:lvlText w:val="%4."/>
      <w:lvlJc w:val="left"/>
      <w:pPr>
        <w:tabs>
          <w:tab w:val="num" w:pos="2880"/>
        </w:tabs>
        <w:ind w:left="2880" w:hanging="360"/>
      </w:pPr>
    </w:lvl>
    <w:lvl w:ilvl="4" w:tplc="7C58A90C" w:tentative="1">
      <w:start w:val="1"/>
      <w:numFmt w:val="decimal"/>
      <w:lvlText w:val="%5."/>
      <w:lvlJc w:val="left"/>
      <w:pPr>
        <w:tabs>
          <w:tab w:val="num" w:pos="3600"/>
        </w:tabs>
        <w:ind w:left="3600" w:hanging="360"/>
      </w:pPr>
    </w:lvl>
    <w:lvl w:ilvl="5" w:tplc="AAB0B994" w:tentative="1">
      <w:start w:val="1"/>
      <w:numFmt w:val="decimal"/>
      <w:lvlText w:val="%6."/>
      <w:lvlJc w:val="left"/>
      <w:pPr>
        <w:tabs>
          <w:tab w:val="num" w:pos="4320"/>
        </w:tabs>
        <w:ind w:left="4320" w:hanging="360"/>
      </w:pPr>
    </w:lvl>
    <w:lvl w:ilvl="6" w:tplc="DA5E0B3E" w:tentative="1">
      <w:start w:val="1"/>
      <w:numFmt w:val="decimal"/>
      <w:lvlText w:val="%7."/>
      <w:lvlJc w:val="left"/>
      <w:pPr>
        <w:tabs>
          <w:tab w:val="num" w:pos="5040"/>
        </w:tabs>
        <w:ind w:left="5040" w:hanging="360"/>
      </w:pPr>
    </w:lvl>
    <w:lvl w:ilvl="7" w:tplc="851AB59C" w:tentative="1">
      <w:start w:val="1"/>
      <w:numFmt w:val="decimal"/>
      <w:lvlText w:val="%8."/>
      <w:lvlJc w:val="left"/>
      <w:pPr>
        <w:tabs>
          <w:tab w:val="num" w:pos="5760"/>
        </w:tabs>
        <w:ind w:left="5760" w:hanging="360"/>
      </w:pPr>
    </w:lvl>
    <w:lvl w:ilvl="8" w:tplc="A80E9E0A" w:tentative="1">
      <w:start w:val="1"/>
      <w:numFmt w:val="decimal"/>
      <w:lvlText w:val="%9."/>
      <w:lvlJc w:val="left"/>
      <w:pPr>
        <w:tabs>
          <w:tab w:val="num" w:pos="6480"/>
        </w:tabs>
        <w:ind w:left="6480" w:hanging="360"/>
      </w:pPr>
    </w:lvl>
  </w:abstractNum>
  <w:abstractNum w:abstractNumId="10">
    <w:nsid w:val="3F55907E"/>
    <w:multiLevelType w:val="singleLevel"/>
    <w:tmpl w:val="1F6E3D91"/>
    <w:lvl w:ilvl="0">
      <w:start w:val="3"/>
      <w:numFmt w:val="lowerLetter"/>
      <w:lvlText w:val="6(%1)"/>
      <w:lvlJc w:val="left"/>
      <w:pPr>
        <w:tabs>
          <w:tab w:val="num" w:pos="432"/>
        </w:tabs>
      </w:pPr>
      <w:rPr>
        <w:color w:val="000000"/>
      </w:rPr>
    </w:lvl>
  </w:abstractNum>
  <w:abstractNum w:abstractNumId="11">
    <w:nsid w:val="41757965"/>
    <w:multiLevelType w:val="hybridMultilevel"/>
    <w:tmpl w:val="EBB2D26E"/>
    <w:lvl w:ilvl="0" w:tplc="6464D3FA">
      <w:start w:val="1"/>
      <w:numFmt w:val="bullet"/>
      <w:lvlText w:val="•"/>
      <w:lvlJc w:val="left"/>
      <w:pPr>
        <w:tabs>
          <w:tab w:val="num" w:pos="720"/>
        </w:tabs>
        <w:ind w:left="720" w:hanging="360"/>
      </w:pPr>
      <w:rPr>
        <w:rFonts w:ascii="Arial" w:hAnsi="Arial" w:hint="default"/>
      </w:rPr>
    </w:lvl>
    <w:lvl w:ilvl="1" w:tplc="C16252F0">
      <w:start w:val="1096"/>
      <w:numFmt w:val="bullet"/>
      <w:lvlText w:val="–"/>
      <w:lvlJc w:val="left"/>
      <w:pPr>
        <w:tabs>
          <w:tab w:val="num" w:pos="1440"/>
        </w:tabs>
        <w:ind w:left="1440" w:hanging="360"/>
      </w:pPr>
      <w:rPr>
        <w:rFonts w:ascii="Arial" w:hAnsi="Arial" w:hint="default"/>
      </w:rPr>
    </w:lvl>
    <w:lvl w:ilvl="2" w:tplc="4E8EFE18" w:tentative="1">
      <w:start w:val="1"/>
      <w:numFmt w:val="bullet"/>
      <w:lvlText w:val="•"/>
      <w:lvlJc w:val="left"/>
      <w:pPr>
        <w:tabs>
          <w:tab w:val="num" w:pos="2160"/>
        </w:tabs>
        <w:ind w:left="2160" w:hanging="360"/>
      </w:pPr>
      <w:rPr>
        <w:rFonts w:ascii="Arial" w:hAnsi="Arial" w:hint="default"/>
      </w:rPr>
    </w:lvl>
    <w:lvl w:ilvl="3" w:tplc="77DE1A06" w:tentative="1">
      <w:start w:val="1"/>
      <w:numFmt w:val="bullet"/>
      <w:lvlText w:val="•"/>
      <w:lvlJc w:val="left"/>
      <w:pPr>
        <w:tabs>
          <w:tab w:val="num" w:pos="2880"/>
        </w:tabs>
        <w:ind w:left="2880" w:hanging="360"/>
      </w:pPr>
      <w:rPr>
        <w:rFonts w:ascii="Arial" w:hAnsi="Arial" w:hint="default"/>
      </w:rPr>
    </w:lvl>
    <w:lvl w:ilvl="4" w:tplc="D64CAB8C" w:tentative="1">
      <w:start w:val="1"/>
      <w:numFmt w:val="bullet"/>
      <w:lvlText w:val="•"/>
      <w:lvlJc w:val="left"/>
      <w:pPr>
        <w:tabs>
          <w:tab w:val="num" w:pos="3600"/>
        </w:tabs>
        <w:ind w:left="3600" w:hanging="360"/>
      </w:pPr>
      <w:rPr>
        <w:rFonts w:ascii="Arial" w:hAnsi="Arial" w:hint="default"/>
      </w:rPr>
    </w:lvl>
    <w:lvl w:ilvl="5" w:tplc="B998AB9C" w:tentative="1">
      <w:start w:val="1"/>
      <w:numFmt w:val="bullet"/>
      <w:lvlText w:val="•"/>
      <w:lvlJc w:val="left"/>
      <w:pPr>
        <w:tabs>
          <w:tab w:val="num" w:pos="4320"/>
        </w:tabs>
        <w:ind w:left="4320" w:hanging="360"/>
      </w:pPr>
      <w:rPr>
        <w:rFonts w:ascii="Arial" w:hAnsi="Arial" w:hint="default"/>
      </w:rPr>
    </w:lvl>
    <w:lvl w:ilvl="6" w:tplc="11F66D7A" w:tentative="1">
      <w:start w:val="1"/>
      <w:numFmt w:val="bullet"/>
      <w:lvlText w:val="•"/>
      <w:lvlJc w:val="left"/>
      <w:pPr>
        <w:tabs>
          <w:tab w:val="num" w:pos="5040"/>
        </w:tabs>
        <w:ind w:left="5040" w:hanging="360"/>
      </w:pPr>
      <w:rPr>
        <w:rFonts w:ascii="Arial" w:hAnsi="Arial" w:hint="default"/>
      </w:rPr>
    </w:lvl>
    <w:lvl w:ilvl="7" w:tplc="6C3CC5E2" w:tentative="1">
      <w:start w:val="1"/>
      <w:numFmt w:val="bullet"/>
      <w:lvlText w:val="•"/>
      <w:lvlJc w:val="left"/>
      <w:pPr>
        <w:tabs>
          <w:tab w:val="num" w:pos="5760"/>
        </w:tabs>
        <w:ind w:left="5760" w:hanging="360"/>
      </w:pPr>
      <w:rPr>
        <w:rFonts w:ascii="Arial" w:hAnsi="Arial" w:hint="default"/>
      </w:rPr>
    </w:lvl>
    <w:lvl w:ilvl="8" w:tplc="06E4C760" w:tentative="1">
      <w:start w:val="1"/>
      <w:numFmt w:val="bullet"/>
      <w:lvlText w:val="•"/>
      <w:lvlJc w:val="left"/>
      <w:pPr>
        <w:tabs>
          <w:tab w:val="num" w:pos="6480"/>
        </w:tabs>
        <w:ind w:left="6480" w:hanging="360"/>
      </w:pPr>
      <w:rPr>
        <w:rFonts w:ascii="Arial" w:hAnsi="Arial" w:hint="default"/>
      </w:rPr>
    </w:lvl>
  </w:abstractNum>
  <w:abstractNum w:abstractNumId="12">
    <w:nsid w:val="48D13898"/>
    <w:multiLevelType w:val="singleLevel"/>
    <w:tmpl w:val="29F8AFF3"/>
    <w:lvl w:ilvl="0">
      <w:start w:val="6"/>
      <w:numFmt w:val="lowerLetter"/>
      <w:lvlText w:val="6(%1)"/>
      <w:lvlJc w:val="left"/>
      <w:pPr>
        <w:tabs>
          <w:tab w:val="num" w:pos="432"/>
        </w:tabs>
      </w:pPr>
      <w:rPr>
        <w:color w:val="000000"/>
      </w:rPr>
    </w:lvl>
  </w:abstractNum>
  <w:abstractNum w:abstractNumId="13">
    <w:nsid w:val="48E9675F"/>
    <w:multiLevelType w:val="hybridMultilevel"/>
    <w:tmpl w:val="E11C9640"/>
    <w:lvl w:ilvl="0" w:tplc="9E023FEE">
      <w:start w:val="1"/>
      <w:numFmt w:val="bullet"/>
      <w:lvlText w:val="•"/>
      <w:lvlJc w:val="left"/>
      <w:pPr>
        <w:tabs>
          <w:tab w:val="num" w:pos="720"/>
        </w:tabs>
        <w:ind w:left="720" w:hanging="360"/>
      </w:pPr>
      <w:rPr>
        <w:rFonts w:ascii="Arial" w:hAnsi="Arial" w:hint="default"/>
      </w:rPr>
    </w:lvl>
    <w:lvl w:ilvl="1" w:tplc="19B6C53C">
      <w:start w:val="1355"/>
      <w:numFmt w:val="bullet"/>
      <w:lvlText w:val="–"/>
      <w:lvlJc w:val="left"/>
      <w:pPr>
        <w:tabs>
          <w:tab w:val="num" w:pos="1440"/>
        </w:tabs>
        <w:ind w:left="1440" w:hanging="360"/>
      </w:pPr>
      <w:rPr>
        <w:rFonts w:ascii="Arial" w:hAnsi="Arial" w:hint="default"/>
      </w:rPr>
    </w:lvl>
    <w:lvl w:ilvl="2" w:tplc="1C8803EC" w:tentative="1">
      <w:start w:val="1"/>
      <w:numFmt w:val="bullet"/>
      <w:lvlText w:val="•"/>
      <w:lvlJc w:val="left"/>
      <w:pPr>
        <w:tabs>
          <w:tab w:val="num" w:pos="2160"/>
        </w:tabs>
        <w:ind w:left="2160" w:hanging="360"/>
      </w:pPr>
      <w:rPr>
        <w:rFonts w:ascii="Arial" w:hAnsi="Arial" w:hint="default"/>
      </w:rPr>
    </w:lvl>
    <w:lvl w:ilvl="3" w:tplc="DE90CFC0" w:tentative="1">
      <w:start w:val="1"/>
      <w:numFmt w:val="bullet"/>
      <w:lvlText w:val="•"/>
      <w:lvlJc w:val="left"/>
      <w:pPr>
        <w:tabs>
          <w:tab w:val="num" w:pos="2880"/>
        </w:tabs>
        <w:ind w:left="2880" w:hanging="360"/>
      </w:pPr>
      <w:rPr>
        <w:rFonts w:ascii="Arial" w:hAnsi="Arial" w:hint="default"/>
      </w:rPr>
    </w:lvl>
    <w:lvl w:ilvl="4" w:tplc="9A7E7058" w:tentative="1">
      <w:start w:val="1"/>
      <w:numFmt w:val="bullet"/>
      <w:lvlText w:val="•"/>
      <w:lvlJc w:val="left"/>
      <w:pPr>
        <w:tabs>
          <w:tab w:val="num" w:pos="3600"/>
        </w:tabs>
        <w:ind w:left="3600" w:hanging="360"/>
      </w:pPr>
      <w:rPr>
        <w:rFonts w:ascii="Arial" w:hAnsi="Arial" w:hint="default"/>
      </w:rPr>
    </w:lvl>
    <w:lvl w:ilvl="5" w:tplc="3FD2E926" w:tentative="1">
      <w:start w:val="1"/>
      <w:numFmt w:val="bullet"/>
      <w:lvlText w:val="•"/>
      <w:lvlJc w:val="left"/>
      <w:pPr>
        <w:tabs>
          <w:tab w:val="num" w:pos="4320"/>
        </w:tabs>
        <w:ind w:left="4320" w:hanging="360"/>
      </w:pPr>
      <w:rPr>
        <w:rFonts w:ascii="Arial" w:hAnsi="Arial" w:hint="default"/>
      </w:rPr>
    </w:lvl>
    <w:lvl w:ilvl="6" w:tplc="0CFEEF2A" w:tentative="1">
      <w:start w:val="1"/>
      <w:numFmt w:val="bullet"/>
      <w:lvlText w:val="•"/>
      <w:lvlJc w:val="left"/>
      <w:pPr>
        <w:tabs>
          <w:tab w:val="num" w:pos="5040"/>
        </w:tabs>
        <w:ind w:left="5040" w:hanging="360"/>
      </w:pPr>
      <w:rPr>
        <w:rFonts w:ascii="Arial" w:hAnsi="Arial" w:hint="default"/>
      </w:rPr>
    </w:lvl>
    <w:lvl w:ilvl="7" w:tplc="D632B616" w:tentative="1">
      <w:start w:val="1"/>
      <w:numFmt w:val="bullet"/>
      <w:lvlText w:val="•"/>
      <w:lvlJc w:val="left"/>
      <w:pPr>
        <w:tabs>
          <w:tab w:val="num" w:pos="5760"/>
        </w:tabs>
        <w:ind w:left="5760" w:hanging="360"/>
      </w:pPr>
      <w:rPr>
        <w:rFonts w:ascii="Arial" w:hAnsi="Arial" w:hint="default"/>
      </w:rPr>
    </w:lvl>
    <w:lvl w:ilvl="8" w:tplc="0B3C4CCC" w:tentative="1">
      <w:start w:val="1"/>
      <w:numFmt w:val="bullet"/>
      <w:lvlText w:val="•"/>
      <w:lvlJc w:val="left"/>
      <w:pPr>
        <w:tabs>
          <w:tab w:val="num" w:pos="6480"/>
        </w:tabs>
        <w:ind w:left="6480" w:hanging="360"/>
      </w:pPr>
      <w:rPr>
        <w:rFonts w:ascii="Arial" w:hAnsi="Arial" w:hint="default"/>
      </w:rPr>
    </w:lvl>
  </w:abstractNum>
  <w:abstractNum w:abstractNumId="14">
    <w:nsid w:val="49F61E50"/>
    <w:multiLevelType w:val="hybridMultilevel"/>
    <w:tmpl w:val="20F604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57867685"/>
    <w:multiLevelType w:val="hybridMultilevel"/>
    <w:tmpl w:val="5976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6555B3"/>
    <w:multiLevelType w:val="singleLevel"/>
    <w:tmpl w:val="5611B310"/>
    <w:lvl w:ilvl="0">
      <w:start w:val="3"/>
      <w:numFmt w:val="lowerLetter"/>
      <w:lvlText w:val="5(%1)"/>
      <w:lvlJc w:val="left"/>
      <w:pPr>
        <w:tabs>
          <w:tab w:val="num" w:pos="432"/>
        </w:tabs>
      </w:pPr>
      <w:rPr>
        <w:color w:val="000000"/>
      </w:rPr>
    </w:lvl>
  </w:abstractNum>
  <w:abstractNum w:abstractNumId="17">
    <w:nsid w:val="62814A27"/>
    <w:multiLevelType w:val="hybridMultilevel"/>
    <w:tmpl w:val="EAE6262A"/>
    <w:lvl w:ilvl="0" w:tplc="6346DDBC">
      <w:start w:val="1"/>
      <w:numFmt w:val="bullet"/>
      <w:lvlText w:val="•"/>
      <w:lvlJc w:val="left"/>
      <w:pPr>
        <w:tabs>
          <w:tab w:val="num" w:pos="720"/>
        </w:tabs>
        <w:ind w:left="720" w:hanging="360"/>
      </w:pPr>
      <w:rPr>
        <w:rFonts w:ascii="Arial" w:hAnsi="Arial" w:hint="default"/>
      </w:rPr>
    </w:lvl>
    <w:lvl w:ilvl="1" w:tplc="F05A56E4" w:tentative="1">
      <w:start w:val="1"/>
      <w:numFmt w:val="bullet"/>
      <w:lvlText w:val="•"/>
      <w:lvlJc w:val="left"/>
      <w:pPr>
        <w:tabs>
          <w:tab w:val="num" w:pos="1440"/>
        </w:tabs>
        <w:ind w:left="1440" w:hanging="360"/>
      </w:pPr>
      <w:rPr>
        <w:rFonts w:ascii="Arial" w:hAnsi="Arial" w:hint="default"/>
      </w:rPr>
    </w:lvl>
    <w:lvl w:ilvl="2" w:tplc="F49A6C46" w:tentative="1">
      <w:start w:val="1"/>
      <w:numFmt w:val="bullet"/>
      <w:lvlText w:val="•"/>
      <w:lvlJc w:val="left"/>
      <w:pPr>
        <w:tabs>
          <w:tab w:val="num" w:pos="2160"/>
        </w:tabs>
        <w:ind w:left="2160" w:hanging="360"/>
      </w:pPr>
      <w:rPr>
        <w:rFonts w:ascii="Arial" w:hAnsi="Arial" w:hint="default"/>
      </w:rPr>
    </w:lvl>
    <w:lvl w:ilvl="3" w:tplc="5016D7DC" w:tentative="1">
      <w:start w:val="1"/>
      <w:numFmt w:val="bullet"/>
      <w:lvlText w:val="•"/>
      <w:lvlJc w:val="left"/>
      <w:pPr>
        <w:tabs>
          <w:tab w:val="num" w:pos="2880"/>
        </w:tabs>
        <w:ind w:left="2880" w:hanging="360"/>
      </w:pPr>
      <w:rPr>
        <w:rFonts w:ascii="Arial" w:hAnsi="Arial" w:hint="default"/>
      </w:rPr>
    </w:lvl>
    <w:lvl w:ilvl="4" w:tplc="933A958C" w:tentative="1">
      <w:start w:val="1"/>
      <w:numFmt w:val="bullet"/>
      <w:lvlText w:val="•"/>
      <w:lvlJc w:val="left"/>
      <w:pPr>
        <w:tabs>
          <w:tab w:val="num" w:pos="3600"/>
        </w:tabs>
        <w:ind w:left="3600" w:hanging="360"/>
      </w:pPr>
      <w:rPr>
        <w:rFonts w:ascii="Arial" w:hAnsi="Arial" w:hint="default"/>
      </w:rPr>
    </w:lvl>
    <w:lvl w:ilvl="5" w:tplc="8BCCB032" w:tentative="1">
      <w:start w:val="1"/>
      <w:numFmt w:val="bullet"/>
      <w:lvlText w:val="•"/>
      <w:lvlJc w:val="left"/>
      <w:pPr>
        <w:tabs>
          <w:tab w:val="num" w:pos="4320"/>
        </w:tabs>
        <w:ind w:left="4320" w:hanging="360"/>
      </w:pPr>
      <w:rPr>
        <w:rFonts w:ascii="Arial" w:hAnsi="Arial" w:hint="default"/>
      </w:rPr>
    </w:lvl>
    <w:lvl w:ilvl="6" w:tplc="F754ECD0" w:tentative="1">
      <w:start w:val="1"/>
      <w:numFmt w:val="bullet"/>
      <w:lvlText w:val="•"/>
      <w:lvlJc w:val="left"/>
      <w:pPr>
        <w:tabs>
          <w:tab w:val="num" w:pos="5040"/>
        </w:tabs>
        <w:ind w:left="5040" w:hanging="360"/>
      </w:pPr>
      <w:rPr>
        <w:rFonts w:ascii="Arial" w:hAnsi="Arial" w:hint="default"/>
      </w:rPr>
    </w:lvl>
    <w:lvl w:ilvl="7" w:tplc="9E7A3C7E" w:tentative="1">
      <w:start w:val="1"/>
      <w:numFmt w:val="bullet"/>
      <w:lvlText w:val="•"/>
      <w:lvlJc w:val="left"/>
      <w:pPr>
        <w:tabs>
          <w:tab w:val="num" w:pos="5760"/>
        </w:tabs>
        <w:ind w:left="5760" w:hanging="360"/>
      </w:pPr>
      <w:rPr>
        <w:rFonts w:ascii="Arial" w:hAnsi="Arial" w:hint="default"/>
      </w:rPr>
    </w:lvl>
    <w:lvl w:ilvl="8" w:tplc="3DB82762" w:tentative="1">
      <w:start w:val="1"/>
      <w:numFmt w:val="bullet"/>
      <w:lvlText w:val="•"/>
      <w:lvlJc w:val="left"/>
      <w:pPr>
        <w:tabs>
          <w:tab w:val="num" w:pos="6480"/>
        </w:tabs>
        <w:ind w:left="6480" w:hanging="360"/>
      </w:pPr>
      <w:rPr>
        <w:rFonts w:ascii="Arial" w:hAnsi="Arial" w:hint="default"/>
      </w:rPr>
    </w:lvl>
  </w:abstractNum>
  <w:abstractNum w:abstractNumId="18">
    <w:nsid w:val="6B2F3071"/>
    <w:multiLevelType w:val="hybridMultilevel"/>
    <w:tmpl w:val="1D54727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7B194D6A"/>
    <w:multiLevelType w:val="hybridMultilevel"/>
    <w:tmpl w:val="31607D5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4"/>
  </w:num>
  <w:num w:numId="3">
    <w:abstractNumId w:val="2"/>
  </w:num>
  <w:num w:numId="4">
    <w:abstractNumId w:val="16"/>
  </w:num>
  <w:num w:numId="5">
    <w:abstractNumId w:val="0"/>
  </w:num>
  <w:num w:numId="6">
    <w:abstractNumId w:val="10"/>
  </w:num>
  <w:num w:numId="7">
    <w:abstractNumId w:val="12"/>
  </w:num>
  <w:num w:numId="8">
    <w:abstractNumId w:val="8"/>
  </w:num>
  <w:num w:numId="9">
    <w:abstractNumId w:val="6"/>
  </w:num>
  <w:num w:numId="10">
    <w:abstractNumId w:val="7"/>
  </w:num>
  <w:num w:numId="11">
    <w:abstractNumId w:val="18"/>
  </w:num>
  <w:num w:numId="12">
    <w:abstractNumId w:val="5"/>
  </w:num>
  <w:num w:numId="13">
    <w:abstractNumId w:val="19"/>
  </w:num>
  <w:num w:numId="14">
    <w:abstractNumId w:val="14"/>
  </w:num>
  <w:num w:numId="15">
    <w:abstractNumId w:val="17"/>
  </w:num>
  <w:num w:numId="16">
    <w:abstractNumId w:val="11"/>
  </w:num>
  <w:num w:numId="17">
    <w:abstractNumId w:val="13"/>
  </w:num>
  <w:num w:numId="18">
    <w:abstractNumId w:val="1"/>
  </w:num>
  <w:num w:numId="19">
    <w:abstractNumId w:val="15"/>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31746"/>
  </w:hdrShapeDefaults>
  <w:footnotePr>
    <w:footnote w:id="-1"/>
    <w:footnote w:id="0"/>
  </w:footnotePr>
  <w:endnotePr>
    <w:endnote w:id="-1"/>
    <w:endnote w:id="0"/>
  </w:endnotePr>
  <w:compat/>
  <w:rsids>
    <w:rsidRoot w:val="004C72D6"/>
    <w:rsid w:val="00004D1A"/>
    <w:rsid w:val="000062EF"/>
    <w:rsid w:val="00007B0F"/>
    <w:rsid w:val="00012799"/>
    <w:rsid w:val="000266EC"/>
    <w:rsid w:val="000329BF"/>
    <w:rsid w:val="00034304"/>
    <w:rsid w:val="00042A36"/>
    <w:rsid w:val="00044D5B"/>
    <w:rsid w:val="00050693"/>
    <w:rsid w:val="000575CD"/>
    <w:rsid w:val="0008162A"/>
    <w:rsid w:val="000872DA"/>
    <w:rsid w:val="00095816"/>
    <w:rsid w:val="00097D9D"/>
    <w:rsid w:val="000A242D"/>
    <w:rsid w:val="000A76E7"/>
    <w:rsid w:val="000B311E"/>
    <w:rsid w:val="000B472D"/>
    <w:rsid w:val="000B5B7A"/>
    <w:rsid w:val="000C1307"/>
    <w:rsid w:val="000C4A61"/>
    <w:rsid w:val="000D222C"/>
    <w:rsid w:val="000F239D"/>
    <w:rsid w:val="000F595E"/>
    <w:rsid w:val="000F6458"/>
    <w:rsid w:val="000F64D1"/>
    <w:rsid w:val="000F6B88"/>
    <w:rsid w:val="0011358D"/>
    <w:rsid w:val="001136D0"/>
    <w:rsid w:val="00116F92"/>
    <w:rsid w:val="001171FC"/>
    <w:rsid w:val="0012429C"/>
    <w:rsid w:val="00124826"/>
    <w:rsid w:val="00124983"/>
    <w:rsid w:val="001259DC"/>
    <w:rsid w:val="00125AAE"/>
    <w:rsid w:val="00127999"/>
    <w:rsid w:val="00127CDE"/>
    <w:rsid w:val="00140760"/>
    <w:rsid w:val="00140AB5"/>
    <w:rsid w:val="00142CF8"/>
    <w:rsid w:val="00145090"/>
    <w:rsid w:val="001450A7"/>
    <w:rsid w:val="001478D6"/>
    <w:rsid w:val="00147CB7"/>
    <w:rsid w:val="0015017B"/>
    <w:rsid w:val="00150FFC"/>
    <w:rsid w:val="00152B9B"/>
    <w:rsid w:val="0015381C"/>
    <w:rsid w:val="001634E1"/>
    <w:rsid w:val="001648B5"/>
    <w:rsid w:val="0017264A"/>
    <w:rsid w:val="00192960"/>
    <w:rsid w:val="001A2FB1"/>
    <w:rsid w:val="001B5507"/>
    <w:rsid w:val="001D3213"/>
    <w:rsid w:val="001F7A7A"/>
    <w:rsid w:val="0020317B"/>
    <w:rsid w:val="00203B63"/>
    <w:rsid w:val="0021271C"/>
    <w:rsid w:val="0021553E"/>
    <w:rsid w:val="0021580F"/>
    <w:rsid w:val="002206B9"/>
    <w:rsid w:val="002328AA"/>
    <w:rsid w:val="00240097"/>
    <w:rsid w:val="00240B29"/>
    <w:rsid w:val="0024225E"/>
    <w:rsid w:val="00242420"/>
    <w:rsid w:val="0024319C"/>
    <w:rsid w:val="00245C03"/>
    <w:rsid w:val="00245DDF"/>
    <w:rsid w:val="002554E3"/>
    <w:rsid w:val="00267615"/>
    <w:rsid w:val="00271E7B"/>
    <w:rsid w:val="00275574"/>
    <w:rsid w:val="00281EFF"/>
    <w:rsid w:val="0029277F"/>
    <w:rsid w:val="00297986"/>
    <w:rsid w:val="002A3929"/>
    <w:rsid w:val="002B02DB"/>
    <w:rsid w:val="002B14A8"/>
    <w:rsid w:val="002B1B7F"/>
    <w:rsid w:val="002B5208"/>
    <w:rsid w:val="002C72B8"/>
    <w:rsid w:val="002C7EA1"/>
    <w:rsid w:val="002D0122"/>
    <w:rsid w:val="002D0D9C"/>
    <w:rsid w:val="002D1009"/>
    <w:rsid w:val="002D1550"/>
    <w:rsid w:val="002D2F98"/>
    <w:rsid w:val="002E3B8C"/>
    <w:rsid w:val="002F4409"/>
    <w:rsid w:val="002F4656"/>
    <w:rsid w:val="002F74C3"/>
    <w:rsid w:val="002F7B90"/>
    <w:rsid w:val="003049B1"/>
    <w:rsid w:val="00310669"/>
    <w:rsid w:val="003119C6"/>
    <w:rsid w:val="003121A2"/>
    <w:rsid w:val="00315782"/>
    <w:rsid w:val="0032459D"/>
    <w:rsid w:val="00324D77"/>
    <w:rsid w:val="00330577"/>
    <w:rsid w:val="00334958"/>
    <w:rsid w:val="0034079F"/>
    <w:rsid w:val="00343CA3"/>
    <w:rsid w:val="00347229"/>
    <w:rsid w:val="00354466"/>
    <w:rsid w:val="00354620"/>
    <w:rsid w:val="00384455"/>
    <w:rsid w:val="003871F2"/>
    <w:rsid w:val="003941AA"/>
    <w:rsid w:val="00395E16"/>
    <w:rsid w:val="00396D75"/>
    <w:rsid w:val="00397EF9"/>
    <w:rsid w:val="003A05D3"/>
    <w:rsid w:val="003B2CBD"/>
    <w:rsid w:val="003C0382"/>
    <w:rsid w:val="003C1F97"/>
    <w:rsid w:val="003C2732"/>
    <w:rsid w:val="003C44BC"/>
    <w:rsid w:val="003C7B13"/>
    <w:rsid w:val="003D3621"/>
    <w:rsid w:val="003D3ED5"/>
    <w:rsid w:val="003D7ACA"/>
    <w:rsid w:val="003F5F45"/>
    <w:rsid w:val="00410B85"/>
    <w:rsid w:val="00416F5F"/>
    <w:rsid w:val="0042256F"/>
    <w:rsid w:val="00441BD8"/>
    <w:rsid w:val="0046022C"/>
    <w:rsid w:val="0046277C"/>
    <w:rsid w:val="00462D0D"/>
    <w:rsid w:val="00463792"/>
    <w:rsid w:val="00484666"/>
    <w:rsid w:val="00493BCA"/>
    <w:rsid w:val="00495CDE"/>
    <w:rsid w:val="00495D7E"/>
    <w:rsid w:val="004A10DE"/>
    <w:rsid w:val="004A150E"/>
    <w:rsid w:val="004A48B1"/>
    <w:rsid w:val="004A62AF"/>
    <w:rsid w:val="004A763B"/>
    <w:rsid w:val="004B26A2"/>
    <w:rsid w:val="004B7591"/>
    <w:rsid w:val="004C29CF"/>
    <w:rsid w:val="004C2F9C"/>
    <w:rsid w:val="004C72D6"/>
    <w:rsid w:val="004D25F0"/>
    <w:rsid w:val="004D7E21"/>
    <w:rsid w:val="004E3B5B"/>
    <w:rsid w:val="004E5ACF"/>
    <w:rsid w:val="004E7BC2"/>
    <w:rsid w:val="004F1737"/>
    <w:rsid w:val="004F69F4"/>
    <w:rsid w:val="004F7297"/>
    <w:rsid w:val="004F7E05"/>
    <w:rsid w:val="005001B8"/>
    <w:rsid w:val="00516959"/>
    <w:rsid w:val="0052577C"/>
    <w:rsid w:val="00525C88"/>
    <w:rsid w:val="00526F68"/>
    <w:rsid w:val="00533512"/>
    <w:rsid w:val="00541DBD"/>
    <w:rsid w:val="00545640"/>
    <w:rsid w:val="00550F2C"/>
    <w:rsid w:val="00551EA0"/>
    <w:rsid w:val="0055338C"/>
    <w:rsid w:val="00556649"/>
    <w:rsid w:val="00557A18"/>
    <w:rsid w:val="00560100"/>
    <w:rsid w:val="005671F7"/>
    <w:rsid w:val="00572BF8"/>
    <w:rsid w:val="00573157"/>
    <w:rsid w:val="005764DA"/>
    <w:rsid w:val="0059117B"/>
    <w:rsid w:val="00591743"/>
    <w:rsid w:val="005A208B"/>
    <w:rsid w:val="005A5FA2"/>
    <w:rsid w:val="005B3C76"/>
    <w:rsid w:val="005C31E7"/>
    <w:rsid w:val="005C700D"/>
    <w:rsid w:val="005D0455"/>
    <w:rsid w:val="005E137A"/>
    <w:rsid w:val="005E7B1A"/>
    <w:rsid w:val="005F2E12"/>
    <w:rsid w:val="005F4DFF"/>
    <w:rsid w:val="006013AD"/>
    <w:rsid w:val="00602053"/>
    <w:rsid w:val="00602765"/>
    <w:rsid w:val="00602A80"/>
    <w:rsid w:val="006168D0"/>
    <w:rsid w:val="006307F8"/>
    <w:rsid w:val="0063217A"/>
    <w:rsid w:val="006350D5"/>
    <w:rsid w:val="006569DC"/>
    <w:rsid w:val="006669B3"/>
    <w:rsid w:val="00671ACA"/>
    <w:rsid w:val="00673F69"/>
    <w:rsid w:val="0067539C"/>
    <w:rsid w:val="00675BB9"/>
    <w:rsid w:val="0067709A"/>
    <w:rsid w:val="00682FA0"/>
    <w:rsid w:val="006A26E1"/>
    <w:rsid w:val="006B1FF9"/>
    <w:rsid w:val="006B52BB"/>
    <w:rsid w:val="006C1ECE"/>
    <w:rsid w:val="006C2526"/>
    <w:rsid w:val="006E10AA"/>
    <w:rsid w:val="006E335B"/>
    <w:rsid w:val="006F617E"/>
    <w:rsid w:val="006F6B24"/>
    <w:rsid w:val="00701198"/>
    <w:rsid w:val="00704F0B"/>
    <w:rsid w:val="007055F9"/>
    <w:rsid w:val="00705C5F"/>
    <w:rsid w:val="00732E6B"/>
    <w:rsid w:val="00735161"/>
    <w:rsid w:val="0074523E"/>
    <w:rsid w:val="00770984"/>
    <w:rsid w:val="007716C4"/>
    <w:rsid w:val="0077297C"/>
    <w:rsid w:val="00775569"/>
    <w:rsid w:val="0078177E"/>
    <w:rsid w:val="007863F3"/>
    <w:rsid w:val="007A0CCC"/>
    <w:rsid w:val="007A76BA"/>
    <w:rsid w:val="007B0CF9"/>
    <w:rsid w:val="007C4A52"/>
    <w:rsid w:val="007D2C3E"/>
    <w:rsid w:val="007E39FA"/>
    <w:rsid w:val="007E47AE"/>
    <w:rsid w:val="008039DC"/>
    <w:rsid w:val="00811A60"/>
    <w:rsid w:val="00831270"/>
    <w:rsid w:val="008369F1"/>
    <w:rsid w:val="00844780"/>
    <w:rsid w:val="00850040"/>
    <w:rsid w:val="00855777"/>
    <w:rsid w:val="00857367"/>
    <w:rsid w:val="00870ECE"/>
    <w:rsid w:val="0087789D"/>
    <w:rsid w:val="008778BC"/>
    <w:rsid w:val="008826A8"/>
    <w:rsid w:val="00887D7F"/>
    <w:rsid w:val="00890643"/>
    <w:rsid w:val="00891F3A"/>
    <w:rsid w:val="008A1992"/>
    <w:rsid w:val="008A4417"/>
    <w:rsid w:val="008A4A49"/>
    <w:rsid w:val="008A4AB0"/>
    <w:rsid w:val="008A6070"/>
    <w:rsid w:val="008A77C7"/>
    <w:rsid w:val="008B3129"/>
    <w:rsid w:val="008B749A"/>
    <w:rsid w:val="008C6D62"/>
    <w:rsid w:val="008D35DB"/>
    <w:rsid w:val="008D3D4E"/>
    <w:rsid w:val="008E39B9"/>
    <w:rsid w:val="008F197E"/>
    <w:rsid w:val="008F2C4C"/>
    <w:rsid w:val="00904E6D"/>
    <w:rsid w:val="009073B9"/>
    <w:rsid w:val="00920709"/>
    <w:rsid w:val="009222D8"/>
    <w:rsid w:val="0093391B"/>
    <w:rsid w:val="00943D5F"/>
    <w:rsid w:val="009450BD"/>
    <w:rsid w:val="00951171"/>
    <w:rsid w:val="0095178E"/>
    <w:rsid w:val="0096209F"/>
    <w:rsid w:val="00963A36"/>
    <w:rsid w:val="00964D16"/>
    <w:rsid w:val="00971946"/>
    <w:rsid w:val="00982260"/>
    <w:rsid w:val="00986F2F"/>
    <w:rsid w:val="00987C19"/>
    <w:rsid w:val="00992D36"/>
    <w:rsid w:val="009A1108"/>
    <w:rsid w:val="009A5FB2"/>
    <w:rsid w:val="009B0FB0"/>
    <w:rsid w:val="009B6923"/>
    <w:rsid w:val="009C48E6"/>
    <w:rsid w:val="009D55C8"/>
    <w:rsid w:val="009E58B6"/>
    <w:rsid w:val="009F5B85"/>
    <w:rsid w:val="009F7CD6"/>
    <w:rsid w:val="00A22CE9"/>
    <w:rsid w:val="00A46579"/>
    <w:rsid w:val="00A53EBF"/>
    <w:rsid w:val="00A54135"/>
    <w:rsid w:val="00A54B61"/>
    <w:rsid w:val="00A562DD"/>
    <w:rsid w:val="00A6261B"/>
    <w:rsid w:val="00A6458C"/>
    <w:rsid w:val="00A67A96"/>
    <w:rsid w:val="00A70FD5"/>
    <w:rsid w:val="00A82DAF"/>
    <w:rsid w:val="00A861FE"/>
    <w:rsid w:val="00A86533"/>
    <w:rsid w:val="00A922DA"/>
    <w:rsid w:val="00A92FDD"/>
    <w:rsid w:val="00A940BC"/>
    <w:rsid w:val="00AA45E6"/>
    <w:rsid w:val="00AB5AEA"/>
    <w:rsid w:val="00AB6481"/>
    <w:rsid w:val="00AC41DE"/>
    <w:rsid w:val="00AD2BA2"/>
    <w:rsid w:val="00AD6023"/>
    <w:rsid w:val="00AE0198"/>
    <w:rsid w:val="00AE05D3"/>
    <w:rsid w:val="00AF2413"/>
    <w:rsid w:val="00AF358F"/>
    <w:rsid w:val="00AF4C2A"/>
    <w:rsid w:val="00AF595E"/>
    <w:rsid w:val="00AF5CC9"/>
    <w:rsid w:val="00B029C9"/>
    <w:rsid w:val="00B07B21"/>
    <w:rsid w:val="00B1591D"/>
    <w:rsid w:val="00B15992"/>
    <w:rsid w:val="00B170C8"/>
    <w:rsid w:val="00B20607"/>
    <w:rsid w:val="00B31E78"/>
    <w:rsid w:val="00B3387F"/>
    <w:rsid w:val="00B33B74"/>
    <w:rsid w:val="00B4453B"/>
    <w:rsid w:val="00B448A6"/>
    <w:rsid w:val="00B45234"/>
    <w:rsid w:val="00B5132A"/>
    <w:rsid w:val="00B70271"/>
    <w:rsid w:val="00B727B1"/>
    <w:rsid w:val="00B75366"/>
    <w:rsid w:val="00B83195"/>
    <w:rsid w:val="00B836C9"/>
    <w:rsid w:val="00B8555A"/>
    <w:rsid w:val="00B92332"/>
    <w:rsid w:val="00B95522"/>
    <w:rsid w:val="00B96917"/>
    <w:rsid w:val="00BA4F07"/>
    <w:rsid w:val="00BA53FA"/>
    <w:rsid w:val="00BA546C"/>
    <w:rsid w:val="00BB244A"/>
    <w:rsid w:val="00BB76E8"/>
    <w:rsid w:val="00BC0171"/>
    <w:rsid w:val="00BC1B74"/>
    <w:rsid w:val="00BD5F83"/>
    <w:rsid w:val="00BD73E8"/>
    <w:rsid w:val="00BE29A8"/>
    <w:rsid w:val="00BE700E"/>
    <w:rsid w:val="00BE7EF6"/>
    <w:rsid w:val="00BF10CC"/>
    <w:rsid w:val="00BF10E4"/>
    <w:rsid w:val="00BF2D75"/>
    <w:rsid w:val="00BF5844"/>
    <w:rsid w:val="00C16E50"/>
    <w:rsid w:val="00C25C5A"/>
    <w:rsid w:val="00C26C1E"/>
    <w:rsid w:val="00C34940"/>
    <w:rsid w:val="00C35E64"/>
    <w:rsid w:val="00C3672B"/>
    <w:rsid w:val="00C40668"/>
    <w:rsid w:val="00C41D36"/>
    <w:rsid w:val="00C44323"/>
    <w:rsid w:val="00C5321D"/>
    <w:rsid w:val="00C55924"/>
    <w:rsid w:val="00C61310"/>
    <w:rsid w:val="00C6223D"/>
    <w:rsid w:val="00C62A9B"/>
    <w:rsid w:val="00C67424"/>
    <w:rsid w:val="00C67AB5"/>
    <w:rsid w:val="00C71491"/>
    <w:rsid w:val="00C90442"/>
    <w:rsid w:val="00C91188"/>
    <w:rsid w:val="00C924B1"/>
    <w:rsid w:val="00C93335"/>
    <w:rsid w:val="00C93956"/>
    <w:rsid w:val="00C93DF5"/>
    <w:rsid w:val="00CA172C"/>
    <w:rsid w:val="00CB2EA2"/>
    <w:rsid w:val="00CB3EBE"/>
    <w:rsid w:val="00CB6510"/>
    <w:rsid w:val="00CD301C"/>
    <w:rsid w:val="00CD451E"/>
    <w:rsid w:val="00CE3E2A"/>
    <w:rsid w:val="00CE54C0"/>
    <w:rsid w:val="00CF18A8"/>
    <w:rsid w:val="00D14AEF"/>
    <w:rsid w:val="00D15850"/>
    <w:rsid w:val="00D17405"/>
    <w:rsid w:val="00D25479"/>
    <w:rsid w:val="00D333EC"/>
    <w:rsid w:val="00D37DD3"/>
    <w:rsid w:val="00D40DBA"/>
    <w:rsid w:val="00D45A96"/>
    <w:rsid w:val="00D47974"/>
    <w:rsid w:val="00D507D2"/>
    <w:rsid w:val="00D61C75"/>
    <w:rsid w:val="00D62CD1"/>
    <w:rsid w:val="00D66BE7"/>
    <w:rsid w:val="00D679AE"/>
    <w:rsid w:val="00D70F67"/>
    <w:rsid w:val="00D728F6"/>
    <w:rsid w:val="00D761A1"/>
    <w:rsid w:val="00D77A3E"/>
    <w:rsid w:val="00D813D3"/>
    <w:rsid w:val="00D815DE"/>
    <w:rsid w:val="00D8571E"/>
    <w:rsid w:val="00D86EF5"/>
    <w:rsid w:val="00D93052"/>
    <w:rsid w:val="00D93E3A"/>
    <w:rsid w:val="00D94660"/>
    <w:rsid w:val="00D97B2C"/>
    <w:rsid w:val="00DA5D61"/>
    <w:rsid w:val="00DB0D8C"/>
    <w:rsid w:val="00DB5CC0"/>
    <w:rsid w:val="00DC5666"/>
    <w:rsid w:val="00DD0FB4"/>
    <w:rsid w:val="00DD6B04"/>
    <w:rsid w:val="00DE11E4"/>
    <w:rsid w:val="00DE3E83"/>
    <w:rsid w:val="00DE4D62"/>
    <w:rsid w:val="00DE6846"/>
    <w:rsid w:val="00DE7568"/>
    <w:rsid w:val="00DF667F"/>
    <w:rsid w:val="00E0070E"/>
    <w:rsid w:val="00E03F14"/>
    <w:rsid w:val="00E158C6"/>
    <w:rsid w:val="00E16B3B"/>
    <w:rsid w:val="00E22E52"/>
    <w:rsid w:val="00E243E5"/>
    <w:rsid w:val="00E31490"/>
    <w:rsid w:val="00E3189C"/>
    <w:rsid w:val="00E35E80"/>
    <w:rsid w:val="00E448C3"/>
    <w:rsid w:val="00E56956"/>
    <w:rsid w:val="00E570C4"/>
    <w:rsid w:val="00E60569"/>
    <w:rsid w:val="00E62070"/>
    <w:rsid w:val="00E64AFE"/>
    <w:rsid w:val="00E71720"/>
    <w:rsid w:val="00E75E47"/>
    <w:rsid w:val="00E768B8"/>
    <w:rsid w:val="00E82D8C"/>
    <w:rsid w:val="00E96415"/>
    <w:rsid w:val="00E9779F"/>
    <w:rsid w:val="00EA2042"/>
    <w:rsid w:val="00EB201D"/>
    <w:rsid w:val="00EB77F4"/>
    <w:rsid w:val="00EC5F7A"/>
    <w:rsid w:val="00EC6CE4"/>
    <w:rsid w:val="00ED13FD"/>
    <w:rsid w:val="00ED3E2F"/>
    <w:rsid w:val="00ED614E"/>
    <w:rsid w:val="00EE215E"/>
    <w:rsid w:val="00EF49BE"/>
    <w:rsid w:val="00F03B9D"/>
    <w:rsid w:val="00F06776"/>
    <w:rsid w:val="00F1096A"/>
    <w:rsid w:val="00F10D5F"/>
    <w:rsid w:val="00F27059"/>
    <w:rsid w:val="00F27341"/>
    <w:rsid w:val="00F30380"/>
    <w:rsid w:val="00F345FA"/>
    <w:rsid w:val="00F406CD"/>
    <w:rsid w:val="00F40BD7"/>
    <w:rsid w:val="00F412C6"/>
    <w:rsid w:val="00F432AC"/>
    <w:rsid w:val="00F4485D"/>
    <w:rsid w:val="00F45F14"/>
    <w:rsid w:val="00F509BF"/>
    <w:rsid w:val="00F52C55"/>
    <w:rsid w:val="00F56F79"/>
    <w:rsid w:val="00F608BE"/>
    <w:rsid w:val="00F63AAC"/>
    <w:rsid w:val="00F815E4"/>
    <w:rsid w:val="00F83D26"/>
    <w:rsid w:val="00F878A6"/>
    <w:rsid w:val="00F96500"/>
    <w:rsid w:val="00FA519A"/>
    <w:rsid w:val="00FB4EF6"/>
    <w:rsid w:val="00FB7A27"/>
    <w:rsid w:val="00FC356E"/>
    <w:rsid w:val="00FD042B"/>
    <w:rsid w:val="00FD0946"/>
    <w:rsid w:val="00FD18E4"/>
    <w:rsid w:val="00FD3805"/>
    <w:rsid w:val="00FF425D"/>
    <w:rsid w:val="00FF5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2D6"/>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F83"/>
    <w:pPr>
      <w:tabs>
        <w:tab w:val="center" w:pos="4320"/>
        <w:tab w:val="right" w:pos="8640"/>
      </w:tabs>
    </w:pPr>
  </w:style>
  <w:style w:type="character" w:styleId="PageNumber">
    <w:name w:val="page number"/>
    <w:basedOn w:val="DefaultParagraphFont"/>
    <w:rsid w:val="00BD5F83"/>
  </w:style>
  <w:style w:type="paragraph" w:customStyle="1" w:styleId="Style1">
    <w:name w:val="Style 1"/>
    <w:basedOn w:val="Normal"/>
    <w:rsid w:val="004C72D6"/>
    <w:pPr>
      <w:spacing w:before="2376"/>
      <w:jc w:val="center"/>
    </w:pPr>
  </w:style>
  <w:style w:type="paragraph" w:customStyle="1" w:styleId="Style13">
    <w:name w:val="Style 13"/>
    <w:basedOn w:val="Normal"/>
    <w:rsid w:val="004C72D6"/>
    <w:pPr>
      <w:spacing w:line="804" w:lineRule="atLeast"/>
      <w:jc w:val="center"/>
    </w:pPr>
  </w:style>
  <w:style w:type="paragraph" w:customStyle="1" w:styleId="Style14">
    <w:name w:val="Style 14"/>
    <w:basedOn w:val="Normal"/>
    <w:rsid w:val="004C72D6"/>
    <w:pPr>
      <w:spacing w:before="144" w:after="2700"/>
      <w:jc w:val="center"/>
    </w:pPr>
  </w:style>
  <w:style w:type="paragraph" w:customStyle="1" w:styleId="Style15">
    <w:name w:val="Style 15"/>
    <w:basedOn w:val="Normal"/>
    <w:rsid w:val="004C72D6"/>
    <w:pPr>
      <w:spacing w:before="252"/>
      <w:jc w:val="center"/>
    </w:pPr>
  </w:style>
  <w:style w:type="paragraph" w:customStyle="1" w:styleId="Style5">
    <w:name w:val="Style 5"/>
    <w:basedOn w:val="Normal"/>
    <w:rsid w:val="004C72D6"/>
    <w:pPr>
      <w:adjustRightInd w:val="0"/>
    </w:pPr>
  </w:style>
  <w:style w:type="paragraph" w:customStyle="1" w:styleId="Style6">
    <w:name w:val="Style 6"/>
    <w:basedOn w:val="Normal"/>
    <w:rsid w:val="004C72D6"/>
    <w:pPr>
      <w:jc w:val="both"/>
    </w:pPr>
  </w:style>
  <w:style w:type="paragraph" w:customStyle="1" w:styleId="Style11">
    <w:name w:val="Style 11"/>
    <w:basedOn w:val="Normal"/>
    <w:rsid w:val="004C72D6"/>
    <w:pPr>
      <w:tabs>
        <w:tab w:val="decimal" w:pos="288"/>
        <w:tab w:val="left" w:pos="2808"/>
      </w:tabs>
      <w:spacing w:line="480" w:lineRule="auto"/>
    </w:pPr>
  </w:style>
  <w:style w:type="paragraph" w:customStyle="1" w:styleId="Style7">
    <w:name w:val="Style 7"/>
    <w:basedOn w:val="Normal"/>
    <w:rsid w:val="004C72D6"/>
    <w:pPr>
      <w:spacing w:before="13644"/>
      <w:ind w:left="5472"/>
    </w:pPr>
  </w:style>
  <w:style w:type="paragraph" w:customStyle="1" w:styleId="Style12">
    <w:name w:val="Style 12"/>
    <w:basedOn w:val="Normal"/>
    <w:rsid w:val="004C72D6"/>
    <w:pPr>
      <w:tabs>
        <w:tab w:val="left" w:pos="2808"/>
      </w:tabs>
      <w:spacing w:line="480" w:lineRule="auto"/>
    </w:pPr>
  </w:style>
  <w:style w:type="paragraph" w:customStyle="1" w:styleId="Style16">
    <w:name w:val="Style 16"/>
    <w:basedOn w:val="Normal"/>
    <w:rsid w:val="004C72D6"/>
    <w:pPr>
      <w:tabs>
        <w:tab w:val="decimal" w:pos="432"/>
        <w:tab w:val="left" w:pos="2808"/>
      </w:tabs>
    </w:pPr>
  </w:style>
  <w:style w:type="paragraph" w:customStyle="1" w:styleId="Style10">
    <w:name w:val="Style 10"/>
    <w:basedOn w:val="Normal"/>
    <w:rsid w:val="004C72D6"/>
    <w:pPr>
      <w:spacing w:line="480" w:lineRule="auto"/>
    </w:pPr>
  </w:style>
  <w:style w:type="paragraph" w:customStyle="1" w:styleId="Style17">
    <w:name w:val="Style 17"/>
    <w:basedOn w:val="Normal"/>
    <w:rsid w:val="004C72D6"/>
    <w:pPr>
      <w:spacing w:before="216" w:line="288" w:lineRule="atLeast"/>
      <w:ind w:left="144"/>
    </w:pPr>
  </w:style>
  <w:style w:type="paragraph" w:styleId="Header">
    <w:name w:val="header"/>
    <w:basedOn w:val="Normal"/>
    <w:rsid w:val="004C72D6"/>
    <w:pPr>
      <w:tabs>
        <w:tab w:val="center" w:pos="4320"/>
        <w:tab w:val="right" w:pos="8640"/>
      </w:tabs>
    </w:pPr>
  </w:style>
  <w:style w:type="paragraph" w:styleId="DocumentMap">
    <w:name w:val="Document Map"/>
    <w:basedOn w:val="Normal"/>
    <w:semiHidden/>
    <w:rsid w:val="004C72D6"/>
    <w:pPr>
      <w:shd w:val="clear" w:color="auto" w:fill="000080"/>
    </w:pPr>
    <w:rPr>
      <w:rFonts w:ascii="Tahoma" w:hAnsi="Tahoma" w:cs="Tahoma"/>
    </w:rPr>
  </w:style>
  <w:style w:type="table" w:styleId="TableGrid">
    <w:name w:val="Table Grid"/>
    <w:basedOn w:val="TableNormal"/>
    <w:rsid w:val="004C72D6"/>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72D6"/>
    <w:rPr>
      <w:rFonts w:ascii="Tahoma" w:hAnsi="Tahoma" w:cs="Tahoma"/>
      <w:sz w:val="16"/>
      <w:szCs w:val="16"/>
    </w:rPr>
  </w:style>
  <w:style w:type="character" w:styleId="Hyperlink">
    <w:name w:val="Hyperlink"/>
    <w:basedOn w:val="DefaultParagraphFont"/>
    <w:rsid w:val="004C72D6"/>
    <w:rPr>
      <w:color w:val="0000FF"/>
      <w:u w:val="single"/>
    </w:rPr>
  </w:style>
  <w:style w:type="character" w:styleId="CommentReference">
    <w:name w:val="annotation reference"/>
    <w:basedOn w:val="DefaultParagraphFont"/>
    <w:semiHidden/>
    <w:rsid w:val="004C72D6"/>
    <w:rPr>
      <w:sz w:val="16"/>
      <w:szCs w:val="16"/>
    </w:rPr>
  </w:style>
  <w:style w:type="paragraph" w:styleId="CommentText">
    <w:name w:val="annotation text"/>
    <w:basedOn w:val="Normal"/>
    <w:semiHidden/>
    <w:rsid w:val="004C72D6"/>
    <w:pPr>
      <w:widowControl/>
      <w:autoSpaceDE/>
      <w:autoSpaceDN/>
    </w:pPr>
    <w:rPr>
      <w:sz w:val="20"/>
      <w:szCs w:val="20"/>
    </w:rPr>
  </w:style>
  <w:style w:type="paragraph" w:styleId="CommentSubject">
    <w:name w:val="annotation subject"/>
    <w:basedOn w:val="CommentText"/>
    <w:next w:val="CommentText"/>
    <w:semiHidden/>
    <w:rsid w:val="004C72D6"/>
    <w:pPr>
      <w:widowControl w:val="0"/>
      <w:autoSpaceDE w:val="0"/>
      <w:autoSpaceDN w:val="0"/>
    </w:pPr>
    <w:rPr>
      <w:b/>
      <w:bCs/>
    </w:rPr>
  </w:style>
  <w:style w:type="character" w:styleId="FollowedHyperlink">
    <w:name w:val="FollowedHyperlink"/>
    <w:basedOn w:val="DefaultParagraphFont"/>
    <w:rsid w:val="004C72D6"/>
    <w:rPr>
      <w:color w:val="606420"/>
      <w:u w:val="single"/>
    </w:rPr>
  </w:style>
  <w:style w:type="paragraph" w:styleId="ListParagraph">
    <w:name w:val="List Paragraph"/>
    <w:basedOn w:val="Normal"/>
    <w:uiPriority w:val="34"/>
    <w:qFormat/>
    <w:rsid w:val="00964D16"/>
    <w:pPr>
      <w:widowControl/>
      <w:autoSpaceDE/>
      <w:autoSpaceDN/>
      <w:spacing w:after="200" w:line="276" w:lineRule="auto"/>
      <w:ind w:left="720" w:firstLine="720"/>
      <w:contextualSpacing/>
    </w:pPr>
    <w:rPr>
      <w:rFonts w:eastAsiaTheme="minorHAnsi" w:cstheme="minorBidi"/>
      <w:szCs w:val="22"/>
    </w:rPr>
  </w:style>
  <w:style w:type="paragraph" w:styleId="FootnoteText">
    <w:name w:val="footnote text"/>
    <w:basedOn w:val="Normal"/>
    <w:link w:val="FootnoteTextChar"/>
    <w:rsid w:val="00F03B9D"/>
    <w:rPr>
      <w:sz w:val="20"/>
      <w:szCs w:val="20"/>
    </w:rPr>
  </w:style>
  <w:style w:type="character" w:customStyle="1" w:styleId="FootnoteTextChar">
    <w:name w:val="Footnote Text Char"/>
    <w:basedOn w:val="DefaultParagraphFont"/>
    <w:link w:val="FootnoteText"/>
    <w:rsid w:val="00F03B9D"/>
  </w:style>
  <w:style w:type="character" w:styleId="FootnoteReference">
    <w:name w:val="footnote reference"/>
    <w:basedOn w:val="DefaultParagraphFont"/>
    <w:rsid w:val="00F03B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2D6"/>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F83"/>
    <w:pPr>
      <w:tabs>
        <w:tab w:val="center" w:pos="4320"/>
        <w:tab w:val="right" w:pos="8640"/>
      </w:tabs>
    </w:pPr>
  </w:style>
  <w:style w:type="character" w:styleId="PageNumber">
    <w:name w:val="page number"/>
    <w:basedOn w:val="DefaultParagraphFont"/>
    <w:rsid w:val="00BD5F83"/>
  </w:style>
  <w:style w:type="paragraph" w:customStyle="1" w:styleId="Style1">
    <w:name w:val="Style 1"/>
    <w:basedOn w:val="Normal"/>
    <w:rsid w:val="004C72D6"/>
    <w:pPr>
      <w:spacing w:before="2376"/>
      <w:jc w:val="center"/>
    </w:pPr>
  </w:style>
  <w:style w:type="paragraph" w:customStyle="1" w:styleId="Style13">
    <w:name w:val="Style 13"/>
    <w:basedOn w:val="Normal"/>
    <w:rsid w:val="004C72D6"/>
    <w:pPr>
      <w:spacing w:line="804" w:lineRule="atLeast"/>
      <w:jc w:val="center"/>
    </w:pPr>
  </w:style>
  <w:style w:type="paragraph" w:customStyle="1" w:styleId="Style14">
    <w:name w:val="Style 14"/>
    <w:basedOn w:val="Normal"/>
    <w:rsid w:val="004C72D6"/>
    <w:pPr>
      <w:spacing w:before="144" w:after="2700"/>
      <w:jc w:val="center"/>
    </w:pPr>
  </w:style>
  <w:style w:type="paragraph" w:customStyle="1" w:styleId="Style15">
    <w:name w:val="Style 15"/>
    <w:basedOn w:val="Normal"/>
    <w:rsid w:val="004C72D6"/>
    <w:pPr>
      <w:spacing w:before="252"/>
      <w:jc w:val="center"/>
    </w:pPr>
  </w:style>
  <w:style w:type="paragraph" w:customStyle="1" w:styleId="Style5">
    <w:name w:val="Style 5"/>
    <w:basedOn w:val="Normal"/>
    <w:rsid w:val="004C72D6"/>
    <w:pPr>
      <w:adjustRightInd w:val="0"/>
    </w:pPr>
  </w:style>
  <w:style w:type="paragraph" w:customStyle="1" w:styleId="Style6">
    <w:name w:val="Style 6"/>
    <w:basedOn w:val="Normal"/>
    <w:rsid w:val="004C72D6"/>
    <w:pPr>
      <w:jc w:val="both"/>
    </w:pPr>
  </w:style>
  <w:style w:type="paragraph" w:customStyle="1" w:styleId="Style11">
    <w:name w:val="Style 11"/>
    <w:basedOn w:val="Normal"/>
    <w:rsid w:val="004C72D6"/>
    <w:pPr>
      <w:tabs>
        <w:tab w:val="decimal" w:pos="288"/>
        <w:tab w:val="left" w:pos="2808"/>
      </w:tabs>
      <w:spacing w:line="480" w:lineRule="auto"/>
    </w:pPr>
  </w:style>
  <w:style w:type="paragraph" w:customStyle="1" w:styleId="Style7">
    <w:name w:val="Style 7"/>
    <w:basedOn w:val="Normal"/>
    <w:rsid w:val="004C72D6"/>
    <w:pPr>
      <w:spacing w:before="13644"/>
      <w:ind w:left="5472"/>
    </w:pPr>
  </w:style>
  <w:style w:type="paragraph" w:customStyle="1" w:styleId="Style12">
    <w:name w:val="Style 12"/>
    <w:basedOn w:val="Normal"/>
    <w:rsid w:val="004C72D6"/>
    <w:pPr>
      <w:tabs>
        <w:tab w:val="left" w:pos="2808"/>
      </w:tabs>
      <w:spacing w:line="480" w:lineRule="auto"/>
    </w:pPr>
  </w:style>
  <w:style w:type="paragraph" w:customStyle="1" w:styleId="Style16">
    <w:name w:val="Style 16"/>
    <w:basedOn w:val="Normal"/>
    <w:rsid w:val="004C72D6"/>
    <w:pPr>
      <w:tabs>
        <w:tab w:val="decimal" w:pos="432"/>
        <w:tab w:val="left" w:pos="2808"/>
      </w:tabs>
    </w:pPr>
  </w:style>
  <w:style w:type="paragraph" w:customStyle="1" w:styleId="Style10">
    <w:name w:val="Style 10"/>
    <w:basedOn w:val="Normal"/>
    <w:rsid w:val="004C72D6"/>
    <w:pPr>
      <w:spacing w:line="480" w:lineRule="auto"/>
    </w:pPr>
  </w:style>
  <w:style w:type="paragraph" w:customStyle="1" w:styleId="Style17">
    <w:name w:val="Style 17"/>
    <w:basedOn w:val="Normal"/>
    <w:rsid w:val="004C72D6"/>
    <w:pPr>
      <w:spacing w:before="216" w:line="288" w:lineRule="atLeast"/>
      <w:ind w:left="144"/>
    </w:pPr>
  </w:style>
  <w:style w:type="paragraph" w:styleId="Header">
    <w:name w:val="header"/>
    <w:basedOn w:val="Normal"/>
    <w:rsid w:val="004C72D6"/>
    <w:pPr>
      <w:tabs>
        <w:tab w:val="center" w:pos="4320"/>
        <w:tab w:val="right" w:pos="8640"/>
      </w:tabs>
    </w:pPr>
  </w:style>
  <w:style w:type="paragraph" w:styleId="DocumentMap">
    <w:name w:val="Document Map"/>
    <w:basedOn w:val="Normal"/>
    <w:semiHidden/>
    <w:rsid w:val="004C72D6"/>
    <w:pPr>
      <w:shd w:val="clear" w:color="auto" w:fill="000080"/>
    </w:pPr>
    <w:rPr>
      <w:rFonts w:ascii="Tahoma" w:hAnsi="Tahoma" w:cs="Tahoma"/>
    </w:rPr>
  </w:style>
  <w:style w:type="table" w:styleId="TableGrid">
    <w:name w:val="Table Grid"/>
    <w:basedOn w:val="TableNormal"/>
    <w:rsid w:val="004C72D6"/>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72D6"/>
    <w:rPr>
      <w:rFonts w:ascii="Tahoma" w:hAnsi="Tahoma" w:cs="Tahoma"/>
      <w:sz w:val="16"/>
      <w:szCs w:val="16"/>
    </w:rPr>
  </w:style>
  <w:style w:type="character" w:styleId="Hyperlink">
    <w:name w:val="Hyperlink"/>
    <w:basedOn w:val="DefaultParagraphFont"/>
    <w:rsid w:val="004C72D6"/>
    <w:rPr>
      <w:color w:val="0000FF"/>
      <w:u w:val="single"/>
    </w:rPr>
  </w:style>
  <w:style w:type="character" w:styleId="CommentReference">
    <w:name w:val="annotation reference"/>
    <w:basedOn w:val="DefaultParagraphFont"/>
    <w:semiHidden/>
    <w:rsid w:val="004C72D6"/>
    <w:rPr>
      <w:sz w:val="16"/>
      <w:szCs w:val="16"/>
    </w:rPr>
  </w:style>
  <w:style w:type="paragraph" w:styleId="CommentText">
    <w:name w:val="annotation text"/>
    <w:basedOn w:val="Normal"/>
    <w:semiHidden/>
    <w:rsid w:val="004C72D6"/>
    <w:pPr>
      <w:widowControl/>
      <w:autoSpaceDE/>
      <w:autoSpaceDN/>
    </w:pPr>
    <w:rPr>
      <w:sz w:val="20"/>
      <w:szCs w:val="20"/>
    </w:rPr>
  </w:style>
  <w:style w:type="paragraph" w:styleId="CommentSubject">
    <w:name w:val="annotation subject"/>
    <w:basedOn w:val="CommentText"/>
    <w:next w:val="CommentText"/>
    <w:semiHidden/>
    <w:rsid w:val="004C72D6"/>
    <w:pPr>
      <w:widowControl w:val="0"/>
      <w:autoSpaceDE w:val="0"/>
      <w:autoSpaceDN w:val="0"/>
    </w:pPr>
    <w:rPr>
      <w:b/>
      <w:bCs/>
    </w:rPr>
  </w:style>
  <w:style w:type="character" w:styleId="FollowedHyperlink">
    <w:name w:val="FollowedHyperlink"/>
    <w:basedOn w:val="DefaultParagraphFont"/>
    <w:rsid w:val="004C72D6"/>
    <w:rPr>
      <w:color w:val="606420"/>
      <w:u w:val="single"/>
    </w:rPr>
  </w:style>
  <w:style w:type="paragraph" w:styleId="ListParagraph">
    <w:name w:val="List Paragraph"/>
    <w:basedOn w:val="Normal"/>
    <w:uiPriority w:val="34"/>
    <w:qFormat/>
    <w:rsid w:val="00964D16"/>
    <w:pPr>
      <w:widowControl/>
      <w:autoSpaceDE/>
      <w:autoSpaceDN/>
      <w:spacing w:after="200" w:line="276" w:lineRule="auto"/>
      <w:ind w:left="720" w:firstLine="720"/>
      <w:contextualSpacing/>
    </w:pPr>
    <w:rPr>
      <w:rFonts w:eastAsiaTheme="minorHAnsi" w:cstheme="minorBidi"/>
      <w:szCs w:val="22"/>
    </w:rPr>
  </w:style>
  <w:style w:type="paragraph" w:styleId="FootnoteText">
    <w:name w:val="footnote text"/>
    <w:basedOn w:val="Normal"/>
    <w:link w:val="FootnoteTextChar"/>
    <w:rsid w:val="00F03B9D"/>
    <w:rPr>
      <w:sz w:val="20"/>
      <w:szCs w:val="20"/>
    </w:rPr>
  </w:style>
  <w:style w:type="character" w:customStyle="1" w:styleId="FootnoteTextChar">
    <w:name w:val="Footnote Text Char"/>
    <w:basedOn w:val="DefaultParagraphFont"/>
    <w:link w:val="FootnoteText"/>
    <w:rsid w:val="00F03B9D"/>
  </w:style>
  <w:style w:type="character" w:styleId="FootnoteReference">
    <w:name w:val="footnote reference"/>
    <w:basedOn w:val="DefaultParagraphFont"/>
    <w:rsid w:val="00F03B9D"/>
    <w:rPr>
      <w:vertAlign w:val="superscript"/>
    </w:rPr>
  </w:style>
</w:styles>
</file>

<file path=word/webSettings.xml><?xml version="1.0" encoding="utf-8"?>
<w:webSettings xmlns:r="http://schemas.openxmlformats.org/officeDocument/2006/relationships" xmlns:w="http://schemas.openxmlformats.org/wordprocessingml/2006/main">
  <w:divs>
    <w:div w:id="398669">
      <w:bodyDiv w:val="1"/>
      <w:marLeft w:val="0"/>
      <w:marRight w:val="0"/>
      <w:marTop w:val="0"/>
      <w:marBottom w:val="0"/>
      <w:divBdr>
        <w:top w:val="none" w:sz="0" w:space="0" w:color="auto"/>
        <w:left w:val="none" w:sz="0" w:space="0" w:color="auto"/>
        <w:bottom w:val="none" w:sz="0" w:space="0" w:color="auto"/>
        <w:right w:val="none" w:sz="0" w:space="0" w:color="auto"/>
      </w:divBdr>
    </w:div>
    <w:div w:id="166676265">
      <w:bodyDiv w:val="1"/>
      <w:marLeft w:val="0"/>
      <w:marRight w:val="0"/>
      <w:marTop w:val="0"/>
      <w:marBottom w:val="0"/>
      <w:divBdr>
        <w:top w:val="none" w:sz="0" w:space="0" w:color="auto"/>
        <w:left w:val="none" w:sz="0" w:space="0" w:color="auto"/>
        <w:bottom w:val="none" w:sz="0" w:space="0" w:color="auto"/>
        <w:right w:val="none" w:sz="0" w:space="0" w:color="auto"/>
      </w:divBdr>
    </w:div>
    <w:div w:id="339427050">
      <w:bodyDiv w:val="1"/>
      <w:marLeft w:val="0"/>
      <w:marRight w:val="0"/>
      <w:marTop w:val="0"/>
      <w:marBottom w:val="0"/>
      <w:divBdr>
        <w:top w:val="none" w:sz="0" w:space="0" w:color="auto"/>
        <w:left w:val="none" w:sz="0" w:space="0" w:color="auto"/>
        <w:bottom w:val="none" w:sz="0" w:space="0" w:color="auto"/>
        <w:right w:val="none" w:sz="0" w:space="0" w:color="auto"/>
      </w:divBdr>
    </w:div>
    <w:div w:id="678508136">
      <w:bodyDiv w:val="1"/>
      <w:marLeft w:val="0"/>
      <w:marRight w:val="0"/>
      <w:marTop w:val="0"/>
      <w:marBottom w:val="0"/>
      <w:divBdr>
        <w:top w:val="none" w:sz="0" w:space="0" w:color="auto"/>
        <w:left w:val="none" w:sz="0" w:space="0" w:color="auto"/>
        <w:bottom w:val="none" w:sz="0" w:space="0" w:color="auto"/>
        <w:right w:val="none" w:sz="0" w:space="0" w:color="auto"/>
      </w:divBdr>
    </w:div>
    <w:div w:id="756050619">
      <w:bodyDiv w:val="1"/>
      <w:marLeft w:val="0"/>
      <w:marRight w:val="0"/>
      <w:marTop w:val="0"/>
      <w:marBottom w:val="0"/>
      <w:divBdr>
        <w:top w:val="none" w:sz="0" w:space="0" w:color="auto"/>
        <w:left w:val="none" w:sz="0" w:space="0" w:color="auto"/>
        <w:bottom w:val="none" w:sz="0" w:space="0" w:color="auto"/>
        <w:right w:val="none" w:sz="0" w:space="0" w:color="auto"/>
      </w:divBdr>
    </w:div>
    <w:div w:id="807626125">
      <w:bodyDiv w:val="1"/>
      <w:marLeft w:val="0"/>
      <w:marRight w:val="0"/>
      <w:marTop w:val="0"/>
      <w:marBottom w:val="0"/>
      <w:divBdr>
        <w:top w:val="none" w:sz="0" w:space="0" w:color="auto"/>
        <w:left w:val="none" w:sz="0" w:space="0" w:color="auto"/>
        <w:bottom w:val="none" w:sz="0" w:space="0" w:color="auto"/>
        <w:right w:val="none" w:sz="0" w:space="0" w:color="auto"/>
      </w:divBdr>
    </w:div>
    <w:div w:id="1509977460">
      <w:bodyDiv w:val="1"/>
      <w:marLeft w:val="0"/>
      <w:marRight w:val="0"/>
      <w:marTop w:val="0"/>
      <w:marBottom w:val="0"/>
      <w:divBdr>
        <w:top w:val="none" w:sz="0" w:space="0" w:color="auto"/>
        <w:left w:val="none" w:sz="0" w:space="0" w:color="auto"/>
        <w:bottom w:val="none" w:sz="0" w:space="0" w:color="auto"/>
        <w:right w:val="none" w:sz="0" w:space="0" w:color="auto"/>
      </w:divBdr>
    </w:div>
    <w:div w:id="1574659773">
      <w:bodyDiv w:val="1"/>
      <w:marLeft w:val="0"/>
      <w:marRight w:val="0"/>
      <w:marTop w:val="0"/>
      <w:marBottom w:val="0"/>
      <w:divBdr>
        <w:top w:val="none" w:sz="0" w:space="0" w:color="auto"/>
        <w:left w:val="none" w:sz="0" w:space="0" w:color="auto"/>
        <w:bottom w:val="none" w:sz="0" w:space="0" w:color="auto"/>
        <w:right w:val="none" w:sz="0" w:space="0" w:color="auto"/>
      </w:divBdr>
    </w:div>
    <w:div w:id="16744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FDDC9-D3EC-4DFB-B2DF-2A61D90E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9801</Words>
  <Characters>55868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65538</CharactersWithSpaces>
  <SharedDoc>false</SharedDoc>
  <HLinks>
    <vt:vector size="6" baseType="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2013-09-25T13:49:00Z</dcterms:created>
  <dcterms:modified xsi:type="dcterms:W3CDTF">2013-09-25T13:49:00Z</dcterms:modified>
</cp:coreProperties>
</file>