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917DF" w:rsidRDefault="003917DF" w:rsidP="003917DF">
      <w:bookmarkStart w:id="0" w:name="_Toc329875081"/>
      <w:r>
        <w:rPr>
          <w:noProof/>
        </w:rPr>
        <w:drawing>
          <wp:anchor distT="0" distB="0" distL="114300" distR="114300" simplePos="0" relativeHeight="251661312" behindDoc="0" locked="0" layoutInCell="1" allowOverlap="1">
            <wp:simplePos x="0" y="0"/>
            <wp:positionH relativeFrom="column">
              <wp:posOffset>-240030</wp:posOffset>
            </wp:positionH>
            <wp:positionV relativeFrom="paragraph">
              <wp:posOffset>83820</wp:posOffset>
            </wp:positionV>
            <wp:extent cx="1273810" cy="1310640"/>
            <wp:effectExtent l="19050" t="0" r="2540" b="0"/>
            <wp:wrapSquare wrapText="right"/>
            <wp:docPr id="4"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srcRect/>
                    <a:stretch>
                      <a:fillRect/>
                    </a:stretch>
                  </pic:blipFill>
                  <pic:spPr bwMode="auto">
                    <a:xfrm>
                      <a:off x="0" y="0"/>
                      <a:ext cx="1273810" cy="1310640"/>
                    </a:xfrm>
                    <a:prstGeom prst="rect">
                      <a:avLst/>
                    </a:prstGeom>
                    <a:noFill/>
                    <a:ln w="9525">
                      <a:noFill/>
                      <a:miter lim="800000"/>
                      <a:headEnd/>
                      <a:tailEnd/>
                    </a:ln>
                  </pic:spPr>
                </pic:pic>
              </a:graphicData>
            </a:graphic>
          </wp:anchor>
        </w:drawing>
      </w:r>
      <w:r w:rsidR="005263E9">
        <w:rPr>
          <w:noProof/>
          <w:lang w:eastAsia="zh-TW"/>
        </w:rPr>
        <w:pict>
          <v:shapetype id="_x0000_t202" coordsize="21600,21600" o:spt="202" path="m,l,21600r21600,l21600,xe">
            <v:stroke joinstyle="miter"/>
            <v:path gradientshapeok="t" o:connecttype="rect"/>
          </v:shapetype>
          <v:shape id="_x0000_s1026" type="#_x0000_t202" style="position:absolute;margin-left:11.7pt;margin-top:10.3pt;width:300.6pt;height:97.9pt;z-index:251660288;mso-position-horizontal-relative:text;mso-position-vertical-relative:text;mso-width-relative:margin;mso-height-relative:margin" stroked="f">
            <v:textbox style="mso-next-textbox:#_x0000_s1026">
              <w:txbxContent>
                <w:p w:rsidR="00DD6EEC" w:rsidRPr="00B44E3B" w:rsidRDefault="00DD6EEC" w:rsidP="003917DF">
                  <w:pPr>
                    <w:rPr>
                      <w:rFonts w:ascii="Arial" w:hAnsi="Arial" w:cs="Arial"/>
                      <w:b/>
                      <w:sz w:val="24"/>
                    </w:rPr>
                  </w:pPr>
                  <w:r w:rsidRPr="00B44E3B">
                    <w:rPr>
                      <w:rFonts w:ascii="Arial" w:hAnsi="Arial" w:cs="Arial"/>
                      <w:b/>
                      <w:sz w:val="24"/>
                    </w:rPr>
                    <w:t>U.S. Energy Information Administration</w:t>
                  </w:r>
                </w:p>
                <w:p w:rsidR="00DD6EEC" w:rsidRPr="00B44E3B" w:rsidRDefault="00DD6EEC" w:rsidP="003917DF">
                  <w:pPr>
                    <w:rPr>
                      <w:rFonts w:ascii="Arial" w:hAnsi="Arial" w:cs="Arial"/>
                      <w:b/>
                      <w:sz w:val="24"/>
                    </w:rPr>
                  </w:pPr>
                  <w:r w:rsidRPr="00B44E3B">
                    <w:rPr>
                      <w:rFonts w:ascii="Arial" w:hAnsi="Arial" w:cs="Arial"/>
                      <w:b/>
                      <w:sz w:val="24"/>
                    </w:rPr>
                    <w:t>Office of Energy Statistics</w:t>
                  </w:r>
                </w:p>
                <w:p w:rsidR="00DD6EEC" w:rsidRPr="00B44E3B" w:rsidRDefault="00DD6EEC" w:rsidP="003917DF">
                  <w:pPr>
                    <w:rPr>
                      <w:rFonts w:ascii="Arial" w:hAnsi="Arial" w:cs="Arial"/>
                      <w:b/>
                      <w:sz w:val="24"/>
                    </w:rPr>
                  </w:pPr>
                  <w:r w:rsidRPr="00B44E3B">
                    <w:rPr>
                      <w:rFonts w:ascii="Arial" w:hAnsi="Arial" w:cs="Arial"/>
                      <w:b/>
                      <w:sz w:val="24"/>
                    </w:rPr>
                    <w:t>Office of Electricity, Renewables, and Uranium Statistics</w:t>
                  </w:r>
                </w:p>
              </w:txbxContent>
            </v:textbox>
          </v:shape>
        </w:pict>
      </w:r>
    </w:p>
    <w:p w:rsidR="003917DF" w:rsidRDefault="003917DF" w:rsidP="003917DF"/>
    <w:p w:rsidR="003917DF" w:rsidRDefault="003917DF" w:rsidP="003917DF"/>
    <w:p w:rsidR="003917DF" w:rsidRDefault="003917DF" w:rsidP="003917DF"/>
    <w:p w:rsidR="003917DF" w:rsidRDefault="003917DF" w:rsidP="003917DF"/>
    <w:p w:rsidR="003917DF" w:rsidRDefault="003917DF" w:rsidP="003917DF">
      <w:pPr>
        <w:rPr>
          <w:rFonts w:ascii="Arial Black" w:hAnsi="Arial Black"/>
          <w:sz w:val="28"/>
        </w:rPr>
      </w:pPr>
    </w:p>
    <w:p w:rsidR="003917DF" w:rsidRPr="00071AAF" w:rsidRDefault="003917DF" w:rsidP="003917DF">
      <w:pPr>
        <w:rPr>
          <w:rFonts w:ascii="Arial Black" w:hAnsi="Arial Black"/>
          <w:sz w:val="28"/>
        </w:rPr>
      </w:pPr>
      <w:r w:rsidRPr="00071AAF">
        <w:rPr>
          <w:rFonts w:ascii="Arial Black" w:hAnsi="Arial Black"/>
          <w:sz w:val="28"/>
        </w:rPr>
        <w:t>Supporting Statement for Survey Clearance</w:t>
      </w:r>
    </w:p>
    <w:p w:rsidR="003917DF" w:rsidRDefault="003917DF" w:rsidP="003917DF">
      <w:pPr>
        <w:rPr>
          <w:rFonts w:ascii="Arial Black" w:hAnsi="Arial Black"/>
        </w:rPr>
      </w:pPr>
    </w:p>
    <w:p w:rsidR="003917DF" w:rsidRDefault="003917DF" w:rsidP="003917DF">
      <w:pPr>
        <w:rPr>
          <w:rFonts w:ascii="Arial Black" w:hAnsi="Arial Black"/>
        </w:rPr>
      </w:pPr>
      <w:r>
        <w:rPr>
          <w:rFonts w:ascii="Arial Black" w:hAnsi="Arial Black"/>
        </w:rPr>
        <w:t>Electric Power Surveys</w:t>
      </w:r>
    </w:p>
    <w:p w:rsidR="003917DF" w:rsidRPr="00B44E3B" w:rsidRDefault="003917DF" w:rsidP="003917DF">
      <w:pPr>
        <w:rPr>
          <w:rFonts w:ascii="Arial Black" w:hAnsi="Arial Black"/>
        </w:rPr>
      </w:pPr>
      <w:r w:rsidRPr="00B44E3B">
        <w:rPr>
          <w:rFonts w:ascii="Arial Black" w:hAnsi="Arial Black"/>
        </w:rPr>
        <w:t>FORM EIA-923, POWER PLANT OPERATIONS REPORT, Schedule 2, Cost and Quality of Fuel Purchases – Plant Level;</w:t>
      </w:r>
    </w:p>
    <w:p w:rsidR="003917DF" w:rsidRPr="00B44E3B" w:rsidRDefault="003917DF" w:rsidP="003917DF">
      <w:pPr>
        <w:rPr>
          <w:rFonts w:ascii="Arial Black" w:hAnsi="Arial Black"/>
        </w:rPr>
      </w:pPr>
      <w:r w:rsidRPr="00B44E3B">
        <w:rPr>
          <w:rFonts w:ascii="Arial Black" w:hAnsi="Arial Black"/>
        </w:rPr>
        <w:t>FORM EIA-861, ANNUAL ELECTRIC POWER INDUSTRY REPORT;</w:t>
      </w:r>
    </w:p>
    <w:p w:rsidR="003917DF" w:rsidRDefault="003917DF" w:rsidP="003917DF">
      <w:pPr>
        <w:rPr>
          <w:rFonts w:ascii="Arial Black" w:hAnsi="Arial Black"/>
        </w:rPr>
      </w:pPr>
      <w:r w:rsidRPr="00B44E3B">
        <w:rPr>
          <w:rFonts w:ascii="Arial Black" w:hAnsi="Arial Black"/>
        </w:rPr>
        <w:t>FORM EIA-861S, ANNUAL ELECTRIC POWER INDUSTRY REPORT (SHORT FORM)</w:t>
      </w:r>
    </w:p>
    <w:p w:rsidR="003917DF" w:rsidRPr="005B2B76" w:rsidRDefault="003917DF" w:rsidP="003917DF">
      <w:pPr>
        <w:rPr>
          <w:rFonts w:ascii="Arial Black" w:hAnsi="Arial Black"/>
        </w:rPr>
      </w:pPr>
      <w:r>
        <w:rPr>
          <w:rFonts w:ascii="Arial Black" w:hAnsi="Arial Black"/>
        </w:rPr>
        <w:t>OMB No. 1905-0129</w:t>
      </w:r>
    </w:p>
    <w:p w:rsidR="003917DF" w:rsidRDefault="003917DF" w:rsidP="003917DF"/>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6048"/>
      </w:tblGrid>
      <w:tr w:rsidR="003917DF" w:rsidRPr="00B44E3B" w:rsidTr="00683F67">
        <w:tc>
          <w:tcPr>
            <w:tcW w:w="6048" w:type="dxa"/>
            <w:vAlign w:val="center"/>
          </w:tcPr>
          <w:p w:rsidR="003917DF" w:rsidRDefault="003917DF" w:rsidP="00683F67">
            <w:pPr>
              <w:spacing w:before="360" w:after="360"/>
              <w:rPr>
                <w:rFonts w:ascii="Arial Black" w:hAnsi="Arial Black"/>
              </w:rPr>
            </w:pPr>
            <w:r w:rsidRPr="00B44E3B">
              <w:rPr>
                <w:rFonts w:ascii="Arial Black" w:hAnsi="Arial Black"/>
              </w:rPr>
              <w:t xml:space="preserve">Part </w:t>
            </w:r>
            <w:r>
              <w:rPr>
                <w:rFonts w:ascii="Arial Black" w:hAnsi="Arial Black"/>
              </w:rPr>
              <w:t>B:</w:t>
            </w:r>
            <w:r w:rsidRPr="00B44E3B">
              <w:rPr>
                <w:rFonts w:ascii="Arial Black" w:hAnsi="Arial Black"/>
              </w:rPr>
              <w:t xml:space="preserve"> </w:t>
            </w:r>
            <w:r>
              <w:rPr>
                <w:rFonts w:ascii="Arial Black" w:hAnsi="Arial Black"/>
              </w:rPr>
              <w:t>Collection of Information Employing Statistical Methods</w:t>
            </w:r>
          </w:p>
          <w:p w:rsidR="00DD6EEC" w:rsidRPr="00B44E3B" w:rsidRDefault="00DD6EEC" w:rsidP="00DD6EEC">
            <w:pPr>
              <w:pStyle w:val="Heading1"/>
            </w:pPr>
            <w:r w:rsidRPr="00DD6EEC">
              <w:rPr>
                <w:sz w:val="22"/>
                <w:szCs w:val="22"/>
              </w:rPr>
              <w:t>Appendix B-1:  Part B of the Original Clearance Package Supporting Statement, September 2010</w:t>
            </w:r>
          </w:p>
        </w:tc>
      </w:tr>
    </w:tbl>
    <w:p w:rsidR="003917DF" w:rsidRPr="00B44E3B" w:rsidRDefault="003917DF" w:rsidP="003917DF"/>
    <w:p w:rsidR="003917DF" w:rsidRDefault="00DD6EEC" w:rsidP="003917DF">
      <w:r>
        <w:t>Revised October 22</w:t>
      </w:r>
      <w:r w:rsidR="00FC7F55">
        <w:t xml:space="preserve">, </w:t>
      </w:r>
      <w:r w:rsidR="003917DF" w:rsidRPr="00B44E3B">
        <w:t>2012</w:t>
      </w:r>
    </w:p>
    <w:p w:rsidR="003917DF" w:rsidRDefault="003917DF">
      <w:r>
        <w:br w:type="page"/>
      </w:r>
    </w:p>
    <w:sdt>
      <w:sdtPr>
        <w:rPr>
          <w:rFonts w:ascii="Calibri" w:hAnsi="Calibri" w:cs="Arial"/>
        </w:rPr>
        <w:id w:val="849047787"/>
        <w:docPartObj>
          <w:docPartGallery w:val="Table of Contents"/>
          <w:docPartUnique/>
        </w:docPartObj>
      </w:sdtPr>
      <w:sdtContent>
        <w:p w:rsidR="003917DF" w:rsidRPr="006F03EB" w:rsidRDefault="003917DF" w:rsidP="003917DF">
          <w:pPr>
            <w:pStyle w:val="TOCHeading"/>
            <w:spacing w:before="100" w:beforeAutospacing="1" w:after="100" w:afterAutospacing="1"/>
            <w:rPr>
              <w:rFonts w:ascii="Calibri" w:hAnsi="Calibri" w:cs="Arial"/>
            </w:rPr>
          </w:pPr>
          <w:r w:rsidRPr="00982C38">
            <w:rPr>
              <w:rFonts w:ascii="Calibri" w:hAnsi="Calibri" w:cs="Arial"/>
              <w:u w:val="single"/>
            </w:rPr>
            <w:t>Table of Contents</w:t>
          </w:r>
        </w:p>
      </w:sdtContent>
    </w:sdt>
    <w:p w:rsidR="000B7257" w:rsidRDefault="005263E9" w:rsidP="00DD6EEC">
      <w:pPr>
        <w:pStyle w:val="TOC2"/>
        <w:tabs>
          <w:tab w:val="right" w:leader="dot" w:pos="9350"/>
        </w:tabs>
        <w:rPr>
          <w:rFonts w:eastAsiaTheme="minorEastAsia" w:cstheme="minorBidi"/>
          <w:smallCaps w:val="0"/>
          <w:noProof/>
          <w:sz w:val="22"/>
          <w:szCs w:val="22"/>
        </w:rPr>
      </w:pPr>
      <w:r w:rsidRPr="005263E9">
        <w:rPr>
          <w:rFonts w:ascii="Calibri" w:hAnsi="Calibri" w:cs="Arial"/>
          <w:b/>
          <w:sz w:val="22"/>
          <w:szCs w:val="22"/>
        </w:rPr>
        <w:fldChar w:fldCharType="begin"/>
      </w:r>
      <w:r w:rsidR="003917DF" w:rsidRPr="00067FE6">
        <w:rPr>
          <w:rFonts w:ascii="Calibri" w:hAnsi="Calibri" w:cs="Arial"/>
          <w:sz w:val="22"/>
          <w:szCs w:val="22"/>
        </w:rPr>
        <w:instrText xml:space="preserve"> TOC \o "1-3" \u </w:instrText>
      </w:r>
      <w:r w:rsidRPr="005263E9">
        <w:rPr>
          <w:rFonts w:ascii="Calibri" w:hAnsi="Calibri" w:cs="Arial"/>
          <w:b/>
          <w:sz w:val="22"/>
          <w:szCs w:val="22"/>
        </w:rPr>
        <w:fldChar w:fldCharType="separate"/>
      </w:r>
      <w:r w:rsidR="000B7257">
        <w:rPr>
          <w:noProof/>
        </w:rPr>
        <w:t>Part B: Collection of Information Employing Statistical Methods</w:t>
      </w:r>
      <w:r w:rsidR="000B7257">
        <w:rPr>
          <w:noProof/>
        </w:rPr>
        <w:tab/>
      </w:r>
      <w:r>
        <w:rPr>
          <w:noProof/>
        </w:rPr>
        <w:fldChar w:fldCharType="begin"/>
      </w:r>
      <w:r w:rsidR="000B7257">
        <w:rPr>
          <w:noProof/>
        </w:rPr>
        <w:instrText xml:space="preserve"> PAGEREF _Toc332093013 \h </w:instrText>
      </w:r>
      <w:r>
        <w:rPr>
          <w:noProof/>
        </w:rPr>
      </w:r>
      <w:r>
        <w:rPr>
          <w:noProof/>
        </w:rPr>
        <w:fldChar w:fldCharType="separate"/>
      </w:r>
      <w:r w:rsidR="000B7257">
        <w:rPr>
          <w:noProof/>
        </w:rPr>
        <w:t>3</w:t>
      </w:r>
      <w:r>
        <w:rPr>
          <w:noProof/>
        </w:rPr>
        <w:fldChar w:fldCharType="end"/>
      </w:r>
    </w:p>
    <w:p w:rsidR="000B7257" w:rsidRDefault="000B7257" w:rsidP="00DD6EEC">
      <w:pPr>
        <w:pStyle w:val="TOC1"/>
        <w:tabs>
          <w:tab w:val="right" w:leader="dot" w:pos="9350"/>
        </w:tabs>
        <w:spacing w:after="0"/>
        <w:rPr>
          <w:rFonts w:eastAsiaTheme="minorEastAsia" w:cstheme="minorBidi"/>
          <w:b w:val="0"/>
          <w:bCs w:val="0"/>
          <w:caps w:val="0"/>
          <w:noProof/>
          <w:sz w:val="22"/>
          <w:szCs w:val="22"/>
        </w:rPr>
      </w:pPr>
      <w:r>
        <w:rPr>
          <w:noProof/>
        </w:rPr>
        <w:t>B.1. Respondent Universe and Target Population</w:t>
      </w:r>
      <w:r>
        <w:rPr>
          <w:noProof/>
        </w:rPr>
        <w:tab/>
      </w:r>
      <w:r w:rsidR="005263E9">
        <w:rPr>
          <w:noProof/>
        </w:rPr>
        <w:fldChar w:fldCharType="begin"/>
      </w:r>
      <w:r>
        <w:rPr>
          <w:noProof/>
        </w:rPr>
        <w:instrText xml:space="preserve"> PAGEREF _Toc332093014 \h </w:instrText>
      </w:r>
      <w:r w:rsidR="005263E9">
        <w:rPr>
          <w:noProof/>
        </w:rPr>
      </w:r>
      <w:r w:rsidR="005263E9">
        <w:rPr>
          <w:noProof/>
        </w:rPr>
        <w:fldChar w:fldCharType="separate"/>
      </w:r>
      <w:r>
        <w:rPr>
          <w:noProof/>
        </w:rPr>
        <w:t>4</w:t>
      </w:r>
      <w:r w:rsidR="005263E9">
        <w:rPr>
          <w:noProof/>
        </w:rPr>
        <w:fldChar w:fldCharType="end"/>
      </w:r>
    </w:p>
    <w:p w:rsidR="000B7257" w:rsidRDefault="000B7257" w:rsidP="00DD6EEC">
      <w:pPr>
        <w:pStyle w:val="TOC2"/>
        <w:tabs>
          <w:tab w:val="right" w:leader="dot" w:pos="9350"/>
        </w:tabs>
        <w:rPr>
          <w:rFonts w:eastAsiaTheme="minorEastAsia" w:cstheme="minorBidi"/>
          <w:smallCaps w:val="0"/>
          <w:noProof/>
          <w:sz w:val="22"/>
          <w:szCs w:val="22"/>
        </w:rPr>
      </w:pPr>
      <w:r>
        <w:rPr>
          <w:noProof/>
        </w:rPr>
        <w:t>B.1.1. Form EIA-861, "Annual Electric Power Industry Report"</w:t>
      </w:r>
      <w:r>
        <w:rPr>
          <w:noProof/>
        </w:rPr>
        <w:tab/>
      </w:r>
      <w:r w:rsidR="005263E9">
        <w:rPr>
          <w:noProof/>
        </w:rPr>
        <w:fldChar w:fldCharType="begin"/>
      </w:r>
      <w:r>
        <w:rPr>
          <w:noProof/>
        </w:rPr>
        <w:instrText xml:space="preserve"> PAGEREF _Toc332093015 \h </w:instrText>
      </w:r>
      <w:r w:rsidR="005263E9">
        <w:rPr>
          <w:noProof/>
        </w:rPr>
      </w:r>
      <w:r w:rsidR="005263E9">
        <w:rPr>
          <w:noProof/>
        </w:rPr>
        <w:fldChar w:fldCharType="separate"/>
      </w:r>
      <w:r>
        <w:rPr>
          <w:noProof/>
        </w:rPr>
        <w:t>4</w:t>
      </w:r>
      <w:r w:rsidR="005263E9">
        <w:rPr>
          <w:noProof/>
        </w:rPr>
        <w:fldChar w:fldCharType="end"/>
      </w:r>
    </w:p>
    <w:p w:rsidR="000B7257" w:rsidRDefault="000B7257" w:rsidP="00DD6EEC">
      <w:pPr>
        <w:pStyle w:val="TOC2"/>
        <w:tabs>
          <w:tab w:val="right" w:leader="dot" w:pos="9350"/>
        </w:tabs>
        <w:rPr>
          <w:rFonts w:eastAsiaTheme="minorEastAsia" w:cstheme="minorBidi"/>
          <w:smallCaps w:val="0"/>
          <w:noProof/>
          <w:sz w:val="22"/>
          <w:szCs w:val="22"/>
        </w:rPr>
      </w:pPr>
      <w:r>
        <w:rPr>
          <w:noProof/>
        </w:rPr>
        <w:t>B.1.2. Form EIA-861S, "Annual Electric Power Industry Report (Short Form)"</w:t>
      </w:r>
      <w:r>
        <w:rPr>
          <w:noProof/>
        </w:rPr>
        <w:tab/>
      </w:r>
      <w:r w:rsidR="005263E9">
        <w:rPr>
          <w:noProof/>
        </w:rPr>
        <w:fldChar w:fldCharType="begin"/>
      </w:r>
      <w:r>
        <w:rPr>
          <w:noProof/>
        </w:rPr>
        <w:instrText xml:space="preserve"> PAGEREF _Toc332093016 \h </w:instrText>
      </w:r>
      <w:r w:rsidR="005263E9">
        <w:rPr>
          <w:noProof/>
        </w:rPr>
      </w:r>
      <w:r w:rsidR="005263E9">
        <w:rPr>
          <w:noProof/>
        </w:rPr>
        <w:fldChar w:fldCharType="separate"/>
      </w:r>
      <w:r>
        <w:rPr>
          <w:noProof/>
        </w:rPr>
        <w:t>5</w:t>
      </w:r>
      <w:r w:rsidR="005263E9">
        <w:rPr>
          <w:noProof/>
        </w:rPr>
        <w:fldChar w:fldCharType="end"/>
      </w:r>
    </w:p>
    <w:p w:rsidR="000B7257" w:rsidRDefault="000B7257" w:rsidP="00DD6EEC">
      <w:pPr>
        <w:pStyle w:val="TOC2"/>
        <w:tabs>
          <w:tab w:val="right" w:leader="dot" w:pos="9350"/>
        </w:tabs>
        <w:rPr>
          <w:rFonts w:eastAsiaTheme="minorEastAsia" w:cstheme="minorBidi"/>
          <w:smallCaps w:val="0"/>
          <w:noProof/>
          <w:sz w:val="22"/>
          <w:szCs w:val="22"/>
        </w:rPr>
      </w:pPr>
      <w:r>
        <w:rPr>
          <w:noProof/>
        </w:rPr>
        <w:t>B.1.3. Form EIA-826, "Monthly Electric Utility Sales and Revenue Report with State Distributions”</w:t>
      </w:r>
      <w:r>
        <w:rPr>
          <w:noProof/>
        </w:rPr>
        <w:tab/>
      </w:r>
      <w:r w:rsidR="005263E9">
        <w:rPr>
          <w:noProof/>
        </w:rPr>
        <w:fldChar w:fldCharType="begin"/>
      </w:r>
      <w:r>
        <w:rPr>
          <w:noProof/>
        </w:rPr>
        <w:instrText xml:space="preserve"> PAGEREF _Toc332093017 \h </w:instrText>
      </w:r>
      <w:r w:rsidR="005263E9">
        <w:rPr>
          <w:noProof/>
        </w:rPr>
      </w:r>
      <w:r w:rsidR="005263E9">
        <w:rPr>
          <w:noProof/>
        </w:rPr>
        <w:fldChar w:fldCharType="separate"/>
      </w:r>
      <w:r>
        <w:rPr>
          <w:noProof/>
        </w:rPr>
        <w:t>6</w:t>
      </w:r>
      <w:r w:rsidR="005263E9">
        <w:rPr>
          <w:noProof/>
        </w:rPr>
        <w:fldChar w:fldCharType="end"/>
      </w:r>
    </w:p>
    <w:p w:rsidR="000B7257" w:rsidRDefault="000B7257" w:rsidP="00DD6EEC">
      <w:pPr>
        <w:pStyle w:val="TOC2"/>
        <w:tabs>
          <w:tab w:val="right" w:leader="dot" w:pos="9350"/>
        </w:tabs>
        <w:rPr>
          <w:rFonts w:eastAsiaTheme="minorEastAsia" w:cstheme="minorBidi"/>
          <w:smallCaps w:val="0"/>
          <w:noProof/>
          <w:sz w:val="22"/>
          <w:szCs w:val="22"/>
        </w:rPr>
      </w:pPr>
      <w:r>
        <w:rPr>
          <w:noProof/>
        </w:rPr>
        <w:t>B.1.4. Form EIA-923, "Power Plant Operations Report”</w:t>
      </w:r>
      <w:r>
        <w:rPr>
          <w:noProof/>
        </w:rPr>
        <w:tab/>
      </w:r>
      <w:r w:rsidR="005263E9">
        <w:rPr>
          <w:noProof/>
        </w:rPr>
        <w:fldChar w:fldCharType="begin"/>
      </w:r>
      <w:r>
        <w:rPr>
          <w:noProof/>
        </w:rPr>
        <w:instrText xml:space="preserve"> PAGEREF _Toc332093018 \h </w:instrText>
      </w:r>
      <w:r w:rsidR="005263E9">
        <w:rPr>
          <w:noProof/>
        </w:rPr>
      </w:r>
      <w:r w:rsidR="005263E9">
        <w:rPr>
          <w:noProof/>
        </w:rPr>
        <w:fldChar w:fldCharType="separate"/>
      </w:r>
      <w:r>
        <w:rPr>
          <w:noProof/>
        </w:rPr>
        <w:t>6</w:t>
      </w:r>
      <w:r w:rsidR="005263E9">
        <w:rPr>
          <w:noProof/>
        </w:rPr>
        <w:fldChar w:fldCharType="end"/>
      </w:r>
    </w:p>
    <w:p w:rsidR="000B7257" w:rsidRDefault="000B7257" w:rsidP="00DD6EEC">
      <w:pPr>
        <w:pStyle w:val="TOC1"/>
        <w:tabs>
          <w:tab w:val="right" w:leader="dot" w:pos="9350"/>
        </w:tabs>
        <w:spacing w:after="0"/>
        <w:rPr>
          <w:rFonts w:eastAsiaTheme="minorEastAsia" w:cstheme="minorBidi"/>
          <w:b w:val="0"/>
          <w:bCs w:val="0"/>
          <w:caps w:val="0"/>
          <w:noProof/>
          <w:sz w:val="22"/>
          <w:szCs w:val="22"/>
        </w:rPr>
      </w:pPr>
      <w:r>
        <w:rPr>
          <w:noProof/>
        </w:rPr>
        <w:t>B.2. Statistical Methodology for Sampling and Imputation</w:t>
      </w:r>
      <w:r>
        <w:rPr>
          <w:noProof/>
        </w:rPr>
        <w:tab/>
      </w:r>
      <w:r w:rsidR="005263E9">
        <w:rPr>
          <w:noProof/>
        </w:rPr>
        <w:fldChar w:fldCharType="begin"/>
      </w:r>
      <w:r>
        <w:rPr>
          <w:noProof/>
        </w:rPr>
        <w:instrText xml:space="preserve"> PAGEREF _Toc332093019 \h </w:instrText>
      </w:r>
      <w:r w:rsidR="005263E9">
        <w:rPr>
          <w:noProof/>
        </w:rPr>
      </w:r>
      <w:r w:rsidR="005263E9">
        <w:rPr>
          <w:noProof/>
        </w:rPr>
        <w:fldChar w:fldCharType="separate"/>
      </w:r>
      <w:r>
        <w:rPr>
          <w:noProof/>
        </w:rPr>
        <w:t>7</w:t>
      </w:r>
      <w:r w:rsidR="005263E9">
        <w:rPr>
          <w:noProof/>
        </w:rPr>
        <w:fldChar w:fldCharType="end"/>
      </w:r>
    </w:p>
    <w:p w:rsidR="000B7257" w:rsidRDefault="000B7257" w:rsidP="00DD6EEC">
      <w:pPr>
        <w:pStyle w:val="TOC2"/>
        <w:tabs>
          <w:tab w:val="right" w:leader="dot" w:pos="9350"/>
        </w:tabs>
        <w:rPr>
          <w:rFonts w:eastAsiaTheme="minorEastAsia" w:cstheme="minorBidi"/>
          <w:smallCaps w:val="0"/>
          <w:noProof/>
          <w:sz w:val="22"/>
          <w:szCs w:val="22"/>
        </w:rPr>
      </w:pPr>
      <w:r>
        <w:rPr>
          <w:noProof/>
        </w:rPr>
        <w:t>B.2.1. Forms EIA-861 and EIA-861S</w:t>
      </w:r>
      <w:r>
        <w:rPr>
          <w:noProof/>
        </w:rPr>
        <w:tab/>
      </w:r>
      <w:r w:rsidR="005263E9">
        <w:rPr>
          <w:noProof/>
        </w:rPr>
        <w:fldChar w:fldCharType="begin"/>
      </w:r>
      <w:r>
        <w:rPr>
          <w:noProof/>
        </w:rPr>
        <w:instrText xml:space="preserve"> PAGEREF _Toc332093020 \h </w:instrText>
      </w:r>
      <w:r w:rsidR="005263E9">
        <w:rPr>
          <w:noProof/>
        </w:rPr>
      </w:r>
      <w:r w:rsidR="005263E9">
        <w:rPr>
          <w:noProof/>
        </w:rPr>
        <w:fldChar w:fldCharType="separate"/>
      </w:r>
      <w:r>
        <w:rPr>
          <w:noProof/>
        </w:rPr>
        <w:t>7</w:t>
      </w:r>
      <w:r w:rsidR="005263E9">
        <w:rPr>
          <w:noProof/>
        </w:rPr>
        <w:fldChar w:fldCharType="end"/>
      </w:r>
    </w:p>
    <w:p w:rsidR="000B7257" w:rsidRDefault="000B7257" w:rsidP="00DD6EEC">
      <w:pPr>
        <w:pStyle w:val="TOC2"/>
        <w:tabs>
          <w:tab w:val="right" w:leader="dot" w:pos="9350"/>
        </w:tabs>
        <w:rPr>
          <w:rFonts w:eastAsiaTheme="minorEastAsia" w:cstheme="minorBidi"/>
          <w:smallCaps w:val="0"/>
          <w:noProof/>
          <w:sz w:val="22"/>
          <w:szCs w:val="22"/>
        </w:rPr>
      </w:pPr>
      <w:r>
        <w:rPr>
          <w:noProof/>
        </w:rPr>
        <w:t>B.2.2. Form EIA-826</w:t>
      </w:r>
      <w:r>
        <w:rPr>
          <w:noProof/>
        </w:rPr>
        <w:tab/>
      </w:r>
      <w:r w:rsidR="005263E9">
        <w:rPr>
          <w:noProof/>
        </w:rPr>
        <w:fldChar w:fldCharType="begin"/>
      </w:r>
      <w:r>
        <w:rPr>
          <w:noProof/>
        </w:rPr>
        <w:instrText xml:space="preserve"> PAGEREF _Toc332093021 \h </w:instrText>
      </w:r>
      <w:r w:rsidR="005263E9">
        <w:rPr>
          <w:noProof/>
        </w:rPr>
      </w:r>
      <w:r w:rsidR="005263E9">
        <w:rPr>
          <w:noProof/>
        </w:rPr>
        <w:fldChar w:fldCharType="separate"/>
      </w:r>
      <w:r>
        <w:rPr>
          <w:noProof/>
        </w:rPr>
        <w:t>8</w:t>
      </w:r>
      <w:r w:rsidR="005263E9">
        <w:rPr>
          <w:noProof/>
        </w:rPr>
        <w:fldChar w:fldCharType="end"/>
      </w:r>
    </w:p>
    <w:p w:rsidR="000B7257" w:rsidRDefault="000B7257" w:rsidP="00DD6EEC">
      <w:pPr>
        <w:pStyle w:val="TOC2"/>
        <w:tabs>
          <w:tab w:val="right" w:leader="dot" w:pos="9350"/>
        </w:tabs>
        <w:rPr>
          <w:rFonts w:eastAsiaTheme="minorEastAsia" w:cstheme="minorBidi"/>
          <w:smallCaps w:val="0"/>
          <w:noProof/>
          <w:sz w:val="22"/>
          <w:szCs w:val="22"/>
        </w:rPr>
      </w:pPr>
      <w:r>
        <w:rPr>
          <w:noProof/>
        </w:rPr>
        <w:t>B.2.3. Form EIA-923</w:t>
      </w:r>
      <w:r>
        <w:rPr>
          <w:noProof/>
        </w:rPr>
        <w:tab/>
      </w:r>
      <w:r w:rsidR="005263E9">
        <w:rPr>
          <w:noProof/>
        </w:rPr>
        <w:fldChar w:fldCharType="begin"/>
      </w:r>
      <w:r>
        <w:rPr>
          <w:noProof/>
        </w:rPr>
        <w:instrText xml:space="preserve"> PAGEREF _Toc332093022 \h </w:instrText>
      </w:r>
      <w:r w:rsidR="005263E9">
        <w:rPr>
          <w:noProof/>
        </w:rPr>
      </w:r>
      <w:r w:rsidR="005263E9">
        <w:rPr>
          <w:noProof/>
        </w:rPr>
        <w:fldChar w:fldCharType="separate"/>
      </w:r>
      <w:r>
        <w:rPr>
          <w:noProof/>
        </w:rPr>
        <w:t>9</w:t>
      </w:r>
      <w:r w:rsidR="005263E9">
        <w:rPr>
          <w:noProof/>
        </w:rPr>
        <w:fldChar w:fldCharType="end"/>
      </w:r>
    </w:p>
    <w:p w:rsidR="000B7257" w:rsidRDefault="000B7257" w:rsidP="00DD6EEC">
      <w:pPr>
        <w:pStyle w:val="TOC2"/>
        <w:tabs>
          <w:tab w:val="right" w:leader="dot" w:pos="9350"/>
        </w:tabs>
        <w:rPr>
          <w:rFonts w:eastAsiaTheme="minorEastAsia" w:cstheme="minorBidi"/>
          <w:smallCaps w:val="0"/>
          <w:noProof/>
          <w:sz w:val="22"/>
          <w:szCs w:val="22"/>
        </w:rPr>
      </w:pPr>
      <w:r>
        <w:rPr>
          <w:noProof/>
        </w:rPr>
        <w:t>B.3. Methods to Maximize Response Rates</w:t>
      </w:r>
      <w:r>
        <w:rPr>
          <w:noProof/>
        </w:rPr>
        <w:tab/>
      </w:r>
      <w:r w:rsidR="005263E9">
        <w:rPr>
          <w:noProof/>
        </w:rPr>
        <w:fldChar w:fldCharType="begin"/>
      </w:r>
      <w:r>
        <w:rPr>
          <w:noProof/>
        </w:rPr>
        <w:instrText xml:space="preserve"> PAGEREF _Toc332093023 \h </w:instrText>
      </w:r>
      <w:r w:rsidR="005263E9">
        <w:rPr>
          <w:noProof/>
        </w:rPr>
      </w:r>
      <w:r w:rsidR="005263E9">
        <w:rPr>
          <w:noProof/>
        </w:rPr>
        <w:fldChar w:fldCharType="separate"/>
      </w:r>
      <w:r>
        <w:rPr>
          <w:noProof/>
        </w:rPr>
        <w:t>9</w:t>
      </w:r>
      <w:r w:rsidR="005263E9">
        <w:rPr>
          <w:noProof/>
        </w:rPr>
        <w:fldChar w:fldCharType="end"/>
      </w:r>
    </w:p>
    <w:p w:rsidR="000B7257" w:rsidRDefault="000B7257" w:rsidP="00DD6EEC">
      <w:pPr>
        <w:pStyle w:val="TOC2"/>
        <w:tabs>
          <w:tab w:val="right" w:leader="dot" w:pos="9350"/>
        </w:tabs>
        <w:rPr>
          <w:rFonts w:eastAsiaTheme="minorEastAsia" w:cstheme="minorBidi"/>
          <w:smallCaps w:val="0"/>
          <w:noProof/>
          <w:sz w:val="22"/>
          <w:szCs w:val="22"/>
        </w:rPr>
      </w:pPr>
      <w:r>
        <w:rPr>
          <w:noProof/>
        </w:rPr>
        <w:t>B.4. Tests of Procedures</w:t>
      </w:r>
      <w:r>
        <w:rPr>
          <w:noProof/>
        </w:rPr>
        <w:tab/>
      </w:r>
      <w:r w:rsidR="005263E9">
        <w:rPr>
          <w:noProof/>
        </w:rPr>
        <w:fldChar w:fldCharType="begin"/>
      </w:r>
      <w:r>
        <w:rPr>
          <w:noProof/>
        </w:rPr>
        <w:instrText xml:space="preserve"> PAGEREF _Toc332093024 \h </w:instrText>
      </w:r>
      <w:r w:rsidR="005263E9">
        <w:rPr>
          <w:noProof/>
        </w:rPr>
      </w:r>
      <w:r w:rsidR="005263E9">
        <w:rPr>
          <w:noProof/>
        </w:rPr>
        <w:fldChar w:fldCharType="separate"/>
      </w:r>
      <w:r>
        <w:rPr>
          <w:noProof/>
        </w:rPr>
        <w:t>10</w:t>
      </w:r>
      <w:r w:rsidR="005263E9">
        <w:rPr>
          <w:noProof/>
        </w:rPr>
        <w:fldChar w:fldCharType="end"/>
      </w:r>
    </w:p>
    <w:p w:rsidR="000B7257" w:rsidRDefault="000B7257" w:rsidP="00DD6EEC">
      <w:pPr>
        <w:pStyle w:val="TOC2"/>
        <w:tabs>
          <w:tab w:val="right" w:leader="dot" w:pos="9350"/>
        </w:tabs>
        <w:rPr>
          <w:rFonts w:eastAsiaTheme="minorEastAsia" w:cstheme="minorBidi"/>
          <w:smallCaps w:val="0"/>
          <w:noProof/>
          <w:sz w:val="22"/>
          <w:szCs w:val="22"/>
        </w:rPr>
      </w:pPr>
      <w:r>
        <w:rPr>
          <w:noProof/>
        </w:rPr>
        <w:t>B.5. Forms Consultation</w:t>
      </w:r>
      <w:r>
        <w:rPr>
          <w:noProof/>
        </w:rPr>
        <w:tab/>
      </w:r>
      <w:r w:rsidR="005263E9">
        <w:rPr>
          <w:noProof/>
        </w:rPr>
        <w:fldChar w:fldCharType="begin"/>
      </w:r>
      <w:r>
        <w:rPr>
          <w:noProof/>
        </w:rPr>
        <w:instrText xml:space="preserve"> PAGEREF _Toc332093025 \h </w:instrText>
      </w:r>
      <w:r w:rsidR="005263E9">
        <w:rPr>
          <w:noProof/>
        </w:rPr>
      </w:r>
      <w:r w:rsidR="005263E9">
        <w:rPr>
          <w:noProof/>
        </w:rPr>
        <w:fldChar w:fldCharType="separate"/>
      </w:r>
      <w:r>
        <w:rPr>
          <w:noProof/>
        </w:rPr>
        <w:t>10</w:t>
      </w:r>
      <w:r w:rsidR="005263E9">
        <w:rPr>
          <w:noProof/>
        </w:rPr>
        <w:fldChar w:fldCharType="end"/>
      </w:r>
    </w:p>
    <w:p w:rsidR="00DD6EEC" w:rsidRPr="00DD6EEC" w:rsidRDefault="005263E9" w:rsidP="00DD6EEC">
      <w:pPr>
        <w:pStyle w:val="Heading1"/>
        <w:spacing w:before="120" w:line="240" w:lineRule="auto"/>
        <w:rPr>
          <w:rFonts w:asciiTheme="minorHAnsi" w:hAnsiTheme="minorHAnsi"/>
          <w:sz w:val="20"/>
          <w:szCs w:val="20"/>
        </w:rPr>
      </w:pPr>
      <w:r w:rsidRPr="00067FE6">
        <w:rPr>
          <w:rFonts w:cs="Arial"/>
          <w:bCs w:val="0"/>
          <w:caps/>
        </w:rPr>
        <w:fldChar w:fldCharType="end"/>
      </w:r>
      <w:r w:rsidR="00DD6EEC" w:rsidRPr="00DD6EEC">
        <w:rPr>
          <w:rFonts w:asciiTheme="minorHAnsi" w:hAnsiTheme="minorHAnsi" w:cs="Arial"/>
          <w:b/>
          <w:bCs w:val="0"/>
          <w:caps/>
          <w:sz w:val="20"/>
          <w:szCs w:val="20"/>
        </w:rPr>
        <w:t xml:space="preserve">Appendix B-1:  </w:t>
      </w:r>
      <w:r w:rsidR="00DD6EEC">
        <w:rPr>
          <w:rFonts w:asciiTheme="minorHAnsi" w:hAnsiTheme="minorHAnsi" w:cs="Arial"/>
          <w:b/>
          <w:bCs w:val="0"/>
          <w:caps/>
          <w:sz w:val="20"/>
          <w:szCs w:val="20"/>
        </w:rPr>
        <w:t>PART B OF THE ORIGINAL CLEARANCE PACKAGE SUPPORTING STATEMENT, SEPTEMBER 2010</w:t>
      </w:r>
      <w:proofErr w:type="gramStart"/>
      <w:r w:rsidR="00DD6EEC">
        <w:rPr>
          <w:rFonts w:asciiTheme="minorHAnsi" w:hAnsiTheme="minorHAnsi" w:cs="Arial"/>
          <w:b/>
          <w:bCs w:val="0"/>
          <w:caps/>
          <w:sz w:val="20"/>
          <w:szCs w:val="20"/>
        </w:rPr>
        <w:t>..</w:t>
      </w:r>
      <w:r w:rsidR="00DD6EEC">
        <w:rPr>
          <w:rFonts w:asciiTheme="minorHAnsi" w:hAnsiTheme="minorHAnsi" w:cs="Arial"/>
          <w:bCs w:val="0"/>
          <w:caps/>
          <w:sz w:val="20"/>
          <w:szCs w:val="20"/>
        </w:rPr>
        <w:t>12</w:t>
      </w:r>
      <w:proofErr w:type="gramEnd"/>
    </w:p>
    <w:p w:rsidR="003917DF" w:rsidRPr="00DD6EEC" w:rsidRDefault="003917DF" w:rsidP="00066330">
      <w:pPr>
        <w:spacing w:before="100" w:beforeAutospacing="1" w:after="100" w:afterAutospacing="1"/>
        <w:rPr>
          <w:b/>
          <w:sz w:val="20"/>
          <w:szCs w:val="20"/>
        </w:rPr>
      </w:pPr>
    </w:p>
    <w:p w:rsidR="000B7257" w:rsidRDefault="000B7257">
      <w:pPr>
        <w:rPr>
          <w:rFonts w:ascii="Arial Black" w:eastAsiaTheme="majorEastAsia" w:hAnsi="Arial Black" w:cstheme="majorBidi"/>
          <w:b/>
          <w:bCs/>
          <w:sz w:val="24"/>
          <w:szCs w:val="24"/>
        </w:rPr>
      </w:pPr>
      <w:r>
        <w:rPr>
          <w:sz w:val="24"/>
          <w:szCs w:val="24"/>
        </w:rPr>
        <w:br w:type="page"/>
      </w:r>
    </w:p>
    <w:p w:rsidR="00C77E4B" w:rsidRPr="00D56ED2" w:rsidRDefault="00C77E4B" w:rsidP="00C77E4B">
      <w:pPr>
        <w:pStyle w:val="Heading2"/>
        <w:rPr>
          <w:sz w:val="24"/>
          <w:szCs w:val="24"/>
        </w:rPr>
      </w:pPr>
      <w:bookmarkStart w:id="1" w:name="_Toc332093013"/>
      <w:r w:rsidRPr="00D56ED2">
        <w:rPr>
          <w:sz w:val="24"/>
          <w:szCs w:val="24"/>
        </w:rPr>
        <w:lastRenderedPageBreak/>
        <w:t>Part B: Collection of Information Employing Statistical Methods</w:t>
      </w:r>
      <w:bookmarkEnd w:id="1"/>
    </w:p>
    <w:p w:rsidR="00D56ED2" w:rsidRDefault="00D56ED2" w:rsidP="00D56ED2"/>
    <w:p w:rsidR="00D56ED2" w:rsidRPr="00D56ED2" w:rsidRDefault="003917DF" w:rsidP="00D56ED2">
      <w:pPr>
        <w:rPr>
          <w:rFonts w:ascii="Arial Black" w:hAnsi="Arial Black"/>
          <w:b/>
        </w:rPr>
      </w:pPr>
      <w:r>
        <w:rPr>
          <w:rFonts w:ascii="Arial Black" w:hAnsi="Arial Black"/>
          <w:b/>
        </w:rPr>
        <w:t xml:space="preserve">Background: </w:t>
      </w:r>
      <w:r w:rsidR="00D56ED2" w:rsidRPr="00D56ED2">
        <w:rPr>
          <w:rFonts w:ascii="Arial Black" w:hAnsi="Arial Black"/>
          <w:b/>
        </w:rPr>
        <w:t>Summary of Proposals</w:t>
      </w:r>
    </w:p>
    <w:bookmarkEnd w:id="0"/>
    <w:p w:rsidR="003917DF" w:rsidRPr="00435129" w:rsidRDefault="003917DF" w:rsidP="003917DF">
      <w:pPr>
        <w:spacing w:before="100" w:beforeAutospacing="1" w:after="0"/>
        <w:rPr>
          <w:bCs/>
        </w:rPr>
      </w:pPr>
      <w:r w:rsidRPr="00435129">
        <w:rPr>
          <w:bCs/>
        </w:rPr>
        <w:t>This section provides</w:t>
      </w:r>
      <w:r w:rsidR="00435129">
        <w:rPr>
          <w:bCs/>
        </w:rPr>
        <w:t xml:space="preserve"> </w:t>
      </w:r>
      <w:r w:rsidRPr="00435129">
        <w:rPr>
          <w:bCs/>
        </w:rPr>
        <w:t>a summary of the proposed survey changes.  The survey changes are discussed in detail in Part A of this supporting statement.</w:t>
      </w:r>
    </w:p>
    <w:p w:rsidR="008763A1" w:rsidRDefault="008763A1" w:rsidP="003917DF">
      <w:pPr>
        <w:spacing w:before="100" w:beforeAutospacing="1" w:after="0"/>
        <w:rPr>
          <w:bCs/>
        </w:rPr>
      </w:pPr>
      <w:r>
        <w:rPr>
          <w:bCs/>
        </w:rPr>
        <w:t xml:space="preserve">The proposed changes involve selected changes to two </w:t>
      </w:r>
      <w:r w:rsidRPr="00435129">
        <w:rPr>
          <w:bCs/>
        </w:rPr>
        <w:t>existing surveys</w:t>
      </w:r>
      <w:r w:rsidR="002757E3">
        <w:rPr>
          <w:bCs/>
        </w:rPr>
        <w:t xml:space="preserve">, </w:t>
      </w:r>
      <w:r w:rsidRPr="00435129">
        <w:rPr>
          <w:bCs/>
        </w:rPr>
        <w:t xml:space="preserve">the </w:t>
      </w:r>
      <w:r w:rsidR="00E20A35">
        <w:rPr>
          <w:bCs/>
        </w:rPr>
        <w:t xml:space="preserve">Form </w:t>
      </w:r>
      <w:r w:rsidRPr="00435129">
        <w:rPr>
          <w:bCs/>
        </w:rPr>
        <w:t xml:space="preserve">EIA-861, "Annual Electric Power Industry Report" and Schedule 2 of the </w:t>
      </w:r>
      <w:r w:rsidR="003A46AD">
        <w:rPr>
          <w:bCs/>
        </w:rPr>
        <w:t xml:space="preserve">Form </w:t>
      </w:r>
      <w:r w:rsidRPr="00435129">
        <w:rPr>
          <w:bCs/>
        </w:rPr>
        <w:t>EIA-923, "Power Plant Operations Report</w:t>
      </w:r>
      <w:r w:rsidR="002757E3">
        <w:rPr>
          <w:bCs/>
        </w:rPr>
        <w:t>.</w:t>
      </w:r>
      <w:r w:rsidRPr="00435129">
        <w:rPr>
          <w:bCs/>
        </w:rPr>
        <w:t xml:space="preserve">" </w:t>
      </w:r>
      <w:r w:rsidR="002757E3">
        <w:rPr>
          <w:bCs/>
        </w:rPr>
        <w:t>The proposal also includes the</w:t>
      </w:r>
      <w:r w:rsidR="00066330">
        <w:rPr>
          <w:bCs/>
        </w:rPr>
        <w:t xml:space="preserve"> creation of </w:t>
      </w:r>
      <w:r w:rsidRPr="00435129">
        <w:rPr>
          <w:bCs/>
        </w:rPr>
        <w:t xml:space="preserve">one new survey, the </w:t>
      </w:r>
      <w:r w:rsidR="003A46AD">
        <w:rPr>
          <w:bCs/>
        </w:rPr>
        <w:t xml:space="preserve">Form </w:t>
      </w:r>
      <w:r w:rsidRPr="00435129">
        <w:rPr>
          <w:bCs/>
        </w:rPr>
        <w:t>EIA-861S, a short-form version of the current</w:t>
      </w:r>
      <w:r w:rsidR="003A46AD">
        <w:rPr>
          <w:bCs/>
        </w:rPr>
        <w:t xml:space="preserve"> Form </w:t>
      </w:r>
      <w:r w:rsidRPr="00435129">
        <w:rPr>
          <w:bCs/>
        </w:rPr>
        <w:t>EIA-861.</w:t>
      </w:r>
      <w:r>
        <w:rPr>
          <w:bCs/>
        </w:rPr>
        <w:t xml:space="preserve">  </w:t>
      </w:r>
    </w:p>
    <w:p w:rsidR="00435129" w:rsidRDefault="008763A1" w:rsidP="003917DF">
      <w:pPr>
        <w:spacing w:before="100" w:beforeAutospacing="1" w:after="0"/>
        <w:rPr>
          <w:bCs/>
        </w:rPr>
      </w:pPr>
      <w:r>
        <w:rPr>
          <w:bCs/>
        </w:rPr>
        <w:t xml:space="preserve">The existing surveys are currently cleared by OMB through October 2013.  Therefore these selected changes constitute a revision (supplement) to the existing clearance, not a replacement of or extension to the existing clearance.  </w:t>
      </w:r>
      <w:r w:rsidR="002757E3">
        <w:rPr>
          <w:bCs/>
        </w:rPr>
        <w:t>As with the existing electric power surveys, t</w:t>
      </w:r>
      <w:r>
        <w:rPr>
          <w:bCs/>
        </w:rPr>
        <w:t xml:space="preserve">he proposed </w:t>
      </w:r>
      <w:r w:rsidR="003A46AD">
        <w:rPr>
          <w:bCs/>
        </w:rPr>
        <w:t xml:space="preserve">Form </w:t>
      </w:r>
      <w:r w:rsidR="002757E3">
        <w:rPr>
          <w:bCs/>
        </w:rPr>
        <w:t xml:space="preserve">EIA-861S will expire </w:t>
      </w:r>
      <w:r>
        <w:rPr>
          <w:bCs/>
        </w:rPr>
        <w:t xml:space="preserve">in 2013 so that all the electric power surveys can be proposed for re-clearance as a group with common dates.  </w:t>
      </w:r>
    </w:p>
    <w:p w:rsidR="00435129" w:rsidRDefault="008763A1" w:rsidP="003917DF">
      <w:pPr>
        <w:spacing w:before="100" w:beforeAutospacing="1" w:after="0"/>
        <w:rPr>
          <w:bCs/>
        </w:rPr>
      </w:pPr>
      <w:r>
        <w:rPr>
          <w:b/>
          <w:bCs/>
        </w:rPr>
        <w:t>Form EIA-861, "Annual Electric Power Industry Report"</w:t>
      </w:r>
    </w:p>
    <w:p w:rsidR="00435129" w:rsidRDefault="008763A1" w:rsidP="00066330">
      <w:pPr>
        <w:pStyle w:val="ListParagraph"/>
        <w:numPr>
          <w:ilvl w:val="0"/>
          <w:numId w:val="4"/>
        </w:numPr>
        <w:spacing w:before="120" w:after="120"/>
        <w:contextualSpacing w:val="0"/>
        <w:rPr>
          <w:bCs/>
        </w:rPr>
      </w:pPr>
      <w:r>
        <w:rPr>
          <w:bCs/>
        </w:rPr>
        <w:t xml:space="preserve">The </w:t>
      </w:r>
      <w:r w:rsidR="00D77865">
        <w:rPr>
          <w:bCs/>
        </w:rPr>
        <w:t xml:space="preserve">Form </w:t>
      </w:r>
      <w:r w:rsidR="00306937">
        <w:rPr>
          <w:bCs/>
        </w:rPr>
        <w:t>EIA-861</w:t>
      </w:r>
      <w:r>
        <w:rPr>
          <w:bCs/>
        </w:rPr>
        <w:t xml:space="preserve"> is currently an annual survey of a universe consisting of all electric utilities in the United States and other related entities, such as power marketers.  The frame consists of 3,300 entities.  The data collected includes information related to electricity sales, customers, </w:t>
      </w:r>
      <w:r w:rsidR="00FF01A7">
        <w:rPr>
          <w:bCs/>
        </w:rPr>
        <w:t>and demand</w:t>
      </w:r>
      <w:r>
        <w:rPr>
          <w:bCs/>
        </w:rPr>
        <w:t xml:space="preserve"> response and energy efficiency activities.</w:t>
      </w:r>
    </w:p>
    <w:p w:rsidR="008763A1" w:rsidRDefault="008763A1" w:rsidP="00066330">
      <w:pPr>
        <w:pStyle w:val="ListParagraph"/>
        <w:numPr>
          <w:ilvl w:val="0"/>
          <w:numId w:val="4"/>
        </w:numPr>
        <w:spacing w:before="120" w:after="120"/>
        <w:contextualSpacing w:val="0"/>
        <w:rPr>
          <w:bCs/>
        </w:rPr>
      </w:pPr>
      <w:r>
        <w:rPr>
          <w:bCs/>
        </w:rPr>
        <w:t xml:space="preserve">Many of the survey respondents are very small and have difficulty providing accurate responses to the </w:t>
      </w:r>
      <w:r w:rsidR="00D77865">
        <w:rPr>
          <w:bCs/>
        </w:rPr>
        <w:t xml:space="preserve">Form </w:t>
      </w:r>
      <w:r>
        <w:rPr>
          <w:bCs/>
        </w:rPr>
        <w:t>EIA-861 survey.  The survey is burdensome for these small respondents and editing their responses consumes a disproportionate share of EIA’s resources.</w:t>
      </w:r>
    </w:p>
    <w:p w:rsidR="008763A1" w:rsidRPr="008763A1" w:rsidRDefault="008763A1" w:rsidP="00066330">
      <w:pPr>
        <w:pStyle w:val="ListParagraph"/>
        <w:numPr>
          <w:ilvl w:val="0"/>
          <w:numId w:val="4"/>
        </w:numPr>
        <w:spacing w:before="120" w:after="120"/>
        <w:contextualSpacing w:val="0"/>
        <w:rPr>
          <w:bCs/>
        </w:rPr>
      </w:pPr>
      <w:r>
        <w:rPr>
          <w:bCs/>
        </w:rPr>
        <w:t>EIA propose</w:t>
      </w:r>
      <w:r w:rsidR="00306937">
        <w:rPr>
          <w:bCs/>
        </w:rPr>
        <w:t>s</w:t>
      </w:r>
      <w:r>
        <w:rPr>
          <w:bCs/>
        </w:rPr>
        <w:t xml:space="preserve"> to change the </w:t>
      </w:r>
      <w:r w:rsidR="00D77865">
        <w:rPr>
          <w:bCs/>
        </w:rPr>
        <w:t xml:space="preserve">Form </w:t>
      </w:r>
      <w:r>
        <w:rPr>
          <w:bCs/>
        </w:rPr>
        <w:t xml:space="preserve">EIA-861 from a survey of all </w:t>
      </w:r>
      <w:r w:rsidR="00306937">
        <w:rPr>
          <w:bCs/>
        </w:rPr>
        <w:t>utilities</w:t>
      </w:r>
      <w:r>
        <w:rPr>
          <w:bCs/>
        </w:rPr>
        <w:t xml:space="preserve"> and related entities to a survey of a sample of 2,200 larger respondents.  The remaining 1,100 respondents – which in aggregate account for only about 1 percent of </w:t>
      </w:r>
      <w:r w:rsidR="001F0686">
        <w:rPr>
          <w:bCs/>
        </w:rPr>
        <w:t xml:space="preserve">total </w:t>
      </w:r>
      <w:r>
        <w:rPr>
          <w:bCs/>
        </w:rPr>
        <w:t>U.S.</w:t>
      </w:r>
      <w:r w:rsidR="001F0686">
        <w:rPr>
          <w:bCs/>
        </w:rPr>
        <w:t xml:space="preserve"> electricity sales</w:t>
      </w:r>
      <w:r>
        <w:rPr>
          <w:bCs/>
        </w:rPr>
        <w:t xml:space="preserve"> </w:t>
      </w:r>
      <w:r w:rsidR="00FF01A7">
        <w:rPr>
          <w:bCs/>
        </w:rPr>
        <w:t>and rarely perform anything outside of basic electricity sales and distribution activities – would report on a new short form, discussed immediately below.</w:t>
      </w:r>
    </w:p>
    <w:p w:rsidR="00FF01A7" w:rsidRPr="00FF01A7" w:rsidRDefault="00FF01A7" w:rsidP="00E20A35">
      <w:pPr>
        <w:spacing w:before="100" w:beforeAutospacing="1" w:after="0"/>
        <w:rPr>
          <w:b/>
        </w:rPr>
      </w:pPr>
      <w:r w:rsidRPr="00FF01A7">
        <w:rPr>
          <w:b/>
        </w:rPr>
        <w:t>Form EIA-861</w:t>
      </w:r>
      <w:r>
        <w:rPr>
          <w:b/>
        </w:rPr>
        <w:t>S</w:t>
      </w:r>
      <w:r w:rsidR="00E20A35">
        <w:rPr>
          <w:b/>
        </w:rPr>
        <w:t>,</w:t>
      </w:r>
      <w:r>
        <w:rPr>
          <w:b/>
        </w:rPr>
        <w:t xml:space="preserve"> </w:t>
      </w:r>
      <w:r w:rsidR="00E20A35">
        <w:rPr>
          <w:b/>
          <w:bCs/>
        </w:rPr>
        <w:t>"Annual Electric Power Industry Report</w:t>
      </w:r>
      <w:r w:rsidR="00E20A35">
        <w:rPr>
          <w:b/>
        </w:rPr>
        <w:t xml:space="preserve"> </w:t>
      </w:r>
      <w:r>
        <w:rPr>
          <w:b/>
        </w:rPr>
        <w:t>(Short Form)</w:t>
      </w:r>
      <w:r w:rsidR="00E20A35">
        <w:rPr>
          <w:b/>
        </w:rPr>
        <w:t>”</w:t>
      </w:r>
    </w:p>
    <w:p w:rsidR="00FF01A7" w:rsidRPr="00306937" w:rsidRDefault="00FF01A7" w:rsidP="00066330">
      <w:pPr>
        <w:pStyle w:val="BodyText3"/>
        <w:numPr>
          <w:ilvl w:val="0"/>
          <w:numId w:val="5"/>
        </w:num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spacing w:before="120"/>
        <w:rPr>
          <w:sz w:val="22"/>
          <w:szCs w:val="22"/>
        </w:rPr>
      </w:pPr>
      <w:r w:rsidRPr="00306937">
        <w:rPr>
          <w:sz w:val="22"/>
          <w:szCs w:val="22"/>
        </w:rPr>
        <w:t>The sample of this new annual survey would consist of the 1,100 respondents removed from the Form EIA-861 frame.  The survey would collect very limited data from these respondents, primarily total sales, retail revenues, and customer counts.  A statistical imputation methodology would be used to allocate sales, revenues, and customer counts to industry sectors (i.e., residential, commercial, industrial, and transportation).</w:t>
      </w:r>
    </w:p>
    <w:p w:rsidR="00435129" w:rsidRPr="00FF01A7" w:rsidRDefault="00FF01A7" w:rsidP="00FF01A7">
      <w:pPr>
        <w:pStyle w:val="ListParagraph"/>
        <w:numPr>
          <w:ilvl w:val="0"/>
          <w:numId w:val="4"/>
        </w:numPr>
        <w:spacing w:before="100" w:beforeAutospacing="1" w:after="0"/>
        <w:rPr>
          <w:bCs/>
        </w:rPr>
      </w:pPr>
      <w:r w:rsidRPr="00773785">
        <w:lastRenderedPageBreak/>
        <w:t>Once every 5 years the</w:t>
      </w:r>
      <w:r>
        <w:t xml:space="preserve"> </w:t>
      </w:r>
      <w:r w:rsidR="00E20A35">
        <w:t xml:space="preserve">Form </w:t>
      </w:r>
      <w:r>
        <w:t xml:space="preserve">EIA-861S </w:t>
      </w:r>
      <w:r w:rsidRPr="00773785">
        <w:t>respondents would be required to fill out the Form EIA-861 in lieu of the Form EIA-861S</w:t>
      </w:r>
      <w:r>
        <w:t>.  T</w:t>
      </w:r>
      <w:r w:rsidRPr="00773785">
        <w:t>his information will be used to verify and update the sample and the imputation methodology</w:t>
      </w:r>
      <w:r>
        <w:t>.</w:t>
      </w:r>
    </w:p>
    <w:p w:rsidR="003917DF" w:rsidRDefault="003917DF" w:rsidP="003917DF">
      <w:pPr>
        <w:spacing w:before="100" w:beforeAutospacing="1" w:after="0"/>
        <w:rPr>
          <w:b/>
          <w:bCs/>
        </w:rPr>
      </w:pPr>
      <w:r>
        <w:rPr>
          <w:b/>
          <w:bCs/>
        </w:rPr>
        <w:t>Summary of Proposal Related to Form EIA-923, "Power Plant Operations Report"</w:t>
      </w:r>
    </w:p>
    <w:p w:rsidR="00FF01A7" w:rsidRDefault="003917DF" w:rsidP="00066330">
      <w:pPr>
        <w:pStyle w:val="ListParagraph"/>
        <w:numPr>
          <w:ilvl w:val="0"/>
          <w:numId w:val="4"/>
        </w:numPr>
        <w:spacing w:before="120" w:after="120"/>
        <w:contextualSpacing w:val="0"/>
        <w:jc w:val="both"/>
      </w:pPr>
      <w:r w:rsidRPr="00525BC9">
        <w:t xml:space="preserve">The Form EIA-923 is a mandatory report that collects </w:t>
      </w:r>
      <w:r w:rsidR="00FF01A7">
        <w:t>a wide variety of data on the operations of power plants. Depending on the size (megawatt capacity) of a plant it reports either monthly or annually</w:t>
      </w:r>
      <w:r w:rsidRPr="00525BC9">
        <w:t>.</w:t>
      </w:r>
    </w:p>
    <w:p w:rsidR="003917DF" w:rsidRDefault="003917DF" w:rsidP="00066330">
      <w:pPr>
        <w:pStyle w:val="ListParagraph"/>
        <w:numPr>
          <w:ilvl w:val="0"/>
          <w:numId w:val="4"/>
        </w:numPr>
        <w:spacing w:before="120" w:after="120"/>
        <w:contextualSpacing w:val="0"/>
        <w:jc w:val="both"/>
      </w:pPr>
      <w:r w:rsidRPr="00525BC9">
        <w:t xml:space="preserve">This proposal affects </w:t>
      </w:r>
      <w:r>
        <w:t xml:space="preserve">only </w:t>
      </w:r>
      <w:r w:rsidRPr="00525BC9">
        <w:t xml:space="preserve">Schedule 2, “Cost and Quality of Fuel </w:t>
      </w:r>
      <w:r>
        <w:t>Purchases – Plant-Level</w:t>
      </w:r>
      <w:r w:rsidRPr="00525BC9">
        <w:t>,</w:t>
      </w:r>
      <w:r>
        <w:t xml:space="preserve">” </w:t>
      </w:r>
      <w:r w:rsidRPr="00525BC9">
        <w:t>which</w:t>
      </w:r>
      <w:r>
        <w:t xml:space="preserve"> </w:t>
      </w:r>
      <w:r w:rsidRPr="00525BC9">
        <w:t xml:space="preserve">collects </w:t>
      </w:r>
      <w:r>
        <w:t xml:space="preserve">information on the cost, quality, and volume of combustible fuel receipts.  Currently, plants must report these data only if the plant meets a minimum capacity threshold of </w:t>
      </w:r>
      <w:r w:rsidRPr="00525BC9">
        <w:t>50 megawatts</w:t>
      </w:r>
      <w:r>
        <w:t xml:space="preserve"> (MW)</w:t>
      </w:r>
      <w:r w:rsidRPr="00525BC9">
        <w:t xml:space="preserve"> </w:t>
      </w:r>
      <w:r>
        <w:t xml:space="preserve">of nameplate capacity </w:t>
      </w:r>
      <w:r w:rsidRPr="00525BC9">
        <w:t>or greater.</w:t>
      </w:r>
    </w:p>
    <w:p w:rsidR="003917DF" w:rsidRPr="002D074B" w:rsidRDefault="00FF01A7" w:rsidP="00066330">
      <w:pPr>
        <w:pStyle w:val="ListParagraph"/>
        <w:numPr>
          <w:ilvl w:val="0"/>
          <w:numId w:val="4"/>
        </w:numPr>
        <w:spacing w:before="120" w:after="120"/>
        <w:contextualSpacing w:val="0"/>
        <w:jc w:val="both"/>
      </w:pPr>
      <w:r>
        <w:t xml:space="preserve">As in the case of the </w:t>
      </w:r>
      <w:r w:rsidR="00E20A35">
        <w:t xml:space="preserve">Form </w:t>
      </w:r>
      <w:r>
        <w:t>EIA-861, EIA has found that smaller respondents have difficulty providing accurate responses to Schedule 2.  In addition, the data collected on certain minor</w:t>
      </w:r>
      <w:r w:rsidR="009139DA">
        <w:t xml:space="preserve"> and self-produced fuels (</w:t>
      </w:r>
      <w:r>
        <w:t xml:space="preserve">blast furnace gas, other manufactured gases, kerosene, </w:t>
      </w:r>
      <w:r w:rsidR="009139DA">
        <w:t xml:space="preserve">propane, </w:t>
      </w:r>
      <w:r>
        <w:t>jet fuel, and waste oils) is difficult to verify and edit because the quality and pricing are inconsistent and volatile.</w:t>
      </w:r>
      <w:r w:rsidR="00AD2003">
        <w:t xml:space="preserve">  Based on this experience </w:t>
      </w:r>
      <w:r w:rsidR="003917DF" w:rsidRPr="002D074B">
        <w:t xml:space="preserve">EIA proposes </w:t>
      </w:r>
      <w:r w:rsidR="00AD2003">
        <w:t>the follows changes, intended to reduce EIA’s data processing burden and respondent burden</w:t>
      </w:r>
      <w:r w:rsidR="003917DF" w:rsidRPr="002D074B">
        <w:t>:</w:t>
      </w:r>
    </w:p>
    <w:p w:rsidR="003917DF" w:rsidRPr="00306937" w:rsidRDefault="003917DF" w:rsidP="00066330">
      <w:pPr>
        <w:pStyle w:val="ListParagraph"/>
        <w:numPr>
          <w:ilvl w:val="0"/>
          <w:numId w:val="1"/>
        </w:numPr>
        <w:spacing w:before="120" w:after="120"/>
        <w:contextualSpacing w:val="0"/>
      </w:pPr>
      <w:r>
        <w:t xml:space="preserve">Raise the schedule 2 reporting threshold to 200 MW of nameplate capacity for plants fueled by natural gas, petroleum coke, distillate fuel oil, and residual fuel oil.  Based on comments EIA </w:t>
      </w:r>
      <w:r w:rsidRPr="00306937">
        <w:t>received in response to the 60-day Federal Register Notice, the reporting threshold will not be raised for coal-fired power plants</w:t>
      </w:r>
      <w:r w:rsidR="002757E3">
        <w:t xml:space="preserve"> (see Part A, Appendix A-1)</w:t>
      </w:r>
      <w:r w:rsidRPr="00306937">
        <w:t>.</w:t>
      </w:r>
    </w:p>
    <w:p w:rsidR="003917DF" w:rsidRDefault="003917DF" w:rsidP="00066330">
      <w:pPr>
        <w:pStyle w:val="ListParagraph"/>
        <w:numPr>
          <w:ilvl w:val="0"/>
          <w:numId w:val="1"/>
        </w:numPr>
        <w:spacing w:before="120" w:after="120"/>
        <w:contextualSpacing w:val="0"/>
      </w:pPr>
      <w:r>
        <w:t>Remove the reporting requirement for self-produced and minor fuels.</w:t>
      </w:r>
    </w:p>
    <w:p w:rsidR="001F0686" w:rsidRDefault="001F0686" w:rsidP="00066330">
      <w:pPr>
        <w:pStyle w:val="ListParagraph"/>
        <w:numPr>
          <w:ilvl w:val="0"/>
          <w:numId w:val="1"/>
        </w:numPr>
        <w:spacing w:before="120" w:after="120"/>
        <w:contextualSpacing w:val="0"/>
      </w:pPr>
      <w:r>
        <w:t xml:space="preserve"> S</w:t>
      </w:r>
      <w:r w:rsidRPr="00081A40">
        <w:t xml:space="preserve">tatistical </w:t>
      </w:r>
      <w:r>
        <w:t>estimation</w:t>
      </w:r>
      <w:r w:rsidRPr="00081A40">
        <w:t xml:space="preserve"> </w:t>
      </w:r>
      <w:r>
        <w:t xml:space="preserve">of non-sampled entities will no longer be performed for published data from </w:t>
      </w:r>
      <w:r w:rsidRPr="00081A40">
        <w:t>Schedule 2 of the Form EIA-923.</w:t>
      </w:r>
      <w:r>
        <w:t xml:space="preserve">  (Statistical imputation for non-responding entities sampled, if any, will continue to be performed.)</w:t>
      </w:r>
    </w:p>
    <w:p w:rsidR="006F7B30" w:rsidRPr="005C1511" w:rsidRDefault="006F7B30" w:rsidP="00435129">
      <w:pPr>
        <w:pStyle w:val="Heading1"/>
      </w:pPr>
      <w:bookmarkStart w:id="2" w:name="_Toc332093014"/>
      <w:r w:rsidRPr="005C1511">
        <w:t>B.1. Respondent</w:t>
      </w:r>
      <w:r w:rsidRPr="005C1511">
        <w:rPr>
          <w:rStyle w:val="FootnoteReference"/>
          <w:rFonts w:ascii="Calibri" w:hAnsi="Calibri"/>
          <w:szCs w:val="22"/>
        </w:rPr>
        <w:footnoteReference w:id="1"/>
      </w:r>
      <w:r w:rsidRPr="005C1511">
        <w:t xml:space="preserve"> Universe</w:t>
      </w:r>
      <w:r>
        <w:t xml:space="preserve"> and Target Population</w:t>
      </w:r>
      <w:bookmarkEnd w:id="2"/>
    </w:p>
    <w:p w:rsidR="006F7B30" w:rsidRPr="006F7B30" w:rsidRDefault="006F7B30" w:rsidP="009139DA">
      <w:pPr>
        <w:pStyle w:val="Heading2"/>
        <w:spacing w:after="240"/>
      </w:pPr>
      <w:bookmarkStart w:id="3" w:name="_Toc332093015"/>
      <w:r w:rsidRPr="006F7B30">
        <w:t>B.1.1. Form EIA-861, "Annual Electric Power Industry Report"</w:t>
      </w:r>
      <w:bookmarkEnd w:id="3"/>
    </w:p>
    <w:p w:rsidR="006F7B30" w:rsidRDefault="006F7B30" w:rsidP="006F7B30">
      <w:pPr>
        <w:spacing w:before="120"/>
        <w:jc w:val="both"/>
      </w:pPr>
      <w:r w:rsidRPr="005B2B76">
        <w:t xml:space="preserve">The Form EIA-861, "Annual Electric Power Industry Report,” has historically been a census of participants </w:t>
      </w:r>
      <w:r w:rsidR="00435129">
        <w:t xml:space="preserve">in the electric power industry primarily </w:t>
      </w:r>
      <w:r w:rsidR="00435129" w:rsidRPr="006258FB">
        <w:rPr>
          <w:color w:val="000000"/>
        </w:rPr>
        <w:t xml:space="preserve">involved in the distribution </w:t>
      </w:r>
      <w:r w:rsidR="00435129">
        <w:rPr>
          <w:color w:val="000000"/>
        </w:rPr>
        <w:t xml:space="preserve">and sale </w:t>
      </w:r>
      <w:r w:rsidR="00435129" w:rsidRPr="006258FB">
        <w:rPr>
          <w:color w:val="000000"/>
        </w:rPr>
        <w:t>of electric energy</w:t>
      </w:r>
      <w:r w:rsidRPr="005B2B76">
        <w:t xml:space="preserve"> in the United States and its territories.  Target population members include electric utilities, wholesale power marketers (registered with the Federal Energy Regulatory Commission), energy service </w:t>
      </w:r>
      <w:r w:rsidRPr="005B2B76">
        <w:lastRenderedPageBreak/>
        <w:t xml:space="preserve">providers (registered with the </w:t>
      </w:r>
      <w:r w:rsidR="0031617A">
        <w:t>S</w:t>
      </w:r>
      <w:r w:rsidRPr="005B2B76">
        <w:t>tates), and electric power producers who make retail sales of electricity.  Responses are collected at the business (operating) level.</w:t>
      </w:r>
    </w:p>
    <w:p w:rsidR="00AD2003" w:rsidRDefault="006F7B30" w:rsidP="006F7B30">
      <w:pPr>
        <w:tabs>
          <w:tab w:val="left" w:pos="1152"/>
          <w:tab w:val="left" w:pos="2160"/>
          <w:tab w:val="left" w:pos="3024"/>
          <w:tab w:val="left" w:pos="4320"/>
          <w:tab w:val="left" w:pos="7776"/>
        </w:tabs>
        <w:spacing w:before="120"/>
        <w:jc w:val="both"/>
      </w:pPr>
      <w:r w:rsidRPr="005B2B76">
        <w:t>This population comprises a</w:t>
      </w:r>
      <w:r>
        <w:t>pproximately</w:t>
      </w:r>
      <w:r w:rsidRPr="005B2B76">
        <w:t xml:space="preserve"> 3,300 entities</w:t>
      </w:r>
      <w:r>
        <w:t>, primarily</w:t>
      </w:r>
      <w:r w:rsidRPr="005B2B76">
        <w:t xml:space="preserve"> electric utility companies.</w:t>
      </w:r>
      <w:r w:rsidR="00AD2003">
        <w:t xml:space="preserve">  </w:t>
      </w:r>
      <w:r w:rsidR="00AD2003" w:rsidRPr="00AD2003">
        <w:t>This survey serves as the universe from which the sampl</w:t>
      </w:r>
      <w:r w:rsidR="00AD2003">
        <w:t>e for the Form EIA-826 is drawn</w:t>
      </w:r>
      <w:r w:rsidR="00EA1726">
        <w:t xml:space="preserve"> (discussed further below).</w:t>
      </w:r>
    </w:p>
    <w:p w:rsidR="006F7B30" w:rsidRDefault="006F7B30" w:rsidP="006F7B30">
      <w:pPr>
        <w:tabs>
          <w:tab w:val="left" w:pos="1152"/>
          <w:tab w:val="left" w:pos="2160"/>
          <w:tab w:val="left" w:pos="3024"/>
          <w:tab w:val="left" w:pos="4320"/>
          <w:tab w:val="left" w:pos="7776"/>
        </w:tabs>
        <w:spacing w:before="100" w:beforeAutospacing="1" w:after="100" w:afterAutospacing="1"/>
        <w:jc w:val="both"/>
      </w:pPr>
      <w:r w:rsidRPr="005C1511">
        <w:t xml:space="preserve">EIA is proposing to modify this survey from a census to a </w:t>
      </w:r>
      <w:r>
        <w:t xml:space="preserve">cutoff </w:t>
      </w:r>
      <w:r w:rsidRPr="005C1511">
        <w:t>sample of approximately 2,200 entities</w:t>
      </w:r>
      <w:r>
        <w:t>.  Th</w:t>
      </w:r>
      <w:r w:rsidRPr="005B2B76">
        <w:t xml:space="preserve">e remaining 1,100 utilities would report a limited set of data on a new short form survey, discussed </w:t>
      </w:r>
      <w:r w:rsidR="00EA1726">
        <w:t xml:space="preserve">immediately </w:t>
      </w:r>
      <w:r w:rsidRPr="005B2B76">
        <w:t>below.</w:t>
      </w:r>
    </w:p>
    <w:p w:rsidR="006F7B30" w:rsidRPr="006F7B30" w:rsidRDefault="006F7B30" w:rsidP="009139DA">
      <w:pPr>
        <w:pStyle w:val="Heading2"/>
        <w:spacing w:after="240"/>
      </w:pPr>
      <w:bookmarkStart w:id="4" w:name="_Toc332093016"/>
      <w:r w:rsidRPr="006F7B30">
        <w:t>B.1.2. Form EIA-861S, "Annual Electric Power Industry Report (Short Form)"</w:t>
      </w:r>
      <w:bookmarkEnd w:id="4"/>
    </w:p>
    <w:p w:rsidR="006F7B30" w:rsidRPr="005B0BF1" w:rsidRDefault="006F7B30" w:rsidP="006F7B30">
      <w:pPr>
        <w:autoSpaceDE w:val="0"/>
        <w:autoSpaceDN w:val="0"/>
        <w:adjustRightInd w:val="0"/>
        <w:spacing w:before="60" w:after="100" w:afterAutospacing="1"/>
        <w:jc w:val="both"/>
      </w:pPr>
      <w:r w:rsidRPr="005C1511">
        <w:t xml:space="preserve">EIA is proposing to create the new Form EIA-861S. </w:t>
      </w:r>
      <w:r>
        <w:t xml:space="preserve"> </w:t>
      </w:r>
      <w:r w:rsidRPr="005C1511">
        <w:t>The Form EIA-861S has been designed for the approximately 1,100 respondents that would be removed from the Form EIA-861</w:t>
      </w:r>
      <w:r>
        <w:t>,</w:t>
      </w:r>
      <w:r w:rsidRPr="005C1511">
        <w:t xml:space="preserve"> based on certain characteristics.</w:t>
      </w:r>
      <w:r>
        <w:t xml:space="preserve"> </w:t>
      </w:r>
      <w:r w:rsidRPr="005B0BF1">
        <w:t xml:space="preserve">The Form EIA-861S will be completed by all electric utilities with annual retail sales in the prior year of 100,000 megawatthours (MWh) or less, with the following exceptions: 1) the respondent has retail sales of unbundled service; 2) the full set of data is required from the respondent to ensure that statistical estimates for a </w:t>
      </w:r>
      <w:r w:rsidR="0031617A">
        <w:t>S</w:t>
      </w:r>
      <w:r w:rsidRPr="005B0BF1">
        <w:t xml:space="preserve">tate or business sector </w:t>
      </w:r>
      <w:r>
        <w:t>are of acceptable quality;</w:t>
      </w:r>
      <w:r w:rsidRPr="005B0BF1">
        <w:t xml:space="preserve"> 3) the respondent instead reports in aggregate under the Tennessee Valley Authority (TVA) or WPPI Energy</w:t>
      </w:r>
      <w:r w:rsidR="00EA1726">
        <w:t>;</w:t>
      </w:r>
      <w:r w:rsidR="009139DA" w:rsidRPr="009139DA">
        <w:rPr>
          <w:rStyle w:val="FootnoteReference"/>
        </w:rPr>
        <w:t xml:space="preserve"> </w:t>
      </w:r>
      <w:r w:rsidR="009139DA">
        <w:rPr>
          <w:rStyle w:val="FootnoteReference"/>
        </w:rPr>
        <w:footnoteReference w:id="2"/>
      </w:r>
      <w:r w:rsidR="00EA1726">
        <w:t xml:space="preserve"> and 4) the company is part of the sample for the </w:t>
      </w:r>
      <w:r w:rsidR="00EA1726" w:rsidRPr="00EA1726">
        <w:t>Form EIA-826, "Monthly Electric Utility Sales and Revenue Report with State Distributions”</w:t>
      </w:r>
      <w:r w:rsidR="00E36C9F">
        <w:t xml:space="preserve"> (discussed below)</w:t>
      </w:r>
      <w:r w:rsidR="00EA1726">
        <w:t xml:space="preserve">.  </w:t>
      </w:r>
      <w:r w:rsidR="00EA1726" w:rsidRPr="00980FD8">
        <w:t>Utilities for</w:t>
      </w:r>
      <w:r w:rsidR="00EA1726">
        <w:t xml:space="preserve"> </w:t>
      </w:r>
      <w:r w:rsidR="00EA1726" w:rsidRPr="00980FD8">
        <w:t>w</w:t>
      </w:r>
      <w:r w:rsidR="00EA1726">
        <w:t>hich</w:t>
      </w:r>
      <w:r w:rsidR="00EA1726" w:rsidRPr="00980FD8">
        <w:t xml:space="preserve"> any of the</w:t>
      </w:r>
      <w:r w:rsidR="00EA1726">
        <w:t>se</w:t>
      </w:r>
      <w:r w:rsidR="00EA1726" w:rsidRPr="00980FD8">
        <w:t xml:space="preserve"> exceptions apply </w:t>
      </w:r>
      <w:r w:rsidR="00EA1726">
        <w:t xml:space="preserve">will </w:t>
      </w:r>
      <w:r w:rsidR="00EA1726" w:rsidRPr="00980FD8">
        <w:t>complete the regular (long) version of</w:t>
      </w:r>
      <w:r w:rsidR="00EA1726">
        <w:t xml:space="preserve"> </w:t>
      </w:r>
      <w:r w:rsidR="00EA1726" w:rsidRPr="00980FD8">
        <w:t>the Form EIA–861 survey.</w:t>
      </w:r>
    </w:p>
    <w:p w:rsidR="006F7B30" w:rsidRDefault="006F7B30" w:rsidP="006F7B30">
      <w:pPr>
        <w:autoSpaceDE w:val="0"/>
        <w:autoSpaceDN w:val="0"/>
        <w:adjustRightInd w:val="0"/>
        <w:spacing w:before="120" w:after="100" w:afterAutospacing="1"/>
        <w:jc w:val="both"/>
      </w:pPr>
      <w:r w:rsidRPr="005C1511">
        <w:t>Note that respondents can only complete one type of Form EIA-861</w:t>
      </w:r>
      <w:r>
        <w:t>:</w:t>
      </w:r>
      <w:r w:rsidRPr="005C1511">
        <w:t xml:space="preserve"> either the Form EIA-861 or the Form EIA-861S, but not both.  </w:t>
      </w:r>
      <w:r w:rsidR="00EA1726">
        <w:t>R</w:t>
      </w:r>
      <w:r w:rsidRPr="005C1511">
        <w:t xml:space="preserve">esponses are collected on both types of forms at the business (operating) </w:t>
      </w:r>
      <w:r w:rsidR="00EA1726">
        <w:t xml:space="preserve">company </w:t>
      </w:r>
      <w:r w:rsidRPr="005C1511">
        <w:t>level</w:t>
      </w:r>
      <w:r w:rsidR="00EA1726">
        <w:t>.</w:t>
      </w:r>
    </w:p>
    <w:p w:rsidR="006F7B30" w:rsidRDefault="006F7B30" w:rsidP="006F7B30">
      <w:pPr>
        <w:autoSpaceDE w:val="0"/>
        <w:autoSpaceDN w:val="0"/>
        <w:adjustRightInd w:val="0"/>
        <w:spacing w:before="120" w:after="100" w:afterAutospacing="1"/>
        <w:jc w:val="both"/>
      </w:pPr>
      <w:r w:rsidRPr="005C1511">
        <w:t>The Form EIA-861S</w:t>
      </w:r>
      <w:r w:rsidRPr="007071BD">
        <w:t xml:space="preserve"> </w:t>
      </w:r>
      <w:r w:rsidRPr="005C1511">
        <w:t>w</w:t>
      </w:r>
      <w:r>
        <w:t>ill</w:t>
      </w:r>
      <w:r w:rsidRPr="005C1511">
        <w:t xml:space="preserve"> collect </w:t>
      </w:r>
      <w:r w:rsidR="00EA1726">
        <w:t xml:space="preserve">a limited set of data including </w:t>
      </w:r>
      <w:r w:rsidRPr="005C1511">
        <w:t>retail sales, revenue, and customer counts b</w:t>
      </w:r>
      <w:r>
        <w:t>y S</w:t>
      </w:r>
      <w:r w:rsidRPr="005C1511">
        <w:t>tate</w:t>
      </w:r>
      <w:r>
        <w:t xml:space="preserve"> for each operator.  </w:t>
      </w:r>
      <w:r w:rsidRPr="005B2B76">
        <w:t>The division</w:t>
      </w:r>
      <w:r w:rsidR="00E36C9F">
        <w:t xml:space="preserve"> of this data </w:t>
      </w:r>
      <w:r w:rsidRPr="005B2B76">
        <w:t xml:space="preserve">by industry sector </w:t>
      </w:r>
      <w:r w:rsidR="00E36C9F">
        <w:t>(</w:t>
      </w:r>
      <w:r w:rsidR="00E36C9F" w:rsidRPr="005B2B76">
        <w:t xml:space="preserve">residential, </w:t>
      </w:r>
      <w:r w:rsidR="00E36C9F">
        <w:t>c</w:t>
      </w:r>
      <w:r w:rsidR="00E36C9F" w:rsidRPr="005B2B76">
        <w:t xml:space="preserve">ommercial, </w:t>
      </w:r>
      <w:r w:rsidR="00E36C9F">
        <w:t>i</w:t>
      </w:r>
      <w:r w:rsidR="00E36C9F" w:rsidRPr="005B2B76">
        <w:t xml:space="preserve">ndustrial, and </w:t>
      </w:r>
      <w:r w:rsidR="00E36C9F">
        <w:t>t</w:t>
      </w:r>
      <w:r w:rsidR="00E36C9F" w:rsidRPr="005B2B76">
        <w:t>ransportation</w:t>
      </w:r>
      <w:r w:rsidR="00E36C9F">
        <w:t xml:space="preserve">) </w:t>
      </w:r>
      <w:r w:rsidRPr="005B2B76">
        <w:t xml:space="preserve">will be performed by statistical </w:t>
      </w:r>
      <w:r>
        <w:t>estimation</w:t>
      </w:r>
      <w:r w:rsidRPr="005B2B76">
        <w:t xml:space="preserve">, as discussed </w:t>
      </w:r>
      <w:r>
        <w:t>in B.2</w:t>
      </w:r>
      <w:r w:rsidRPr="005B2B76">
        <w:t>.</w:t>
      </w:r>
    </w:p>
    <w:p w:rsidR="006F7B30" w:rsidRDefault="006F7B30" w:rsidP="006F7B30">
      <w:pPr>
        <w:autoSpaceDE w:val="0"/>
        <w:autoSpaceDN w:val="0"/>
        <w:adjustRightInd w:val="0"/>
        <w:spacing w:before="120" w:after="100" w:afterAutospacing="1"/>
        <w:jc w:val="both"/>
      </w:pPr>
      <w:r w:rsidRPr="005C1511">
        <w:t>In order to maintain the accuracy of the estimation procedure associated with the Form EIA-861, once every 5 years the Form EIA-861S respondents w</w:t>
      </w:r>
      <w:r>
        <w:t>ill</w:t>
      </w:r>
      <w:r w:rsidRPr="005C1511">
        <w:t xml:space="preserve"> be required to fill out the Form EIA-861. </w:t>
      </w:r>
      <w:r>
        <w:t xml:space="preserve"> </w:t>
      </w:r>
    </w:p>
    <w:p w:rsidR="006F7B30" w:rsidRPr="006F7B30" w:rsidRDefault="006F7B30" w:rsidP="00435129">
      <w:pPr>
        <w:pStyle w:val="Heading2"/>
      </w:pPr>
      <w:bookmarkStart w:id="5" w:name="_Toc332093017"/>
      <w:r w:rsidRPr="006F7B30">
        <w:lastRenderedPageBreak/>
        <w:t>B.1.3. Form EIA-826, "Monthly Electric Utility Sales and Revenue Report with State Distributions”</w:t>
      </w:r>
      <w:bookmarkEnd w:id="5"/>
    </w:p>
    <w:p w:rsidR="0034647B" w:rsidRPr="0034647B" w:rsidRDefault="0034647B" w:rsidP="00683381">
      <w:pPr>
        <w:spacing w:before="100" w:beforeAutospacing="1"/>
        <w:jc w:val="both"/>
        <w:rPr>
          <w:rFonts w:asciiTheme="minorHAnsi" w:hAnsiTheme="minorHAnsi"/>
          <w:i/>
        </w:rPr>
      </w:pPr>
      <w:r w:rsidRPr="0034647B">
        <w:rPr>
          <w:rFonts w:asciiTheme="minorHAnsi" w:hAnsiTheme="minorHAnsi"/>
          <w:i/>
        </w:rPr>
        <w:t xml:space="preserve">Note: This clearance does not involve any revisions to the </w:t>
      </w:r>
      <w:r w:rsidR="00E20A35">
        <w:rPr>
          <w:rFonts w:asciiTheme="minorHAnsi" w:hAnsiTheme="minorHAnsi"/>
          <w:i/>
        </w:rPr>
        <w:t xml:space="preserve">Form </w:t>
      </w:r>
      <w:r w:rsidRPr="0034647B">
        <w:rPr>
          <w:rFonts w:asciiTheme="minorHAnsi" w:hAnsiTheme="minorHAnsi"/>
          <w:i/>
        </w:rPr>
        <w:t xml:space="preserve">EIA-826 survey.  It is discussed here only because the sample for this survey is drawn from respondents to the </w:t>
      </w:r>
      <w:r w:rsidR="00E20A35">
        <w:rPr>
          <w:rFonts w:asciiTheme="minorHAnsi" w:hAnsiTheme="minorHAnsi"/>
          <w:i/>
        </w:rPr>
        <w:t xml:space="preserve">Form </w:t>
      </w:r>
      <w:r w:rsidRPr="0034647B">
        <w:rPr>
          <w:rFonts w:asciiTheme="minorHAnsi" w:hAnsiTheme="minorHAnsi"/>
          <w:i/>
        </w:rPr>
        <w:t>EIA-861 survey, the frame for which would change.</w:t>
      </w:r>
    </w:p>
    <w:p w:rsidR="00E36C9F" w:rsidRDefault="009139DA" w:rsidP="00683381">
      <w:pPr>
        <w:spacing w:before="100" w:beforeAutospacing="1"/>
        <w:jc w:val="both"/>
        <w:rPr>
          <w:rFonts w:asciiTheme="minorHAnsi" w:hAnsiTheme="minorHAnsi"/>
        </w:rPr>
      </w:pPr>
      <w:r>
        <w:rPr>
          <w:rFonts w:asciiTheme="minorHAnsi" w:hAnsiTheme="minorHAnsi"/>
        </w:rPr>
        <w:t>T</w:t>
      </w:r>
      <w:r w:rsidRPr="00E36C9F">
        <w:rPr>
          <w:rFonts w:asciiTheme="minorHAnsi" w:hAnsiTheme="minorHAnsi"/>
        </w:rPr>
        <w:t xml:space="preserve">he Form EIA-826 is a monthly survey of a sample of electric power entities, distributors, and retailers. </w:t>
      </w:r>
      <w:r w:rsidR="00E36C9F" w:rsidRPr="00E36C9F">
        <w:rPr>
          <w:rFonts w:asciiTheme="minorHAnsi" w:hAnsiTheme="minorHAnsi"/>
        </w:rPr>
        <w:t xml:space="preserve">The </w:t>
      </w:r>
      <w:r>
        <w:rPr>
          <w:rFonts w:asciiTheme="minorHAnsi" w:hAnsiTheme="minorHAnsi"/>
        </w:rPr>
        <w:t>survey</w:t>
      </w:r>
      <w:r w:rsidR="00E36C9F" w:rsidRPr="00E36C9F">
        <w:rPr>
          <w:rFonts w:asciiTheme="minorHAnsi" w:hAnsiTheme="minorHAnsi"/>
        </w:rPr>
        <w:t xml:space="preserve"> collects information on </w:t>
      </w:r>
      <w:r>
        <w:rPr>
          <w:rFonts w:asciiTheme="minorHAnsi" w:hAnsiTheme="minorHAnsi"/>
        </w:rPr>
        <w:t xml:space="preserve">retail </w:t>
      </w:r>
      <w:r w:rsidR="00E36C9F" w:rsidRPr="00E36C9F">
        <w:rPr>
          <w:rFonts w:asciiTheme="minorHAnsi" w:hAnsiTheme="minorHAnsi"/>
        </w:rPr>
        <w:t xml:space="preserve">electric sales and revenue by </w:t>
      </w:r>
      <w:r w:rsidR="00E36C9F">
        <w:rPr>
          <w:rFonts w:asciiTheme="minorHAnsi" w:hAnsiTheme="minorHAnsi"/>
        </w:rPr>
        <w:t>operating company</w:t>
      </w:r>
      <w:r>
        <w:rPr>
          <w:rFonts w:asciiTheme="minorHAnsi" w:hAnsiTheme="minorHAnsi"/>
        </w:rPr>
        <w:t>, customer class,</w:t>
      </w:r>
      <w:r w:rsidR="00E36C9F">
        <w:rPr>
          <w:rFonts w:asciiTheme="minorHAnsi" w:hAnsiTheme="minorHAnsi"/>
        </w:rPr>
        <w:t xml:space="preserve"> and </w:t>
      </w:r>
      <w:r w:rsidR="00E36C9F" w:rsidRPr="00E36C9F">
        <w:rPr>
          <w:rFonts w:asciiTheme="minorHAnsi" w:hAnsiTheme="minorHAnsi"/>
        </w:rPr>
        <w:t xml:space="preserve">State. The data are </w:t>
      </w:r>
      <w:r w:rsidR="00E36C9F">
        <w:rPr>
          <w:rFonts w:asciiTheme="minorHAnsi" w:hAnsiTheme="minorHAnsi"/>
        </w:rPr>
        <w:t xml:space="preserve">the monthly equivalent </w:t>
      </w:r>
      <w:r w:rsidR="00E36C9F" w:rsidRPr="00E36C9F">
        <w:rPr>
          <w:rFonts w:asciiTheme="minorHAnsi" w:hAnsiTheme="minorHAnsi"/>
        </w:rPr>
        <w:t xml:space="preserve">to </w:t>
      </w:r>
      <w:r w:rsidR="00E36C9F">
        <w:rPr>
          <w:rFonts w:asciiTheme="minorHAnsi" w:hAnsiTheme="minorHAnsi"/>
        </w:rPr>
        <w:t xml:space="preserve">the annual </w:t>
      </w:r>
      <w:r w:rsidR="00E36C9F" w:rsidRPr="00E36C9F">
        <w:rPr>
          <w:rFonts w:asciiTheme="minorHAnsi" w:hAnsiTheme="minorHAnsi"/>
        </w:rPr>
        <w:t>data reported on the Form EIA-861.</w:t>
      </w:r>
      <w:r>
        <w:rPr>
          <w:rFonts w:asciiTheme="minorHAnsi" w:hAnsiTheme="minorHAnsi"/>
        </w:rPr>
        <w:t xml:space="preserve">  Statistical imputation is used to estimate </w:t>
      </w:r>
      <w:r w:rsidR="0031617A">
        <w:rPr>
          <w:rFonts w:asciiTheme="minorHAnsi" w:hAnsiTheme="minorHAnsi"/>
        </w:rPr>
        <w:t>S</w:t>
      </w:r>
      <w:r>
        <w:rPr>
          <w:rFonts w:asciiTheme="minorHAnsi" w:hAnsiTheme="minorHAnsi"/>
        </w:rPr>
        <w:t>tate and national totals</w:t>
      </w:r>
      <w:r w:rsidR="00E36C9F" w:rsidRPr="00E36C9F">
        <w:rPr>
          <w:rFonts w:asciiTheme="minorHAnsi" w:hAnsiTheme="minorHAnsi"/>
        </w:rPr>
        <w:t xml:space="preserve">. </w:t>
      </w:r>
    </w:p>
    <w:p w:rsidR="00EA1726" w:rsidRDefault="00E36C9F" w:rsidP="00683381">
      <w:pPr>
        <w:spacing w:before="100" w:beforeAutospacing="1"/>
        <w:jc w:val="both"/>
        <w:rPr>
          <w:rFonts w:asciiTheme="minorHAnsi" w:hAnsiTheme="minorHAnsi"/>
        </w:rPr>
      </w:pPr>
      <w:r w:rsidRPr="00E36C9F">
        <w:rPr>
          <w:rFonts w:asciiTheme="minorHAnsi" w:hAnsiTheme="minorHAnsi"/>
        </w:rPr>
        <w:t>The Form EIA-826 takes its sample from the universe of respondents on the annual Form EIA-861 and imputes for the other approximately 2,8</w:t>
      </w:r>
      <w:r w:rsidR="009139DA">
        <w:rPr>
          <w:rFonts w:asciiTheme="minorHAnsi" w:hAnsiTheme="minorHAnsi"/>
        </w:rPr>
        <w:t>00</w:t>
      </w:r>
      <w:r w:rsidRPr="00E36C9F">
        <w:rPr>
          <w:rFonts w:asciiTheme="minorHAnsi" w:hAnsiTheme="minorHAnsi"/>
        </w:rPr>
        <w:t xml:space="preserve"> members of the universe.</w:t>
      </w:r>
      <w:r>
        <w:rPr>
          <w:rFonts w:asciiTheme="minorHAnsi" w:hAnsiTheme="minorHAnsi"/>
        </w:rPr>
        <w:t xml:space="preserve">  </w:t>
      </w:r>
      <w:r w:rsidR="00EA1726" w:rsidRPr="00EA1726">
        <w:rPr>
          <w:rFonts w:asciiTheme="minorHAnsi" w:hAnsiTheme="minorHAnsi"/>
        </w:rPr>
        <w:t>Cutoff sampling is used to select the sample, which includes most of the investor-owned utilities (1</w:t>
      </w:r>
      <w:r w:rsidR="009139DA">
        <w:rPr>
          <w:rFonts w:asciiTheme="minorHAnsi" w:hAnsiTheme="minorHAnsi"/>
        </w:rPr>
        <w:t>60</w:t>
      </w:r>
      <w:r w:rsidR="002757E3">
        <w:rPr>
          <w:rFonts w:asciiTheme="minorHAnsi" w:hAnsiTheme="minorHAnsi"/>
        </w:rPr>
        <w:t>, in</w:t>
      </w:r>
      <w:r w:rsidR="009139DA">
        <w:rPr>
          <w:rFonts w:asciiTheme="minorHAnsi" w:hAnsiTheme="minorHAnsi"/>
        </w:rPr>
        <w:t xml:space="preserve">cluding </w:t>
      </w:r>
      <w:r w:rsidR="009139DA" w:rsidRPr="00EA1726">
        <w:rPr>
          <w:rFonts w:asciiTheme="minorHAnsi" w:hAnsiTheme="minorHAnsi"/>
        </w:rPr>
        <w:t>all distribution companies</w:t>
      </w:r>
      <w:r w:rsidR="009139DA">
        <w:rPr>
          <w:rFonts w:asciiTheme="minorHAnsi" w:hAnsiTheme="minorHAnsi"/>
        </w:rPr>
        <w:t xml:space="preserve"> with unbundled electricity sales),</w:t>
      </w:r>
      <w:r w:rsidR="00EA1726" w:rsidRPr="00EA1726">
        <w:rPr>
          <w:rFonts w:asciiTheme="minorHAnsi" w:hAnsiTheme="minorHAnsi"/>
        </w:rPr>
        <w:t xml:space="preserve"> </w:t>
      </w:r>
      <w:r w:rsidR="00EA1726">
        <w:rPr>
          <w:rFonts w:asciiTheme="minorHAnsi" w:hAnsiTheme="minorHAnsi"/>
        </w:rPr>
        <w:t>four</w:t>
      </w:r>
      <w:r w:rsidR="00EA1726" w:rsidRPr="00EA1726">
        <w:rPr>
          <w:rFonts w:asciiTheme="minorHAnsi" w:hAnsiTheme="minorHAnsi"/>
        </w:rPr>
        <w:t xml:space="preserve"> Federal utilities, all electric service providers (</w:t>
      </w:r>
      <w:r w:rsidR="009139DA">
        <w:rPr>
          <w:rFonts w:asciiTheme="minorHAnsi" w:hAnsiTheme="minorHAnsi"/>
        </w:rPr>
        <w:t>150), and a sample of 19</w:t>
      </w:r>
      <w:r w:rsidR="00EA1726" w:rsidRPr="00EA1726">
        <w:rPr>
          <w:rFonts w:asciiTheme="minorHAnsi" w:hAnsiTheme="minorHAnsi"/>
        </w:rPr>
        <w:t>4 municipal, cooperative, State and political subdivision utilities that have sales to end-use customers.</w:t>
      </w:r>
    </w:p>
    <w:p w:rsidR="006F7B30" w:rsidRDefault="006F7B30" w:rsidP="006F7B30">
      <w:pPr>
        <w:spacing w:before="100" w:beforeAutospacing="1"/>
        <w:rPr>
          <w:rFonts w:asciiTheme="minorHAnsi" w:hAnsiTheme="minorHAnsi"/>
        </w:rPr>
      </w:pPr>
      <w:r>
        <w:rPr>
          <w:rFonts w:asciiTheme="minorHAnsi" w:hAnsiTheme="minorHAnsi"/>
        </w:rPr>
        <w:t xml:space="preserve">There will be no sampling changes to the Form EIA-826 and all entities collected on the Form EIA-826 will remain in the </w:t>
      </w:r>
      <w:r w:rsidR="00E20A35">
        <w:rPr>
          <w:rFonts w:asciiTheme="minorHAnsi" w:hAnsiTheme="minorHAnsi"/>
        </w:rPr>
        <w:t xml:space="preserve">Form </w:t>
      </w:r>
      <w:r>
        <w:rPr>
          <w:rFonts w:asciiTheme="minorHAnsi" w:hAnsiTheme="minorHAnsi"/>
        </w:rPr>
        <w:t xml:space="preserve">EIA-861 sample.  </w:t>
      </w:r>
    </w:p>
    <w:p w:rsidR="006F7B30" w:rsidRPr="006F7B30" w:rsidRDefault="006F7B30" w:rsidP="00683F67">
      <w:pPr>
        <w:pStyle w:val="Heading2"/>
        <w:spacing w:after="240"/>
      </w:pPr>
      <w:bookmarkStart w:id="6" w:name="_Toc332093018"/>
      <w:r w:rsidRPr="006F7B30">
        <w:t>B.1.4. Form EIA-923, "Power Plant Operations Report”</w:t>
      </w:r>
      <w:bookmarkEnd w:id="6"/>
    </w:p>
    <w:p w:rsidR="0034647B" w:rsidRDefault="00683F67" w:rsidP="00683381">
      <w:pPr>
        <w:jc w:val="both"/>
        <w:rPr>
          <w:sz w:val="23"/>
          <w:szCs w:val="23"/>
        </w:rPr>
      </w:pPr>
      <w:r>
        <w:rPr>
          <w:sz w:val="23"/>
          <w:szCs w:val="23"/>
        </w:rPr>
        <w:t xml:space="preserve">The target population for this survey comprises all electric plants in the United States that are connected to the electric power grid and have a generating capacity of 1 megawatt or greater. While the target population is defined in terms of plants, the respondents for the Form EIA-923 are companies, which report data for the eligible plants they operate. There are approximately 5,600 operating power plants (being reported by 2,800 respondents) for which data are collected through Form EIA-923.  </w:t>
      </w:r>
    </w:p>
    <w:p w:rsidR="00E36C9F" w:rsidRDefault="00683F67" w:rsidP="00683381">
      <w:pPr>
        <w:jc w:val="both"/>
        <w:rPr>
          <w:rFonts w:asciiTheme="minorHAnsi" w:hAnsiTheme="minorHAnsi"/>
        </w:rPr>
      </w:pPr>
      <w:r>
        <w:rPr>
          <w:sz w:val="23"/>
          <w:szCs w:val="23"/>
        </w:rPr>
        <w:t>The</w:t>
      </w:r>
      <w:r w:rsidR="0034647B">
        <w:rPr>
          <w:sz w:val="23"/>
          <w:szCs w:val="23"/>
        </w:rPr>
        <w:t xml:space="preserve"> survey collects data on </w:t>
      </w:r>
      <w:r>
        <w:rPr>
          <w:sz w:val="23"/>
          <w:szCs w:val="23"/>
        </w:rPr>
        <w:t>fuel receipts, consumption, electric generation, fuel stocks, combustion byproducts, operational cooling water data, and operational data for NO</w:t>
      </w:r>
      <w:r>
        <w:rPr>
          <w:sz w:val="16"/>
          <w:szCs w:val="16"/>
        </w:rPr>
        <w:t>x</w:t>
      </w:r>
      <w:r>
        <w:rPr>
          <w:sz w:val="23"/>
          <w:szCs w:val="23"/>
        </w:rPr>
        <w:t>, SO</w:t>
      </w:r>
      <w:r>
        <w:rPr>
          <w:sz w:val="16"/>
          <w:szCs w:val="16"/>
        </w:rPr>
        <w:t>2</w:t>
      </w:r>
      <w:r>
        <w:rPr>
          <w:sz w:val="23"/>
          <w:szCs w:val="23"/>
        </w:rPr>
        <w:t>, and particulate matter control equipment.  Not all respondents answer all questions; for example, questions on fuel consumption are inapplicable to hydroelectric, wind, and certain other types of power plants.</w:t>
      </w:r>
    </w:p>
    <w:p w:rsidR="006F7B30" w:rsidRPr="0034647B" w:rsidRDefault="00683F67" w:rsidP="00683381">
      <w:pPr>
        <w:jc w:val="both"/>
      </w:pPr>
      <w:r>
        <w:rPr>
          <w:rFonts w:asciiTheme="minorHAnsi" w:hAnsiTheme="minorHAnsi"/>
        </w:rPr>
        <w:t xml:space="preserve">As part of this clearance, </w:t>
      </w:r>
      <w:r w:rsidR="006F7B30">
        <w:rPr>
          <w:rFonts w:asciiTheme="minorHAnsi" w:hAnsiTheme="minorHAnsi"/>
        </w:rPr>
        <w:t>EIA is proposing to reduce the respondent group that currently reports on</w:t>
      </w:r>
      <w:r>
        <w:rPr>
          <w:rFonts w:asciiTheme="minorHAnsi" w:hAnsiTheme="minorHAnsi"/>
        </w:rPr>
        <w:t xml:space="preserve"> the characteristics of purchases of combustible fuels, such as coal and natural gas.</w:t>
      </w:r>
      <w:r w:rsidR="008608EE">
        <w:rPr>
          <w:rStyle w:val="FootnoteReference"/>
          <w:rFonts w:asciiTheme="minorHAnsi" w:hAnsiTheme="minorHAnsi"/>
        </w:rPr>
        <w:footnoteReference w:id="3"/>
      </w:r>
      <w:r>
        <w:rPr>
          <w:rFonts w:asciiTheme="minorHAnsi" w:hAnsiTheme="minorHAnsi"/>
        </w:rPr>
        <w:t xml:space="preserve">  Th</w:t>
      </w:r>
      <w:r w:rsidR="00D77865">
        <w:rPr>
          <w:rFonts w:asciiTheme="minorHAnsi" w:hAnsiTheme="minorHAnsi"/>
        </w:rPr>
        <w:t>e</w:t>
      </w:r>
      <w:r>
        <w:rPr>
          <w:rFonts w:asciiTheme="minorHAnsi" w:hAnsiTheme="minorHAnsi"/>
        </w:rPr>
        <w:t>s</w:t>
      </w:r>
      <w:r w:rsidR="00D77865">
        <w:rPr>
          <w:rFonts w:asciiTheme="minorHAnsi" w:hAnsiTheme="minorHAnsi"/>
        </w:rPr>
        <w:t>e</w:t>
      </w:r>
      <w:r>
        <w:rPr>
          <w:rFonts w:asciiTheme="minorHAnsi" w:hAnsiTheme="minorHAnsi"/>
        </w:rPr>
        <w:t xml:space="preserve"> data </w:t>
      </w:r>
      <w:r w:rsidR="00D77865">
        <w:rPr>
          <w:rFonts w:asciiTheme="minorHAnsi" w:hAnsiTheme="minorHAnsi"/>
        </w:rPr>
        <w:t>are</w:t>
      </w:r>
      <w:r>
        <w:rPr>
          <w:rFonts w:asciiTheme="minorHAnsi" w:hAnsiTheme="minorHAnsi"/>
        </w:rPr>
        <w:t xml:space="preserve"> reported </w:t>
      </w:r>
      <w:r>
        <w:rPr>
          <w:rFonts w:asciiTheme="minorHAnsi" w:hAnsiTheme="minorHAnsi"/>
        </w:rPr>
        <w:lastRenderedPageBreak/>
        <w:t>on</w:t>
      </w:r>
      <w:r w:rsidR="006F7B30">
        <w:rPr>
          <w:rFonts w:asciiTheme="minorHAnsi" w:hAnsiTheme="minorHAnsi"/>
        </w:rPr>
        <w:t xml:space="preserve"> “Schedule 2: Cost and Quality of Fuel Purchases.”</w:t>
      </w:r>
      <w:r w:rsidR="0034647B">
        <w:rPr>
          <w:rFonts w:asciiTheme="minorHAnsi" w:hAnsiTheme="minorHAnsi"/>
        </w:rPr>
        <w:t xml:space="preserve">  The proposed changes are described in the summary section of this Part B and in detail in Part A.  </w:t>
      </w:r>
      <w:r w:rsidR="0034647B">
        <w:t>If approved, these changes will reduce natural gas data collection on Schedule 2 from approximately 1,339 to 603 plants with a reduction of approximately 9 percent of natural gas purchases, cost, and quality data.  Petroleum (including petroleum coke) data collection on Schedule 2 will be reduced from approximately 160 to 57 plants with a reduction of approximately 22 percent of petroleum and petroleum coke purchases, cost, and quality data.  Additionally, 35 plants will no longer be required to report purchases of blast furnace gas, other manufactured gases, kerosene, jet fuel, propane, and waste oil.  There is no change to the coverage of coal-fired plants</w:t>
      </w:r>
      <w:r w:rsidR="00781442">
        <w:t xml:space="preserve"> for the reasons discussed in Part </w:t>
      </w:r>
      <w:proofErr w:type="gramStart"/>
      <w:r w:rsidR="00781442">
        <w:t>A</w:t>
      </w:r>
      <w:proofErr w:type="gramEnd"/>
      <w:r w:rsidR="00781442">
        <w:t>, Appendix A-1</w:t>
      </w:r>
      <w:r w:rsidR="0034647B">
        <w:t>.</w:t>
      </w:r>
    </w:p>
    <w:p w:rsidR="006F7B30" w:rsidRPr="002C75DA" w:rsidRDefault="006F7B30" w:rsidP="00F346CC">
      <w:pPr>
        <w:pStyle w:val="Heading1"/>
      </w:pPr>
      <w:bookmarkStart w:id="7" w:name="_Toc261606922"/>
      <w:bookmarkStart w:id="8" w:name="_Toc332093019"/>
      <w:r w:rsidRPr="002C75DA">
        <w:t>B.2. Statistical Methodology</w:t>
      </w:r>
      <w:bookmarkEnd w:id="7"/>
      <w:r w:rsidRPr="002C75DA">
        <w:t xml:space="preserve"> for Sampling and Imputation</w:t>
      </w:r>
      <w:bookmarkEnd w:id="8"/>
    </w:p>
    <w:p w:rsidR="006F7B30" w:rsidRPr="006F7B30" w:rsidRDefault="006F7B30" w:rsidP="00F346CC">
      <w:pPr>
        <w:pStyle w:val="Heading2"/>
      </w:pPr>
      <w:bookmarkStart w:id="9" w:name="_Toc332093020"/>
      <w:r w:rsidRPr="006F7B30">
        <w:t>B.2.1. Forms EIA-861 and EIA-861S</w:t>
      </w:r>
      <w:bookmarkEnd w:id="9"/>
    </w:p>
    <w:p w:rsidR="00683381" w:rsidRDefault="00683381" w:rsidP="00683381">
      <w:pPr>
        <w:spacing w:before="100" w:beforeAutospacing="1"/>
        <w:jc w:val="both"/>
      </w:pPr>
      <w:r>
        <w:t xml:space="preserve">Respondents to the existing </w:t>
      </w:r>
      <w:r w:rsidR="00E20A35">
        <w:t xml:space="preserve">Form </w:t>
      </w:r>
      <w:r>
        <w:t>EIA-861 survey report their total electricity sales (</w:t>
      </w:r>
      <w:proofErr w:type="spellStart"/>
      <w:r>
        <w:t>M</w:t>
      </w:r>
      <w:r w:rsidR="0031617A">
        <w:t>W</w:t>
      </w:r>
      <w:r>
        <w:t>h</w:t>
      </w:r>
      <w:proofErr w:type="spellEnd"/>
      <w:r>
        <w:t>), revenue (</w:t>
      </w:r>
      <w:r w:rsidR="001F0686">
        <w:t xml:space="preserve">thousands of </w:t>
      </w:r>
      <w:r>
        <w:t>dollars), and number of customers</w:t>
      </w:r>
      <w:r w:rsidR="00781442">
        <w:t xml:space="preserve">.  The respondents </w:t>
      </w:r>
      <w:r>
        <w:t xml:space="preserve">also report how each of these data items is divided by customer class (residential, commercial, industrial, and transportation).  In contrast, respondents to the proposed </w:t>
      </w:r>
      <w:r w:rsidR="00E20A35">
        <w:t xml:space="preserve">Form </w:t>
      </w:r>
      <w:r>
        <w:t xml:space="preserve">EIA-861S will only report their </w:t>
      </w:r>
      <w:r w:rsidRPr="007833E6">
        <w:rPr>
          <w:b/>
        </w:rPr>
        <w:t>total</w:t>
      </w:r>
      <w:r>
        <w:t xml:space="preserve"> electricity sales, revenue, and customers count.  For these respondents, EIA plans to use statistical imputation to allocate the totals to customer classes.</w:t>
      </w:r>
      <w:r w:rsidR="007833E6">
        <w:rPr>
          <w:rStyle w:val="FootnoteReference"/>
        </w:rPr>
        <w:footnoteReference w:id="4"/>
      </w:r>
    </w:p>
    <w:p w:rsidR="007833E6" w:rsidRDefault="007833E6" w:rsidP="00683381">
      <w:pPr>
        <w:spacing w:before="100" w:beforeAutospacing="1"/>
        <w:jc w:val="both"/>
        <w:rPr>
          <w:rFonts w:asciiTheme="minorHAnsi" w:hAnsiTheme="minorHAnsi"/>
        </w:rPr>
      </w:pPr>
      <w:r>
        <w:rPr>
          <w:rFonts w:asciiTheme="minorHAnsi" w:hAnsiTheme="minorHAnsi"/>
        </w:rPr>
        <w:t>EIA has researched cutoff model-based estimation (Knaub, 1999)</w:t>
      </w:r>
      <w:r w:rsidR="00644765">
        <w:rPr>
          <w:rStyle w:val="FootnoteReference"/>
          <w:rFonts w:asciiTheme="minorHAnsi" w:hAnsiTheme="minorHAnsi"/>
        </w:rPr>
        <w:footnoteReference w:id="5"/>
      </w:r>
      <w:r>
        <w:rPr>
          <w:rFonts w:asciiTheme="minorHAnsi" w:hAnsiTheme="minorHAnsi"/>
        </w:rPr>
        <w:t xml:space="preserve"> and uses it for the </w:t>
      </w:r>
      <w:r w:rsidR="00E20A35">
        <w:rPr>
          <w:rFonts w:asciiTheme="minorHAnsi" w:hAnsiTheme="minorHAnsi"/>
        </w:rPr>
        <w:t xml:space="preserve">Form </w:t>
      </w:r>
      <w:r>
        <w:rPr>
          <w:rFonts w:asciiTheme="minorHAnsi" w:hAnsiTheme="minorHAnsi"/>
        </w:rPr>
        <w:t xml:space="preserve">EIA-826 survey process. A methodology similar to that currently applied to estimate for out-of-sample entities monthly for the </w:t>
      </w:r>
      <w:r w:rsidR="00E20A35">
        <w:rPr>
          <w:rFonts w:asciiTheme="minorHAnsi" w:hAnsiTheme="minorHAnsi"/>
        </w:rPr>
        <w:t xml:space="preserve">Form </w:t>
      </w:r>
      <w:r>
        <w:rPr>
          <w:rFonts w:asciiTheme="minorHAnsi" w:hAnsiTheme="minorHAnsi"/>
        </w:rPr>
        <w:t xml:space="preserve">EIA-826 will be applied to out-of-sample entities for the </w:t>
      </w:r>
      <w:r w:rsidR="00E20A35">
        <w:rPr>
          <w:rFonts w:asciiTheme="minorHAnsi" w:hAnsiTheme="minorHAnsi"/>
        </w:rPr>
        <w:t xml:space="preserve">Form </w:t>
      </w:r>
      <w:r>
        <w:rPr>
          <w:rFonts w:asciiTheme="minorHAnsi" w:hAnsiTheme="minorHAnsi"/>
        </w:rPr>
        <w:t xml:space="preserve">EIA-861 who will receive the </w:t>
      </w:r>
      <w:r w:rsidR="00E20A35">
        <w:rPr>
          <w:rFonts w:asciiTheme="minorHAnsi" w:hAnsiTheme="minorHAnsi"/>
        </w:rPr>
        <w:t xml:space="preserve">Form </w:t>
      </w:r>
      <w:r>
        <w:rPr>
          <w:rFonts w:asciiTheme="minorHAnsi" w:hAnsiTheme="minorHAnsi"/>
        </w:rPr>
        <w:t xml:space="preserve">EIA-861S.  Specifically, EIA proposes to estimate the allocation of sales, revenue and number of customers by sector using a weighted least squares regression model. Out-of-sample observations will be estimated using a prior year’s data as regressor data. </w:t>
      </w:r>
    </w:p>
    <w:p w:rsidR="007833E6" w:rsidRDefault="007833E6" w:rsidP="007833E6">
      <w:pPr>
        <w:spacing w:before="100" w:beforeAutospacing="1"/>
        <w:jc w:val="both"/>
      </w:pPr>
      <w:r>
        <w:rPr>
          <w:rFonts w:asciiTheme="minorHAnsi" w:hAnsiTheme="minorHAnsi"/>
        </w:rPr>
        <w:t xml:space="preserve">As proposed by EIA, every </w:t>
      </w:r>
      <w:r w:rsidR="00380430">
        <w:rPr>
          <w:rFonts w:asciiTheme="minorHAnsi" w:hAnsiTheme="minorHAnsi"/>
        </w:rPr>
        <w:t>5</w:t>
      </w:r>
      <w:r>
        <w:rPr>
          <w:rFonts w:asciiTheme="minorHAnsi" w:hAnsiTheme="minorHAnsi"/>
        </w:rPr>
        <w:t xml:space="preserve"> years the respondents to the </w:t>
      </w:r>
      <w:r w:rsidR="00380430">
        <w:rPr>
          <w:rFonts w:asciiTheme="minorHAnsi" w:hAnsiTheme="minorHAnsi"/>
        </w:rPr>
        <w:t xml:space="preserve">Form </w:t>
      </w:r>
      <w:r>
        <w:rPr>
          <w:rFonts w:asciiTheme="minorHAnsi" w:hAnsiTheme="minorHAnsi"/>
        </w:rPr>
        <w:t xml:space="preserve">EIA-861S short form will be required to complete the full </w:t>
      </w:r>
      <w:r w:rsidR="00E20A35">
        <w:rPr>
          <w:rFonts w:asciiTheme="minorHAnsi" w:hAnsiTheme="minorHAnsi"/>
        </w:rPr>
        <w:t xml:space="preserve">Form </w:t>
      </w:r>
      <w:r>
        <w:rPr>
          <w:rFonts w:asciiTheme="minorHAnsi" w:hAnsiTheme="minorHAnsi"/>
        </w:rPr>
        <w:t xml:space="preserve">EIA-861 survey.  This means that for </w:t>
      </w:r>
      <w:r w:rsidR="00380430">
        <w:rPr>
          <w:rFonts w:asciiTheme="minorHAnsi" w:hAnsiTheme="minorHAnsi"/>
        </w:rPr>
        <w:t>4</w:t>
      </w:r>
      <w:r>
        <w:rPr>
          <w:rFonts w:asciiTheme="minorHAnsi" w:hAnsiTheme="minorHAnsi"/>
        </w:rPr>
        <w:t xml:space="preserve"> out of </w:t>
      </w:r>
      <w:r w:rsidR="00380430">
        <w:rPr>
          <w:rFonts w:asciiTheme="minorHAnsi" w:hAnsiTheme="minorHAnsi"/>
        </w:rPr>
        <w:t>every 5</w:t>
      </w:r>
      <w:r>
        <w:rPr>
          <w:rFonts w:asciiTheme="minorHAnsi" w:hAnsiTheme="minorHAnsi"/>
        </w:rPr>
        <w:t xml:space="preserve"> years, the imputation process will be based on “old” data</w:t>
      </w:r>
      <w:r w:rsidR="00A50553">
        <w:rPr>
          <w:rFonts w:asciiTheme="minorHAnsi" w:hAnsiTheme="minorHAnsi"/>
        </w:rPr>
        <w:t xml:space="preserve">; i.e., the last complete census of the respondent universe.  A concern is therefore whether the use of older data will lead to a material degradation of the quality of the estimates published by EIA.  EIA has studied this issue and found that for the data elements of concern, </w:t>
      </w:r>
      <w:r>
        <w:rPr>
          <w:rFonts w:asciiTheme="minorHAnsi" w:hAnsiTheme="minorHAnsi"/>
        </w:rPr>
        <w:t xml:space="preserve">five-year old regressor data </w:t>
      </w:r>
      <w:r w:rsidR="00781442">
        <w:rPr>
          <w:rFonts w:asciiTheme="minorHAnsi" w:hAnsiTheme="minorHAnsi"/>
        </w:rPr>
        <w:t>can</w:t>
      </w:r>
      <w:r>
        <w:rPr>
          <w:rFonts w:asciiTheme="minorHAnsi" w:hAnsiTheme="minorHAnsi"/>
        </w:rPr>
        <w:t xml:space="preserve"> be used to estimate for current year’s data.</w:t>
      </w:r>
    </w:p>
    <w:p w:rsidR="006F7B30" w:rsidRDefault="006F7B30" w:rsidP="006F7B30">
      <w:pPr>
        <w:jc w:val="both"/>
      </w:pPr>
      <w:r>
        <w:rPr>
          <w:rFonts w:asciiTheme="minorHAnsi" w:hAnsiTheme="minorHAnsi"/>
        </w:rPr>
        <w:lastRenderedPageBreak/>
        <w:t xml:space="preserve">Table 1 results show relative standard error (RSE) estimates using 2004 </w:t>
      </w:r>
      <w:r w:rsidR="00E20A35">
        <w:rPr>
          <w:rFonts w:asciiTheme="minorHAnsi" w:hAnsiTheme="minorHAnsi"/>
        </w:rPr>
        <w:t xml:space="preserve">Form </w:t>
      </w:r>
      <w:r>
        <w:rPr>
          <w:rFonts w:asciiTheme="minorHAnsi" w:hAnsiTheme="minorHAnsi"/>
        </w:rPr>
        <w:t>EIA-861 regressor data to estimate 2009 sales and revenue data by economic end-use sector and region when the 1,100 respondents are eliminated from the sample</w:t>
      </w:r>
      <w:r w:rsidRPr="00C97CBF">
        <w:rPr>
          <w:rFonts w:asciiTheme="minorHAnsi" w:hAnsiTheme="minorHAnsi"/>
        </w:rPr>
        <w:t>. RSE estimates are designed as performance measures regarding sampling error</w:t>
      </w:r>
      <w:r>
        <w:rPr>
          <w:rFonts w:asciiTheme="minorHAnsi" w:hAnsiTheme="minorHAnsi"/>
        </w:rPr>
        <w:t>.</w:t>
      </w:r>
      <w:r w:rsidRPr="00C97CBF">
        <w:rPr>
          <w:rFonts w:asciiTheme="minorHAnsi" w:hAnsiTheme="minorHAnsi"/>
        </w:rPr>
        <w:t xml:space="preserve"> Correlation between current </w:t>
      </w:r>
      <w:r w:rsidR="00E20A35">
        <w:rPr>
          <w:rFonts w:asciiTheme="minorHAnsi" w:hAnsiTheme="minorHAnsi"/>
        </w:rPr>
        <w:t xml:space="preserve">Form </w:t>
      </w:r>
      <w:r w:rsidRPr="00C97CBF">
        <w:rPr>
          <w:rFonts w:asciiTheme="minorHAnsi" w:hAnsiTheme="minorHAnsi"/>
        </w:rPr>
        <w:t>EIA-861 sales and revenue data</w:t>
      </w:r>
      <w:r>
        <w:rPr>
          <w:rFonts w:asciiTheme="minorHAnsi" w:hAnsiTheme="minorHAnsi"/>
        </w:rPr>
        <w:t xml:space="preserve"> and </w:t>
      </w:r>
      <w:r w:rsidR="00380430">
        <w:rPr>
          <w:rFonts w:asciiTheme="minorHAnsi" w:hAnsiTheme="minorHAnsi"/>
        </w:rPr>
        <w:t>5</w:t>
      </w:r>
      <w:r w:rsidRPr="00C97CBF">
        <w:rPr>
          <w:rFonts w:asciiTheme="minorHAnsi" w:hAnsiTheme="minorHAnsi"/>
        </w:rPr>
        <w:t xml:space="preserve">-year old </w:t>
      </w:r>
      <w:r w:rsidR="00E20A35">
        <w:rPr>
          <w:rFonts w:asciiTheme="minorHAnsi" w:hAnsiTheme="minorHAnsi"/>
        </w:rPr>
        <w:t xml:space="preserve">Form </w:t>
      </w:r>
      <w:r w:rsidRPr="00C97CBF">
        <w:rPr>
          <w:rFonts w:asciiTheme="minorHAnsi" w:hAnsiTheme="minorHAnsi"/>
        </w:rPr>
        <w:t>EIA-861 sales and revenue data, respectively, is very</w:t>
      </w:r>
      <w:r w:rsidRPr="00AF4466">
        <w:rPr>
          <w:rFonts w:asciiTheme="minorHAnsi" w:hAnsiTheme="minorHAnsi"/>
        </w:rPr>
        <w:t xml:space="preserve"> high</w:t>
      </w:r>
      <w:r>
        <w:rPr>
          <w:rFonts w:asciiTheme="minorHAnsi" w:hAnsiTheme="minorHAnsi"/>
        </w:rPr>
        <w:t>. T</w:t>
      </w:r>
      <w:r w:rsidRPr="00AF4466">
        <w:rPr>
          <w:rFonts w:asciiTheme="minorHAnsi" w:hAnsiTheme="minorHAnsi"/>
        </w:rPr>
        <w:t xml:space="preserve">hus </w:t>
      </w:r>
      <w:r w:rsidR="00E20A35">
        <w:rPr>
          <w:rFonts w:asciiTheme="minorHAnsi" w:hAnsiTheme="minorHAnsi"/>
        </w:rPr>
        <w:t xml:space="preserve">Form </w:t>
      </w:r>
      <w:r w:rsidRPr="00AF4466">
        <w:rPr>
          <w:rFonts w:asciiTheme="minorHAnsi" w:hAnsiTheme="minorHAnsi"/>
        </w:rPr>
        <w:t xml:space="preserve">EIA-861 data collected only </w:t>
      </w:r>
      <w:r w:rsidR="00A50553">
        <w:rPr>
          <w:rFonts w:asciiTheme="minorHAnsi" w:hAnsiTheme="minorHAnsi"/>
        </w:rPr>
        <w:t>at intervals</w:t>
      </w:r>
      <w:r w:rsidRPr="00AF4466">
        <w:rPr>
          <w:rFonts w:asciiTheme="minorHAnsi" w:hAnsiTheme="minorHAnsi"/>
        </w:rPr>
        <w:t xml:space="preserve"> on the entire population can work well as regressor data for a new non-censused </w:t>
      </w:r>
      <w:r w:rsidR="00E20A35">
        <w:rPr>
          <w:rFonts w:asciiTheme="minorHAnsi" w:hAnsiTheme="minorHAnsi"/>
        </w:rPr>
        <w:t xml:space="preserve">Form </w:t>
      </w:r>
      <w:r w:rsidRPr="00AF4466">
        <w:rPr>
          <w:rFonts w:asciiTheme="minorHAnsi" w:hAnsiTheme="minorHAnsi"/>
        </w:rPr>
        <w:t xml:space="preserve">EIA-861 data set, as well as for the </w:t>
      </w:r>
      <w:r w:rsidR="00E20A35">
        <w:rPr>
          <w:rFonts w:asciiTheme="minorHAnsi" w:hAnsiTheme="minorHAnsi"/>
        </w:rPr>
        <w:t xml:space="preserve">Form </w:t>
      </w:r>
      <w:r w:rsidRPr="00AF4466">
        <w:rPr>
          <w:rFonts w:asciiTheme="minorHAnsi" w:hAnsiTheme="minorHAnsi"/>
        </w:rPr>
        <w:t>EIA-826 data monthly, as long as the frame is maintained.</w:t>
      </w:r>
      <w:r>
        <w:t xml:space="preserve">  </w:t>
      </w:r>
    </w:p>
    <w:p w:rsidR="006F7B30" w:rsidRDefault="006F7B30" w:rsidP="006F7B30">
      <w:pPr>
        <w:rPr>
          <w:rFonts w:asciiTheme="minorHAnsi" w:hAnsiTheme="minorHAnsi"/>
        </w:rPr>
      </w:pPr>
    </w:p>
    <w:p w:rsidR="006F7B30" w:rsidRPr="00CD5E90" w:rsidRDefault="006F7B30" w:rsidP="006F7B30">
      <w:pPr>
        <w:jc w:val="both"/>
        <w:rPr>
          <w:rFonts w:asciiTheme="minorHAnsi" w:hAnsiTheme="minorHAnsi"/>
          <w:b/>
        </w:rPr>
      </w:pPr>
      <w:r w:rsidRPr="00CD5E90">
        <w:rPr>
          <w:rFonts w:asciiTheme="minorHAnsi" w:hAnsiTheme="minorHAnsi"/>
          <w:b/>
        </w:rPr>
        <w:t>Table</w:t>
      </w:r>
      <w:r>
        <w:rPr>
          <w:rFonts w:asciiTheme="minorHAnsi" w:hAnsiTheme="minorHAnsi"/>
          <w:b/>
        </w:rPr>
        <w:t xml:space="preserve"> 1</w:t>
      </w:r>
      <w:r w:rsidRPr="00CD5E90">
        <w:rPr>
          <w:rFonts w:asciiTheme="minorHAnsi" w:hAnsiTheme="minorHAnsi"/>
          <w:b/>
        </w:rPr>
        <w:t>. Retail Sales and Revenue R</w:t>
      </w:r>
      <w:r>
        <w:rPr>
          <w:rFonts w:asciiTheme="minorHAnsi" w:hAnsiTheme="minorHAnsi"/>
          <w:b/>
        </w:rPr>
        <w:t xml:space="preserve">elative </w:t>
      </w:r>
      <w:r w:rsidRPr="00CD5E90">
        <w:rPr>
          <w:rFonts w:asciiTheme="minorHAnsi" w:hAnsiTheme="minorHAnsi"/>
          <w:b/>
        </w:rPr>
        <w:t>S</w:t>
      </w:r>
      <w:r>
        <w:rPr>
          <w:rFonts w:asciiTheme="minorHAnsi" w:hAnsiTheme="minorHAnsi"/>
          <w:b/>
        </w:rPr>
        <w:t xml:space="preserve">tandard </w:t>
      </w:r>
      <w:r w:rsidRPr="00CD5E90">
        <w:rPr>
          <w:rFonts w:asciiTheme="minorHAnsi" w:hAnsiTheme="minorHAnsi"/>
          <w:b/>
        </w:rPr>
        <w:t>E</w:t>
      </w:r>
      <w:r>
        <w:rPr>
          <w:rFonts w:asciiTheme="minorHAnsi" w:hAnsiTheme="minorHAnsi"/>
          <w:b/>
        </w:rPr>
        <w:t>rror</w:t>
      </w:r>
      <w:r w:rsidRPr="00CD5E90">
        <w:rPr>
          <w:rFonts w:asciiTheme="minorHAnsi" w:hAnsiTheme="minorHAnsi"/>
          <w:b/>
        </w:rPr>
        <w:t xml:space="preserve"> Estimates (%) using 2004 Regressor Data   </w:t>
      </w:r>
    </w:p>
    <w:tbl>
      <w:tblPr>
        <w:tblW w:w="9158" w:type="dxa"/>
        <w:tblInd w:w="93" w:type="dxa"/>
        <w:tblBorders>
          <w:top w:val="single" w:sz="4" w:space="0" w:color="auto"/>
          <w:bottom w:val="single" w:sz="4" w:space="0" w:color="auto"/>
          <w:insideH w:val="single" w:sz="4" w:space="0" w:color="auto"/>
        </w:tblBorders>
        <w:tblLook w:val="04A0"/>
      </w:tblPr>
      <w:tblGrid>
        <w:gridCol w:w="2212"/>
        <w:gridCol w:w="630"/>
        <w:gridCol w:w="627"/>
        <w:gridCol w:w="630"/>
        <w:gridCol w:w="759"/>
        <w:gridCol w:w="744"/>
        <w:gridCol w:w="222"/>
        <w:gridCol w:w="630"/>
        <w:gridCol w:w="630"/>
        <w:gridCol w:w="571"/>
        <w:gridCol w:w="759"/>
        <w:gridCol w:w="744"/>
      </w:tblGrid>
      <w:tr w:rsidR="006F7B30" w:rsidRPr="005051AC" w:rsidTr="005051AC">
        <w:trPr>
          <w:trHeight w:val="300"/>
        </w:trPr>
        <w:tc>
          <w:tcPr>
            <w:tcW w:w="2212" w:type="dxa"/>
            <w:tcBorders>
              <w:bottom w:val="dotted" w:sz="4" w:space="0" w:color="auto"/>
            </w:tcBorders>
            <w:shd w:val="clear" w:color="auto" w:fill="auto"/>
            <w:noWrap/>
            <w:vAlign w:val="bottom"/>
            <w:hideMark/>
          </w:tcPr>
          <w:p w:rsidR="006F7B30" w:rsidRPr="005051AC" w:rsidRDefault="006F7B30" w:rsidP="005051AC">
            <w:pPr>
              <w:spacing w:before="60" w:after="60" w:line="240" w:lineRule="auto"/>
              <w:rPr>
                <w:rFonts w:asciiTheme="minorHAnsi" w:hAnsiTheme="minorHAnsi" w:cstheme="minorHAnsi"/>
                <w:color w:val="000000"/>
                <w:sz w:val="20"/>
                <w:szCs w:val="20"/>
              </w:rPr>
            </w:pPr>
          </w:p>
        </w:tc>
        <w:tc>
          <w:tcPr>
            <w:tcW w:w="3390" w:type="dxa"/>
            <w:gridSpan w:val="5"/>
            <w:tcBorders>
              <w:bottom w:val="dotted" w:sz="4" w:space="0" w:color="auto"/>
            </w:tcBorders>
            <w:shd w:val="clear" w:color="auto" w:fill="auto"/>
            <w:noWrap/>
            <w:vAlign w:val="bottom"/>
            <w:hideMark/>
          </w:tcPr>
          <w:p w:rsidR="006F7B30" w:rsidRPr="005051AC" w:rsidRDefault="006F7B30" w:rsidP="005051AC">
            <w:pPr>
              <w:spacing w:before="60" w:after="60" w:line="240" w:lineRule="auto"/>
              <w:jc w:val="center"/>
              <w:rPr>
                <w:rFonts w:asciiTheme="minorHAnsi" w:hAnsiTheme="minorHAnsi" w:cstheme="minorHAnsi"/>
                <w:color w:val="000000"/>
                <w:sz w:val="20"/>
                <w:szCs w:val="20"/>
              </w:rPr>
            </w:pPr>
            <w:r w:rsidRPr="005051AC">
              <w:rPr>
                <w:rFonts w:asciiTheme="minorHAnsi" w:hAnsiTheme="minorHAnsi" w:cstheme="minorHAnsi"/>
                <w:color w:val="000000"/>
                <w:sz w:val="20"/>
                <w:szCs w:val="20"/>
              </w:rPr>
              <w:t>SALES</w:t>
            </w:r>
          </w:p>
        </w:tc>
        <w:tc>
          <w:tcPr>
            <w:tcW w:w="222" w:type="dxa"/>
            <w:tcBorders>
              <w:bottom w:val="dotted" w:sz="4" w:space="0" w:color="auto"/>
            </w:tcBorders>
          </w:tcPr>
          <w:p w:rsidR="006F7B30" w:rsidRPr="005051AC" w:rsidRDefault="006F7B30" w:rsidP="005051AC">
            <w:pPr>
              <w:spacing w:before="60" w:after="60" w:line="240" w:lineRule="auto"/>
              <w:jc w:val="center"/>
              <w:rPr>
                <w:rFonts w:asciiTheme="minorHAnsi" w:hAnsiTheme="minorHAnsi" w:cstheme="minorHAnsi"/>
                <w:color w:val="000000"/>
                <w:sz w:val="20"/>
                <w:szCs w:val="20"/>
              </w:rPr>
            </w:pPr>
          </w:p>
        </w:tc>
        <w:tc>
          <w:tcPr>
            <w:tcW w:w="3334" w:type="dxa"/>
            <w:gridSpan w:val="5"/>
            <w:tcBorders>
              <w:bottom w:val="dotted" w:sz="4" w:space="0" w:color="auto"/>
            </w:tcBorders>
            <w:shd w:val="clear" w:color="auto" w:fill="auto"/>
            <w:noWrap/>
            <w:vAlign w:val="bottom"/>
            <w:hideMark/>
          </w:tcPr>
          <w:p w:rsidR="006F7B30" w:rsidRPr="005051AC" w:rsidRDefault="006F7B30" w:rsidP="005051AC">
            <w:pPr>
              <w:spacing w:before="60" w:after="60" w:line="240" w:lineRule="auto"/>
              <w:jc w:val="center"/>
              <w:rPr>
                <w:rFonts w:asciiTheme="minorHAnsi" w:hAnsiTheme="minorHAnsi" w:cstheme="minorHAnsi"/>
                <w:color w:val="000000"/>
                <w:sz w:val="20"/>
                <w:szCs w:val="20"/>
              </w:rPr>
            </w:pPr>
            <w:r w:rsidRPr="005051AC">
              <w:rPr>
                <w:rFonts w:asciiTheme="minorHAnsi" w:hAnsiTheme="minorHAnsi" w:cstheme="minorHAnsi"/>
                <w:color w:val="000000"/>
                <w:sz w:val="20"/>
                <w:szCs w:val="20"/>
              </w:rPr>
              <w:t>REVENUE</w:t>
            </w:r>
          </w:p>
        </w:tc>
      </w:tr>
      <w:tr w:rsidR="006F7B30" w:rsidRPr="005051AC" w:rsidTr="005051AC">
        <w:trPr>
          <w:trHeight w:val="300"/>
        </w:trPr>
        <w:tc>
          <w:tcPr>
            <w:tcW w:w="2212" w:type="dxa"/>
            <w:tcBorders>
              <w:top w:val="dotted" w:sz="4" w:space="0" w:color="auto"/>
              <w:left w:val="dotted" w:sz="4" w:space="0" w:color="auto"/>
              <w:bottom w:val="single" w:sz="6" w:space="0" w:color="auto"/>
              <w:right w:val="single" w:sz="6" w:space="0" w:color="auto"/>
            </w:tcBorders>
            <w:shd w:val="clear" w:color="auto" w:fill="auto"/>
            <w:noWrap/>
            <w:vAlign w:val="bottom"/>
            <w:hideMark/>
          </w:tcPr>
          <w:p w:rsidR="006F7B30" w:rsidRPr="005051AC" w:rsidRDefault="006F7B30" w:rsidP="005051AC">
            <w:pPr>
              <w:spacing w:before="60" w:after="60" w:line="240" w:lineRule="auto"/>
              <w:rPr>
                <w:rFonts w:asciiTheme="minorHAnsi" w:hAnsiTheme="minorHAnsi" w:cstheme="minorHAnsi"/>
                <w:color w:val="000000"/>
                <w:sz w:val="20"/>
                <w:szCs w:val="20"/>
              </w:rPr>
            </w:pPr>
            <w:r w:rsidRPr="005051AC">
              <w:rPr>
                <w:rFonts w:asciiTheme="minorHAnsi" w:hAnsiTheme="minorHAnsi" w:cstheme="minorHAnsi"/>
                <w:color w:val="000000"/>
                <w:sz w:val="20"/>
                <w:szCs w:val="20"/>
              </w:rPr>
              <w:t>REGION</w:t>
            </w:r>
          </w:p>
        </w:tc>
        <w:tc>
          <w:tcPr>
            <w:tcW w:w="630" w:type="dxa"/>
            <w:tcBorders>
              <w:top w:val="dotted" w:sz="4" w:space="0" w:color="auto"/>
              <w:left w:val="single" w:sz="6" w:space="0" w:color="auto"/>
              <w:bottom w:val="single" w:sz="6" w:space="0" w:color="auto"/>
              <w:right w:val="single" w:sz="6" w:space="0" w:color="auto"/>
            </w:tcBorders>
            <w:shd w:val="clear" w:color="auto" w:fill="auto"/>
            <w:noWrap/>
            <w:vAlign w:val="bottom"/>
            <w:hideMark/>
          </w:tcPr>
          <w:p w:rsidR="006F7B30" w:rsidRPr="005051AC" w:rsidRDefault="006F7B30" w:rsidP="005051AC">
            <w:pPr>
              <w:spacing w:before="60" w:after="60" w:line="240" w:lineRule="auto"/>
              <w:jc w:val="center"/>
              <w:rPr>
                <w:rFonts w:asciiTheme="minorHAnsi" w:hAnsiTheme="minorHAnsi" w:cstheme="minorHAnsi"/>
                <w:color w:val="000000"/>
                <w:sz w:val="20"/>
                <w:szCs w:val="20"/>
              </w:rPr>
            </w:pPr>
            <w:r w:rsidRPr="005051AC">
              <w:rPr>
                <w:rFonts w:asciiTheme="minorHAnsi" w:hAnsiTheme="minorHAnsi" w:cstheme="minorHAnsi"/>
                <w:color w:val="000000"/>
                <w:sz w:val="20"/>
                <w:szCs w:val="20"/>
              </w:rPr>
              <w:t>RES</w:t>
            </w:r>
          </w:p>
        </w:tc>
        <w:tc>
          <w:tcPr>
            <w:tcW w:w="627" w:type="dxa"/>
            <w:tcBorders>
              <w:top w:val="dotted" w:sz="4" w:space="0" w:color="auto"/>
              <w:left w:val="single" w:sz="6" w:space="0" w:color="auto"/>
              <w:bottom w:val="single" w:sz="6" w:space="0" w:color="auto"/>
              <w:right w:val="single" w:sz="6" w:space="0" w:color="auto"/>
            </w:tcBorders>
            <w:shd w:val="clear" w:color="auto" w:fill="auto"/>
            <w:noWrap/>
            <w:vAlign w:val="bottom"/>
            <w:hideMark/>
          </w:tcPr>
          <w:p w:rsidR="006F7B30" w:rsidRPr="005051AC" w:rsidRDefault="006F7B30" w:rsidP="005051AC">
            <w:pPr>
              <w:spacing w:before="60" w:after="60" w:line="240" w:lineRule="auto"/>
              <w:jc w:val="center"/>
              <w:rPr>
                <w:rFonts w:asciiTheme="minorHAnsi" w:hAnsiTheme="minorHAnsi" w:cstheme="minorHAnsi"/>
                <w:color w:val="000000"/>
                <w:sz w:val="20"/>
                <w:szCs w:val="20"/>
              </w:rPr>
            </w:pPr>
            <w:r w:rsidRPr="005051AC">
              <w:rPr>
                <w:rFonts w:asciiTheme="minorHAnsi" w:hAnsiTheme="minorHAnsi" w:cstheme="minorHAnsi"/>
                <w:color w:val="000000"/>
                <w:sz w:val="20"/>
                <w:szCs w:val="20"/>
              </w:rPr>
              <w:t>COM</w:t>
            </w:r>
          </w:p>
        </w:tc>
        <w:tc>
          <w:tcPr>
            <w:tcW w:w="630" w:type="dxa"/>
            <w:tcBorders>
              <w:top w:val="dotted" w:sz="4" w:space="0" w:color="auto"/>
              <w:left w:val="single" w:sz="6" w:space="0" w:color="auto"/>
              <w:bottom w:val="single" w:sz="6" w:space="0" w:color="auto"/>
              <w:right w:val="single" w:sz="6" w:space="0" w:color="auto"/>
            </w:tcBorders>
            <w:shd w:val="clear" w:color="auto" w:fill="auto"/>
            <w:noWrap/>
            <w:vAlign w:val="bottom"/>
            <w:hideMark/>
          </w:tcPr>
          <w:p w:rsidR="006F7B30" w:rsidRPr="005051AC" w:rsidRDefault="006F7B30" w:rsidP="005051AC">
            <w:pPr>
              <w:spacing w:before="60" w:after="60" w:line="240" w:lineRule="auto"/>
              <w:jc w:val="center"/>
              <w:rPr>
                <w:rFonts w:asciiTheme="minorHAnsi" w:hAnsiTheme="minorHAnsi" w:cstheme="minorHAnsi"/>
                <w:color w:val="000000"/>
                <w:sz w:val="20"/>
                <w:szCs w:val="20"/>
              </w:rPr>
            </w:pPr>
            <w:r w:rsidRPr="005051AC">
              <w:rPr>
                <w:rFonts w:asciiTheme="minorHAnsi" w:hAnsiTheme="minorHAnsi" w:cstheme="minorHAnsi"/>
                <w:color w:val="000000"/>
                <w:sz w:val="20"/>
                <w:szCs w:val="20"/>
              </w:rPr>
              <w:t>IND</w:t>
            </w:r>
          </w:p>
        </w:tc>
        <w:tc>
          <w:tcPr>
            <w:tcW w:w="759" w:type="dxa"/>
            <w:tcBorders>
              <w:top w:val="dotted" w:sz="4" w:space="0" w:color="auto"/>
              <w:left w:val="single" w:sz="6" w:space="0" w:color="auto"/>
              <w:bottom w:val="single" w:sz="6" w:space="0" w:color="auto"/>
              <w:right w:val="single" w:sz="6" w:space="0" w:color="auto"/>
            </w:tcBorders>
            <w:shd w:val="clear" w:color="auto" w:fill="auto"/>
            <w:noWrap/>
            <w:vAlign w:val="bottom"/>
            <w:hideMark/>
          </w:tcPr>
          <w:p w:rsidR="006F7B30" w:rsidRPr="005051AC" w:rsidRDefault="006F7B30" w:rsidP="005051AC">
            <w:pPr>
              <w:spacing w:before="60" w:after="60" w:line="240" w:lineRule="auto"/>
              <w:jc w:val="center"/>
              <w:rPr>
                <w:rFonts w:asciiTheme="minorHAnsi" w:hAnsiTheme="minorHAnsi" w:cstheme="minorHAnsi"/>
                <w:color w:val="000000"/>
                <w:sz w:val="20"/>
                <w:szCs w:val="20"/>
              </w:rPr>
            </w:pPr>
            <w:r w:rsidRPr="005051AC">
              <w:rPr>
                <w:rFonts w:asciiTheme="minorHAnsi" w:hAnsiTheme="minorHAnsi" w:cstheme="minorHAnsi"/>
                <w:color w:val="000000"/>
                <w:sz w:val="20"/>
                <w:szCs w:val="20"/>
              </w:rPr>
              <w:t>TRANS</w:t>
            </w:r>
          </w:p>
        </w:tc>
        <w:tc>
          <w:tcPr>
            <w:tcW w:w="744" w:type="dxa"/>
            <w:tcBorders>
              <w:top w:val="dotted" w:sz="4" w:space="0" w:color="auto"/>
              <w:left w:val="single" w:sz="6" w:space="0" w:color="auto"/>
              <w:bottom w:val="single" w:sz="6" w:space="0" w:color="auto"/>
              <w:right w:val="single" w:sz="6" w:space="0" w:color="auto"/>
            </w:tcBorders>
            <w:shd w:val="clear" w:color="auto" w:fill="auto"/>
            <w:noWrap/>
            <w:vAlign w:val="bottom"/>
            <w:hideMark/>
          </w:tcPr>
          <w:p w:rsidR="006F7B30" w:rsidRPr="005051AC" w:rsidRDefault="006F7B30" w:rsidP="005051AC">
            <w:pPr>
              <w:spacing w:before="60" w:after="60" w:line="240" w:lineRule="auto"/>
              <w:jc w:val="center"/>
              <w:rPr>
                <w:rFonts w:asciiTheme="minorHAnsi" w:hAnsiTheme="minorHAnsi" w:cstheme="minorHAnsi"/>
                <w:color w:val="000000"/>
                <w:sz w:val="20"/>
                <w:szCs w:val="20"/>
              </w:rPr>
            </w:pPr>
            <w:r w:rsidRPr="005051AC">
              <w:rPr>
                <w:rFonts w:asciiTheme="minorHAnsi" w:hAnsiTheme="minorHAnsi" w:cstheme="minorHAnsi"/>
                <w:color w:val="000000"/>
                <w:sz w:val="20"/>
                <w:szCs w:val="20"/>
              </w:rPr>
              <w:t>TOTAL</w:t>
            </w:r>
          </w:p>
        </w:tc>
        <w:tc>
          <w:tcPr>
            <w:tcW w:w="222" w:type="dxa"/>
            <w:tcBorders>
              <w:top w:val="dotted" w:sz="4" w:space="0" w:color="auto"/>
              <w:left w:val="single" w:sz="6" w:space="0" w:color="auto"/>
              <w:bottom w:val="single" w:sz="6" w:space="0" w:color="auto"/>
              <w:right w:val="single" w:sz="6" w:space="0" w:color="auto"/>
            </w:tcBorders>
          </w:tcPr>
          <w:p w:rsidR="006F7B30" w:rsidRPr="005051AC" w:rsidRDefault="006F7B30" w:rsidP="005051AC">
            <w:pPr>
              <w:spacing w:before="60" w:after="60" w:line="240" w:lineRule="auto"/>
              <w:jc w:val="center"/>
              <w:rPr>
                <w:rFonts w:asciiTheme="minorHAnsi" w:hAnsiTheme="minorHAnsi" w:cstheme="minorHAnsi"/>
                <w:color w:val="000000"/>
                <w:sz w:val="20"/>
                <w:szCs w:val="20"/>
              </w:rPr>
            </w:pPr>
          </w:p>
        </w:tc>
        <w:tc>
          <w:tcPr>
            <w:tcW w:w="630" w:type="dxa"/>
            <w:tcBorders>
              <w:top w:val="dotted" w:sz="4" w:space="0" w:color="auto"/>
              <w:left w:val="single" w:sz="6" w:space="0" w:color="auto"/>
              <w:bottom w:val="single" w:sz="6" w:space="0" w:color="auto"/>
              <w:right w:val="single" w:sz="6" w:space="0" w:color="auto"/>
            </w:tcBorders>
            <w:shd w:val="clear" w:color="auto" w:fill="auto"/>
            <w:noWrap/>
            <w:vAlign w:val="bottom"/>
            <w:hideMark/>
          </w:tcPr>
          <w:p w:rsidR="006F7B30" w:rsidRPr="005051AC" w:rsidRDefault="006F7B30" w:rsidP="005051AC">
            <w:pPr>
              <w:spacing w:before="60" w:after="60" w:line="240" w:lineRule="auto"/>
              <w:jc w:val="center"/>
              <w:rPr>
                <w:rFonts w:asciiTheme="minorHAnsi" w:hAnsiTheme="minorHAnsi" w:cstheme="minorHAnsi"/>
                <w:color w:val="000000"/>
                <w:sz w:val="20"/>
                <w:szCs w:val="20"/>
              </w:rPr>
            </w:pPr>
            <w:r w:rsidRPr="005051AC">
              <w:rPr>
                <w:rFonts w:asciiTheme="minorHAnsi" w:hAnsiTheme="minorHAnsi" w:cstheme="minorHAnsi"/>
                <w:color w:val="000000"/>
                <w:sz w:val="20"/>
                <w:szCs w:val="20"/>
              </w:rPr>
              <w:t>RES</w:t>
            </w:r>
          </w:p>
        </w:tc>
        <w:tc>
          <w:tcPr>
            <w:tcW w:w="630" w:type="dxa"/>
            <w:tcBorders>
              <w:top w:val="dotted" w:sz="4" w:space="0" w:color="auto"/>
              <w:left w:val="single" w:sz="6" w:space="0" w:color="auto"/>
              <w:bottom w:val="single" w:sz="6" w:space="0" w:color="auto"/>
              <w:right w:val="single" w:sz="6" w:space="0" w:color="auto"/>
            </w:tcBorders>
            <w:shd w:val="clear" w:color="auto" w:fill="auto"/>
            <w:noWrap/>
            <w:vAlign w:val="bottom"/>
            <w:hideMark/>
          </w:tcPr>
          <w:p w:rsidR="006F7B30" w:rsidRPr="005051AC" w:rsidRDefault="006F7B30" w:rsidP="005051AC">
            <w:pPr>
              <w:spacing w:before="60" w:after="60" w:line="240" w:lineRule="auto"/>
              <w:jc w:val="center"/>
              <w:rPr>
                <w:rFonts w:asciiTheme="minorHAnsi" w:hAnsiTheme="minorHAnsi" w:cstheme="minorHAnsi"/>
                <w:color w:val="000000"/>
                <w:sz w:val="20"/>
                <w:szCs w:val="20"/>
              </w:rPr>
            </w:pPr>
            <w:r w:rsidRPr="005051AC">
              <w:rPr>
                <w:rFonts w:asciiTheme="minorHAnsi" w:hAnsiTheme="minorHAnsi" w:cstheme="minorHAnsi"/>
                <w:color w:val="000000"/>
                <w:sz w:val="20"/>
                <w:szCs w:val="20"/>
              </w:rPr>
              <w:t>COM</w:t>
            </w:r>
          </w:p>
        </w:tc>
        <w:tc>
          <w:tcPr>
            <w:tcW w:w="571" w:type="dxa"/>
            <w:tcBorders>
              <w:top w:val="dotted" w:sz="4" w:space="0" w:color="auto"/>
              <w:left w:val="single" w:sz="6" w:space="0" w:color="auto"/>
              <w:bottom w:val="single" w:sz="6" w:space="0" w:color="auto"/>
              <w:right w:val="single" w:sz="6" w:space="0" w:color="auto"/>
            </w:tcBorders>
            <w:shd w:val="clear" w:color="auto" w:fill="auto"/>
            <w:noWrap/>
            <w:vAlign w:val="bottom"/>
            <w:hideMark/>
          </w:tcPr>
          <w:p w:rsidR="006F7B30" w:rsidRPr="005051AC" w:rsidRDefault="006F7B30" w:rsidP="005051AC">
            <w:pPr>
              <w:spacing w:before="60" w:after="60" w:line="240" w:lineRule="auto"/>
              <w:jc w:val="center"/>
              <w:rPr>
                <w:rFonts w:asciiTheme="minorHAnsi" w:hAnsiTheme="minorHAnsi" w:cstheme="minorHAnsi"/>
                <w:color w:val="000000"/>
                <w:sz w:val="20"/>
                <w:szCs w:val="20"/>
              </w:rPr>
            </w:pPr>
            <w:r w:rsidRPr="005051AC">
              <w:rPr>
                <w:rFonts w:asciiTheme="minorHAnsi" w:hAnsiTheme="minorHAnsi" w:cstheme="minorHAnsi"/>
                <w:color w:val="000000"/>
                <w:sz w:val="20"/>
                <w:szCs w:val="20"/>
              </w:rPr>
              <w:t>IND</w:t>
            </w:r>
          </w:p>
        </w:tc>
        <w:tc>
          <w:tcPr>
            <w:tcW w:w="759" w:type="dxa"/>
            <w:tcBorders>
              <w:top w:val="dotted" w:sz="4" w:space="0" w:color="auto"/>
              <w:left w:val="single" w:sz="6" w:space="0" w:color="auto"/>
              <w:bottom w:val="single" w:sz="6" w:space="0" w:color="auto"/>
              <w:right w:val="single" w:sz="6" w:space="0" w:color="auto"/>
            </w:tcBorders>
            <w:shd w:val="clear" w:color="auto" w:fill="auto"/>
            <w:noWrap/>
            <w:vAlign w:val="bottom"/>
            <w:hideMark/>
          </w:tcPr>
          <w:p w:rsidR="006F7B30" w:rsidRPr="005051AC" w:rsidRDefault="006F7B30" w:rsidP="005051AC">
            <w:pPr>
              <w:spacing w:before="60" w:after="60" w:line="240" w:lineRule="auto"/>
              <w:jc w:val="center"/>
              <w:rPr>
                <w:rFonts w:asciiTheme="minorHAnsi" w:hAnsiTheme="minorHAnsi" w:cstheme="minorHAnsi"/>
                <w:color w:val="000000"/>
                <w:sz w:val="20"/>
                <w:szCs w:val="20"/>
              </w:rPr>
            </w:pPr>
            <w:r w:rsidRPr="005051AC">
              <w:rPr>
                <w:rFonts w:asciiTheme="minorHAnsi" w:hAnsiTheme="minorHAnsi" w:cstheme="minorHAnsi"/>
                <w:color w:val="000000"/>
                <w:sz w:val="20"/>
                <w:szCs w:val="20"/>
              </w:rPr>
              <w:t>TRANS</w:t>
            </w:r>
          </w:p>
        </w:tc>
        <w:tc>
          <w:tcPr>
            <w:tcW w:w="744" w:type="dxa"/>
            <w:tcBorders>
              <w:top w:val="dotted" w:sz="4" w:space="0" w:color="auto"/>
              <w:left w:val="single" w:sz="6" w:space="0" w:color="auto"/>
              <w:bottom w:val="single" w:sz="6" w:space="0" w:color="auto"/>
              <w:right w:val="dotted" w:sz="4" w:space="0" w:color="auto"/>
            </w:tcBorders>
            <w:shd w:val="clear" w:color="auto" w:fill="auto"/>
            <w:noWrap/>
            <w:vAlign w:val="bottom"/>
            <w:hideMark/>
          </w:tcPr>
          <w:p w:rsidR="006F7B30" w:rsidRPr="005051AC" w:rsidRDefault="006F7B30" w:rsidP="005051AC">
            <w:pPr>
              <w:spacing w:before="60" w:after="60" w:line="240" w:lineRule="auto"/>
              <w:jc w:val="center"/>
              <w:rPr>
                <w:rFonts w:asciiTheme="minorHAnsi" w:hAnsiTheme="minorHAnsi" w:cstheme="minorHAnsi"/>
                <w:color w:val="000000"/>
                <w:sz w:val="20"/>
                <w:szCs w:val="20"/>
              </w:rPr>
            </w:pPr>
            <w:r w:rsidRPr="005051AC">
              <w:rPr>
                <w:rFonts w:asciiTheme="minorHAnsi" w:hAnsiTheme="minorHAnsi" w:cstheme="minorHAnsi"/>
                <w:color w:val="000000"/>
                <w:sz w:val="20"/>
                <w:szCs w:val="20"/>
              </w:rPr>
              <w:t>TOTAL</w:t>
            </w:r>
          </w:p>
        </w:tc>
      </w:tr>
      <w:tr w:rsidR="006F7B30" w:rsidRPr="005051AC" w:rsidTr="005051AC">
        <w:trPr>
          <w:trHeight w:val="300"/>
        </w:trPr>
        <w:tc>
          <w:tcPr>
            <w:tcW w:w="2212" w:type="dxa"/>
            <w:tcBorders>
              <w:top w:val="single" w:sz="6" w:space="0" w:color="auto"/>
              <w:left w:val="dotted" w:sz="4" w:space="0" w:color="auto"/>
              <w:bottom w:val="single" w:sz="6" w:space="0" w:color="auto"/>
              <w:right w:val="single" w:sz="6" w:space="0" w:color="auto"/>
            </w:tcBorders>
            <w:shd w:val="clear" w:color="auto" w:fill="auto"/>
            <w:noWrap/>
            <w:vAlign w:val="bottom"/>
            <w:hideMark/>
          </w:tcPr>
          <w:p w:rsidR="006F7B30" w:rsidRPr="005051AC" w:rsidRDefault="006F7B30" w:rsidP="005051AC">
            <w:pPr>
              <w:spacing w:before="60" w:after="60" w:line="240" w:lineRule="auto"/>
              <w:rPr>
                <w:rFonts w:asciiTheme="minorHAnsi" w:hAnsiTheme="minorHAnsi" w:cstheme="minorHAnsi"/>
                <w:color w:val="000000"/>
                <w:sz w:val="20"/>
                <w:szCs w:val="20"/>
              </w:rPr>
            </w:pPr>
            <w:r w:rsidRPr="005051AC">
              <w:rPr>
                <w:rFonts w:asciiTheme="minorHAnsi" w:hAnsiTheme="minorHAnsi" w:cstheme="minorHAnsi"/>
                <w:color w:val="000000"/>
                <w:sz w:val="20"/>
                <w:szCs w:val="20"/>
              </w:rPr>
              <w:t>EAST_NORTH_CENTRAL</w:t>
            </w:r>
          </w:p>
        </w:tc>
        <w:tc>
          <w:tcPr>
            <w:tcW w:w="630" w:type="dxa"/>
            <w:tcBorders>
              <w:top w:val="single" w:sz="6" w:space="0" w:color="auto"/>
              <w:left w:val="single" w:sz="6" w:space="0" w:color="auto"/>
              <w:bottom w:val="single" w:sz="6" w:space="0" w:color="auto"/>
              <w:right w:val="single" w:sz="6" w:space="0" w:color="auto"/>
            </w:tcBorders>
            <w:shd w:val="clear" w:color="auto" w:fill="auto"/>
            <w:noWrap/>
            <w:vAlign w:val="bottom"/>
            <w:hideMark/>
          </w:tcPr>
          <w:p w:rsidR="006F7B30" w:rsidRPr="005051AC" w:rsidRDefault="006F7B30" w:rsidP="005051AC">
            <w:pPr>
              <w:spacing w:before="60" w:after="60" w:line="240" w:lineRule="auto"/>
              <w:jc w:val="center"/>
              <w:rPr>
                <w:rFonts w:asciiTheme="minorHAnsi" w:hAnsiTheme="minorHAnsi" w:cstheme="minorHAnsi"/>
                <w:color w:val="000000"/>
                <w:sz w:val="20"/>
                <w:szCs w:val="20"/>
              </w:rPr>
            </w:pPr>
            <w:r w:rsidRPr="005051AC">
              <w:rPr>
                <w:rFonts w:asciiTheme="minorHAnsi" w:hAnsiTheme="minorHAnsi" w:cstheme="minorHAnsi"/>
                <w:color w:val="000000"/>
                <w:sz w:val="20"/>
                <w:szCs w:val="20"/>
              </w:rPr>
              <w:t>0.04</w:t>
            </w:r>
          </w:p>
        </w:tc>
        <w:tc>
          <w:tcPr>
            <w:tcW w:w="627" w:type="dxa"/>
            <w:tcBorders>
              <w:top w:val="single" w:sz="6" w:space="0" w:color="auto"/>
              <w:left w:val="single" w:sz="6" w:space="0" w:color="auto"/>
              <w:bottom w:val="single" w:sz="6" w:space="0" w:color="auto"/>
              <w:right w:val="single" w:sz="6" w:space="0" w:color="auto"/>
            </w:tcBorders>
            <w:shd w:val="clear" w:color="auto" w:fill="auto"/>
            <w:noWrap/>
            <w:vAlign w:val="bottom"/>
            <w:hideMark/>
          </w:tcPr>
          <w:p w:rsidR="006F7B30" w:rsidRPr="005051AC" w:rsidRDefault="006F7B30" w:rsidP="005051AC">
            <w:pPr>
              <w:spacing w:before="60" w:after="60" w:line="240" w:lineRule="auto"/>
              <w:jc w:val="center"/>
              <w:rPr>
                <w:rFonts w:asciiTheme="minorHAnsi" w:hAnsiTheme="minorHAnsi" w:cstheme="minorHAnsi"/>
                <w:color w:val="000000"/>
                <w:sz w:val="20"/>
                <w:szCs w:val="20"/>
              </w:rPr>
            </w:pPr>
            <w:r w:rsidRPr="005051AC">
              <w:rPr>
                <w:rFonts w:asciiTheme="minorHAnsi" w:hAnsiTheme="minorHAnsi" w:cstheme="minorHAnsi"/>
                <w:color w:val="000000"/>
                <w:sz w:val="20"/>
                <w:szCs w:val="20"/>
              </w:rPr>
              <w:t>0.04</w:t>
            </w:r>
          </w:p>
        </w:tc>
        <w:tc>
          <w:tcPr>
            <w:tcW w:w="630" w:type="dxa"/>
            <w:tcBorders>
              <w:top w:val="single" w:sz="6" w:space="0" w:color="auto"/>
              <w:left w:val="single" w:sz="6" w:space="0" w:color="auto"/>
              <w:bottom w:val="single" w:sz="6" w:space="0" w:color="auto"/>
              <w:right w:val="single" w:sz="6" w:space="0" w:color="auto"/>
            </w:tcBorders>
            <w:shd w:val="clear" w:color="auto" w:fill="auto"/>
            <w:noWrap/>
            <w:vAlign w:val="bottom"/>
            <w:hideMark/>
          </w:tcPr>
          <w:p w:rsidR="006F7B30" w:rsidRPr="005051AC" w:rsidRDefault="006F7B30" w:rsidP="005051AC">
            <w:pPr>
              <w:spacing w:before="60" w:after="60" w:line="240" w:lineRule="auto"/>
              <w:jc w:val="center"/>
              <w:rPr>
                <w:rFonts w:asciiTheme="minorHAnsi" w:hAnsiTheme="minorHAnsi" w:cstheme="minorHAnsi"/>
                <w:color w:val="000000"/>
                <w:sz w:val="20"/>
                <w:szCs w:val="20"/>
              </w:rPr>
            </w:pPr>
            <w:r w:rsidRPr="005051AC">
              <w:rPr>
                <w:rFonts w:asciiTheme="minorHAnsi" w:hAnsiTheme="minorHAnsi" w:cstheme="minorHAnsi"/>
                <w:color w:val="000000"/>
                <w:sz w:val="20"/>
                <w:szCs w:val="20"/>
              </w:rPr>
              <w:t>0.09</w:t>
            </w:r>
          </w:p>
        </w:tc>
        <w:tc>
          <w:tcPr>
            <w:tcW w:w="759" w:type="dxa"/>
            <w:tcBorders>
              <w:top w:val="single" w:sz="6" w:space="0" w:color="auto"/>
              <w:left w:val="single" w:sz="6" w:space="0" w:color="auto"/>
              <w:bottom w:val="single" w:sz="6" w:space="0" w:color="auto"/>
              <w:right w:val="single" w:sz="6" w:space="0" w:color="auto"/>
            </w:tcBorders>
            <w:shd w:val="clear" w:color="auto" w:fill="auto"/>
            <w:noWrap/>
            <w:vAlign w:val="bottom"/>
            <w:hideMark/>
          </w:tcPr>
          <w:p w:rsidR="006F7B30" w:rsidRPr="005051AC" w:rsidRDefault="006F7B30" w:rsidP="005051AC">
            <w:pPr>
              <w:spacing w:before="60" w:after="60" w:line="240" w:lineRule="auto"/>
              <w:jc w:val="center"/>
              <w:rPr>
                <w:rFonts w:asciiTheme="minorHAnsi" w:hAnsiTheme="minorHAnsi" w:cstheme="minorHAnsi"/>
                <w:color w:val="000000"/>
                <w:sz w:val="20"/>
                <w:szCs w:val="20"/>
              </w:rPr>
            </w:pPr>
            <w:r w:rsidRPr="005051AC">
              <w:rPr>
                <w:rFonts w:asciiTheme="minorHAnsi" w:hAnsiTheme="minorHAnsi" w:cstheme="minorHAnsi"/>
                <w:color w:val="000000"/>
                <w:sz w:val="20"/>
                <w:szCs w:val="20"/>
              </w:rPr>
              <w:t>0.13</w:t>
            </w:r>
          </w:p>
        </w:tc>
        <w:tc>
          <w:tcPr>
            <w:tcW w:w="744" w:type="dxa"/>
            <w:tcBorders>
              <w:top w:val="single" w:sz="6" w:space="0" w:color="auto"/>
              <w:left w:val="single" w:sz="6" w:space="0" w:color="auto"/>
              <w:bottom w:val="single" w:sz="6" w:space="0" w:color="auto"/>
              <w:right w:val="single" w:sz="6" w:space="0" w:color="auto"/>
            </w:tcBorders>
            <w:shd w:val="clear" w:color="auto" w:fill="auto"/>
            <w:noWrap/>
            <w:vAlign w:val="bottom"/>
            <w:hideMark/>
          </w:tcPr>
          <w:p w:rsidR="006F7B30" w:rsidRPr="005051AC" w:rsidRDefault="006F7B30" w:rsidP="005051AC">
            <w:pPr>
              <w:spacing w:before="60" w:after="60" w:line="240" w:lineRule="auto"/>
              <w:jc w:val="center"/>
              <w:rPr>
                <w:rFonts w:asciiTheme="minorHAnsi" w:hAnsiTheme="minorHAnsi" w:cstheme="minorHAnsi"/>
                <w:color w:val="000000"/>
                <w:sz w:val="20"/>
                <w:szCs w:val="20"/>
              </w:rPr>
            </w:pPr>
            <w:r w:rsidRPr="005051AC">
              <w:rPr>
                <w:rFonts w:asciiTheme="minorHAnsi" w:hAnsiTheme="minorHAnsi" w:cstheme="minorHAnsi"/>
                <w:color w:val="000000"/>
                <w:sz w:val="20"/>
                <w:szCs w:val="20"/>
              </w:rPr>
              <w:t>0.04</w:t>
            </w:r>
          </w:p>
        </w:tc>
        <w:tc>
          <w:tcPr>
            <w:tcW w:w="222" w:type="dxa"/>
            <w:tcBorders>
              <w:top w:val="single" w:sz="6" w:space="0" w:color="auto"/>
              <w:left w:val="single" w:sz="6" w:space="0" w:color="auto"/>
              <w:bottom w:val="single" w:sz="6" w:space="0" w:color="auto"/>
              <w:right w:val="single" w:sz="6" w:space="0" w:color="auto"/>
            </w:tcBorders>
          </w:tcPr>
          <w:p w:rsidR="006F7B30" w:rsidRPr="005051AC" w:rsidRDefault="006F7B30" w:rsidP="005051AC">
            <w:pPr>
              <w:spacing w:before="60" w:after="60" w:line="240" w:lineRule="auto"/>
              <w:jc w:val="center"/>
              <w:rPr>
                <w:rFonts w:asciiTheme="minorHAnsi" w:hAnsiTheme="minorHAnsi" w:cstheme="minorHAnsi"/>
                <w:color w:val="000000"/>
                <w:sz w:val="20"/>
                <w:szCs w:val="20"/>
              </w:rPr>
            </w:pPr>
          </w:p>
        </w:tc>
        <w:tc>
          <w:tcPr>
            <w:tcW w:w="630" w:type="dxa"/>
            <w:tcBorders>
              <w:top w:val="single" w:sz="6" w:space="0" w:color="auto"/>
              <w:left w:val="single" w:sz="6" w:space="0" w:color="auto"/>
              <w:bottom w:val="single" w:sz="6" w:space="0" w:color="auto"/>
              <w:right w:val="single" w:sz="6" w:space="0" w:color="auto"/>
            </w:tcBorders>
            <w:shd w:val="clear" w:color="auto" w:fill="auto"/>
            <w:noWrap/>
            <w:vAlign w:val="bottom"/>
            <w:hideMark/>
          </w:tcPr>
          <w:p w:rsidR="006F7B30" w:rsidRPr="005051AC" w:rsidRDefault="006F7B30" w:rsidP="005051AC">
            <w:pPr>
              <w:spacing w:before="60" w:after="60" w:line="240" w:lineRule="auto"/>
              <w:jc w:val="center"/>
              <w:rPr>
                <w:rFonts w:asciiTheme="minorHAnsi" w:hAnsiTheme="minorHAnsi" w:cstheme="minorHAnsi"/>
                <w:color w:val="000000"/>
                <w:sz w:val="20"/>
                <w:szCs w:val="20"/>
              </w:rPr>
            </w:pPr>
            <w:r w:rsidRPr="005051AC">
              <w:rPr>
                <w:rFonts w:asciiTheme="minorHAnsi" w:hAnsiTheme="minorHAnsi" w:cstheme="minorHAnsi"/>
                <w:color w:val="000000"/>
                <w:sz w:val="20"/>
                <w:szCs w:val="20"/>
              </w:rPr>
              <w:t>0.05</w:t>
            </w:r>
          </w:p>
        </w:tc>
        <w:tc>
          <w:tcPr>
            <w:tcW w:w="630" w:type="dxa"/>
            <w:tcBorders>
              <w:top w:val="single" w:sz="6" w:space="0" w:color="auto"/>
              <w:left w:val="single" w:sz="6" w:space="0" w:color="auto"/>
              <w:bottom w:val="single" w:sz="6" w:space="0" w:color="auto"/>
              <w:right w:val="single" w:sz="6" w:space="0" w:color="auto"/>
            </w:tcBorders>
            <w:shd w:val="clear" w:color="auto" w:fill="auto"/>
            <w:noWrap/>
            <w:vAlign w:val="bottom"/>
            <w:hideMark/>
          </w:tcPr>
          <w:p w:rsidR="006F7B30" w:rsidRPr="005051AC" w:rsidRDefault="006F7B30" w:rsidP="005051AC">
            <w:pPr>
              <w:spacing w:before="60" w:after="60" w:line="240" w:lineRule="auto"/>
              <w:jc w:val="center"/>
              <w:rPr>
                <w:rFonts w:asciiTheme="minorHAnsi" w:hAnsiTheme="minorHAnsi" w:cstheme="minorHAnsi"/>
                <w:color w:val="000000"/>
                <w:sz w:val="20"/>
                <w:szCs w:val="20"/>
              </w:rPr>
            </w:pPr>
            <w:r w:rsidRPr="005051AC">
              <w:rPr>
                <w:rFonts w:asciiTheme="minorHAnsi" w:hAnsiTheme="minorHAnsi" w:cstheme="minorHAnsi"/>
                <w:color w:val="000000"/>
                <w:sz w:val="20"/>
                <w:szCs w:val="20"/>
              </w:rPr>
              <w:t>1.80</w:t>
            </w:r>
          </w:p>
        </w:tc>
        <w:tc>
          <w:tcPr>
            <w:tcW w:w="571" w:type="dxa"/>
            <w:tcBorders>
              <w:top w:val="single" w:sz="6" w:space="0" w:color="auto"/>
              <w:left w:val="single" w:sz="6" w:space="0" w:color="auto"/>
              <w:bottom w:val="single" w:sz="6" w:space="0" w:color="auto"/>
              <w:right w:val="single" w:sz="6" w:space="0" w:color="auto"/>
            </w:tcBorders>
            <w:shd w:val="clear" w:color="auto" w:fill="auto"/>
            <w:noWrap/>
            <w:vAlign w:val="bottom"/>
            <w:hideMark/>
          </w:tcPr>
          <w:p w:rsidR="006F7B30" w:rsidRPr="005051AC" w:rsidRDefault="006F7B30" w:rsidP="005051AC">
            <w:pPr>
              <w:spacing w:before="60" w:after="60" w:line="240" w:lineRule="auto"/>
              <w:jc w:val="center"/>
              <w:rPr>
                <w:rFonts w:asciiTheme="minorHAnsi" w:hAnsiTheme="minorHAnsi" w:cstheme="minorHAnsi"/>
                <w:color w:val="000000"/>
                <w:sz w:val="20"/>
                <w:szCs w:val="20"/>
              </w:rPr>
            </w:pPr>
            <w:r w:rsidRPr="005051AC">
              <w:rPr>
                <w:rFonts w:asciiTheme="minorHAnsi" w:hAnsiTheme="minorHAnsi" w:cstheme="minorHAnsi"/>
                <w:color w:val="000000"/>
                <w:sz w:val="20"/>
                <w:szCs w:val="20"/>
              </w:rPr>
              <w:t>0.33</w:t>
            </w:r>
          </w:p>
        </w:tc>
        <w:tc>
          <w:tcPr>
            <w:tcW w:w="759" w:type="dxa"/>
            <w:tcBorders>
              <w:top w:val="single" w:sz="6" w:space="0" w:color="auto"/>
              <w:left w:val="single" w:sz="6" w:space="0" w:color="auto"/>
              <w:bottom w:val="single" w:sz="6" w:space="0" w:color="auto"/>
              <w:right w:val="single" w:sz="6" w:space="0" w:color="auto"/>
            </w:tcBorders>
            <w:shd w:val="clear" w:color="auto" w:fill="auto"/>
            <w:noWrap/>
            <w:vAlign w:val="bottom"/>
            <w:hideMark/>
          </w:tcPr>
          <w:p w:rsidR="006F7B30" w:rsidRPr="005051AC" w:rsidRDefault="006F7B30" w:rsidP="005051AC">
            <w:pPr>
              <w:spacing w:before="60" w:after="60" w:line="240" w:lineRule="auto"/>
              <w:jc w:val="center"/>
              <w:rPr>
                <w:rFonts w:asciiTheme="minorHAnsi" w:hAnsiTheme="minorHAnsi" w:cstheme="minorHAnsi"/>
                <w:color w:val="000000"/>
                <w:sz w:val="20"/>
                <w:szCs w:val="20"/>
              </w:rPr>
            </w:pPr>
            <w:r w:rsidRPr="005051AC">
              <w:rPr>
                <w:rFonts w:asciiTheme="minorHAnsi" w:hAnsiTheme="minorHAnsi" w:cstheme="minorHAnsi"/>
                <w:color w:val="000000"/>
                <w:sz w:val="20"/>
                <w:szCs w:val="20"/>
              </w:rPr>
              <w:t>1.35</w:t>
            </w:r>
          </w:p>
        </w:tc>
        <w:tc>
          <w:tcPr>
            <w:tcW w:w="744" w:type="dxa"/>
            <w:tcBorders>
              <w:top w:val="single" w:sz="6" w:space="0" w:color="auto"/>
              <w:left w:val="single" w:sz="6" w:space="0" w:color="auto"/>
              <w:bottom w:val="single" w:sz="6" w:space="0" w:color="auto"/>
              <w:right w:val="dotted" w:sz="4" w:space="0" w:color="auto"/>
            </w:tcBorders>
            <w:shd w:val="clear" w:color="auto" w:fill="auto"/>
            <w:noWrap/>
            <w:vAlign w:val="bottom"/>
            <w:hideMark/>
          </w:tcPr>
          <w:p w:rsidR="006F7B30" w:rsidRPr="005051AC" w:rsidRDefault="006F7B30" w:rsidP="005051AC">
            <w:pPr>
              <w:spacing w:before="60" w:after="60" w:line="240" w:lineRule="auto"/>
              <w:jc w:val="center"/>
              <w:rPr>
                <w:rFonts w:asciiTheme="minorHAnsi" w:hAnsiTheme="minorHAnsi" w:cstheme="minorHAnsi"/>
                <w:color w:val="000000"/>
                <w:sz w:val="20"/>
                <w:szCs w:val="20"/>
              </w:rPr>
            </w:pPr>
            <w:r w:rsidRPr="005051AC">
              <w:rPr>
                <w:rFonts w:asciiTheme="minorHAnsi" w:hAnsiTheme="minorHAnsi" w:cstheme="minorHAnsi"/>
                <w:color w:val="000000"/>
                <w:sz w:val="20"/>
                <w:szCs w:val="20"/>
              </w:rPr>
              <w:t>0.66</w:t>
            </w:r>
          </w:p>
        </w:tc>
      </w:tr>
      <w:tr w:rsidR="006F7B30" w:rsidRPr="005051AC" w:rsidTr="005051AC">
        <w:trPr>
          <w:trHeight w:val="300"/>
        </w:trPr>
        <w:tc>
          <w:tcPr>
            <w:tcW w:w="2212" w:type="dxa"/>
            <w:tcBorders>
              <w:top w:val="single" w:sz="6" w:space="0" w:color="auto"/>
              <w:left w:val="dotted" w:sz="4" w:space="0" w:color="auto"/>
              <w:bottom w:val="single" w:sz="6" w:space="0" w:color="auto"/>
              <w:right w:val="single" w:sz="6" w:space="0" w:color="auto"/>
            </w:tcBorders>
            <w:shd w:val="clear" w:color="auto" w:fill="auto"/>
            <w:noWrap/>
            <w:vAlign w:val="bottom"/>
            <w:hideMark/>
          </w:tcPr>
          <w:p w:rsidR="006F7B30" w:rsidRPr="005051AC" w:rsidRDefault="006F7B30" w:rsidP="005051AC">
            <w:pPr>
              <w:spacing w:before="60" w:after="60" w:line="240" w:lineRule="auto"/>
              <w:rPr>
                <w:rFonts w:asciiTheme="minorHAnsi" w:hAnsiTheme="minorHAnsi" w:cstheme="minorHAnsi"/>
                <w:color w:val="000000"/>
                <w:sz w:val="20"/>
                <w:szCs w:val="20"/>
              </w:rPr>
            </w:pPr>
            <w:r w:rsidRPr="005051AC">
              <w:rPr>
                <w:rFonts w:asciiTheme="minorHAnsi" w:hAnsiTheme="minorHAnsi" w:cstheme="minorHAnsi"/>
                <w:color w:val="000000"/>
                <w:sz w:val="20"/>
                <w:szCs w:val="20"/>
              </w:rPr>
              <w:t>EAST_SOUTH_CENTRAL</w:t>
            </w:r>
          </w:p>
        </w:tc>
        <w:tc>
          <w:tcPr>
            <w:tcW w:w="630" w:type="dxa"/>
            <w:tcBorders>
              <w:top w:val="single" w:sz="6" w:space="0" w:color="auto"/>
              <w:left w:val="single" w:sz="6" w:space="0" w:color="auto"/>
              <w:bottom w:val="single" w:sz="6" w:space="0" w:color="auto"/>
              <w:right w:val="single" w:sz="6" w:space="0" w:color="auto"/>
            </w:tcBorders>
            <w:shd w:val="clear" w:color="auto" w:fill="auto"/>
            <w:noWrap/>
            <w:vAlign w:val="bottom"/>
            <w:hideMark/>
          </w:tcPr>
          <w:p w:rsidR="006F7B30" w:rsidRPr="005051AC" w:rsidRDefault="006F7B30" w:rsidP="005051AC">
            <w:pPr>
              <w:spacing w:before="60" w:after="60" w:line="240" w:lineRule="auto"/>
              <w:jc w:val="center"/>
              <w:rPr>
                <w:rFonts w:asciiTheme="minorHAnsi" w:hAnsiTheme="minorHAnsi" w:cstheme="minorHAnsi"/>
                <w:color w:val="000000"/>
                <w:sz w:val="20"/>
                <w:szCs w:val="20"/>
              </w:rPr>
            </w:pPr>
            <w:r w:rsidRPr="005051AC">
              <w:rPr>
                <w:rFonts w:asciiTheme="minorHAnsi" w:hAnsiTheme="minorHAnsi" w:cstheme="minorHAnsi"/>
                <w:color w:val="000000"/>
                <w:sz w:val="20"/>
                <w:szCs w:val="20"/>
              </w:rPr>
              <w:t>0.04</w:t>
            </w:r>
          </w:p>
        </w:tc>
        <w:tc>
          <w:tcPr>
            <w:tcW w:w="627" w:type="dxa"/>
            <w:tcBorders>
              <w:top w:val="single" w:sz="6" w:space="0" w:color="auto"/>
              <w:left w:val="single" w:sz="6" w:space="0" w:color="auto"/>
              <w:bottom w:val="single" w:sz="6" w:space="0" w:color="auto"/>
              <w:right w:val="single" w:sz="6" w:space="0" w:color="auto"/>
            </w:tcBorders>
            <w:shd w:val="clear" w:color="auto" w:fill="auto"/>
            <w:noWrap/>
            <w:vAlign w:val="bottom"/>
            <w:hideMark/>
          </w:tcPr>
          <w:p w:rsidR="006F7B30" w:rsidRPr="005051AC" w:rsidRDefault="006F7B30" w:rsidP="005051AC">
            <w:pPr>
              <w:spacing w:before="60" w:after="60" w:line="240" w:lineRule="auto"/>
              <w:jc w:val="center"/>
              <w:rPr>
                <w:rFonts w:asciiTheme="minorHAnsi" w:hAnsiTheme="minorHAnsi" w:cstheme="minorHAnsi"/>
                <w:color w:val="000000"/>
                <w:sz w:val="20"/>
                <w:szCs w:val="20"/>
              </w:rPr>
            </w:pPr>
            <w:r w:rsidRPr="005051AC">
              <w:rPr>
                <w:rFonts w:asciiTheme="minorHAnsi" w:hAnsiTheme="minorHAnsi" w:cstheme="minorHAnsi"/>
                <w:color w:val="000000"/>
                <w:sz w:val="20"/>
                <w:szCs w:val="20"/>
              </w:rPr>
              <w:t>0.05</w:t>
            </w:r>
          </w:p>
        </w:tc>
        <w:tc>
          <w:tcPr>
            <w:tcW w:w="630" w:type="dxa"/>
            <w:tcBorders>
              <w:top w:val="single" w:sz="6" w:space="0" w:color="auto"/>
              <w:left w:val="single" w:sz="6" w:space="0" w:color="auto"/>
              <w:bottom w:val="single" w:sz="6" w:space="0" w:color="auto"/>
              <w:right w:val="single" w:sz="6" w:space="0" w:color="auto"/>
            </w:tcBorders>
            <w:shd w:val="clear" w:color="auto" w:fill="auto"/>
            <w:noWrap/>
            <w:vAlign w:val="bottom"/>
            <w:hideMark/>
          </w:tcPr>
          <w:p w:rsidR="006F7B30" w:rsidRPr="005051AC" w:rsidRDefault="006F7B30" w:rsidP="005051AC">
            <w:pPr>
              <w:spacing w:before="60" w:after="60" w:line="240" w:lineRule="auto"/>
              <w:jc w:val="center"/>
              <w:rPr>
                <w:rFonts w:asciiTheme="minorHAnsi" w:hAnsiTheme="minorHAnsi" w:cstheme="minorHAnsi"/>
                <w:color w:val="000000"/>
                <w:sz w:val="20"/>
                <w:szCs w:val="20"/>
              </w:rPr>
            </w:pPr>
            <w:r w:rsidRPr="005051AC">
              <w:rPr>
                <w:rFonts w:asciiTheme="minorHAnsi" w:hAnsiTheme="minorHAnsi" w:cstheme="minorHAnsi"/>
                <w:color w:val="000000"/>
                <w:sz w:val="20"/>
                <w:szCs w:val="20"/>
              </w:rPr>
              <w:t>0.06</w:t>
            </w:r>
          </w:p>
        </w:tc>
        <w:tc>
          <w:tcPr>
            <w:tcW w:w="759" w:type="dxa"/>
            <w:tcBorders>
              <w:top w:val="single" w:sz="6" w:space="0" w:color="auto"/>
              <w:left w:val="single" w:sz="6" w:space="0" w:color="auto"/>
              <w:bottom w:val="single" w:sz="6" w:space="0" w:color="auto"/>
              <w:right w:val="single" w:sz="6" w:space="0" w:color="auto"/>
            </w:tcBorders>
            <w:shd w:val="clear" w:color="auto" w:fill="auto"/>
            <w:noWrap/>
            <w:vAlign w:val="bottom"/>
            <w:hideMark/>
          </w:tcPr>
          <w:p w:rsidR="006F7B30" w:rsidRPr="005051AC" w:rsidRDefault="006F7B30" w:rsidP="005051AC">
            <w:pPr>
              <w:spacing w:before="60" w:after="60" w:line="240" w:lineRule="auto"/>
              <w:jc w:val="center"/>
              <w:rPr>
                <w:rFonts w:asciiTheme="minorHAnsi" w:hAnsiTheme="minorHAnsi" w:cstheme="minorHAnsi"/>
                <w:color w:val="000000"/>
                <w:sz w:val="20"/>
                <w:szCs w:val="20"/>
              </w:rPr>
            </w:pPr>
            <w:r w:rsidRPr="005051AC">
              <w:rPr>
                <w:rFonts w:asciiTheme="minorHAnsi" w:hAnsiTheme="minorHAnsi" w:cstheme="minorHAnsi"/>
                <w:color w:val="000000"/>
                <w:sz w:val="20"/>
                <w:szCs w:val="20"/>
              </w:rPr>
              <w:t>0.00</w:t>
            </w:r>
          </w:p>
        </w:tc>
        <w:tc>
          <w:tcPr>
            <w:tcW w:w="744" w:type="dxa"/>
            <w:tcBorders>
              <w:top w:val="single" w:sz="6" w:space="0" w:color="auto"/>
              <w:left w:val="single" w:sz="6" w:space="0" w:color="auto"/>
              <w:bottom w:val="single" w:sz="6" w:space="0" w:color="auto"/>
              <w:right w:val="single" w:sz="6" w:space="0" w:color="auto"/>
            </w:tcBorders>
            <w:shd w:val="clear" w:color="auto" w:fill="auto"/>
            <w:noWrap/>
            <w:vAlign w:val="bottom"/>
            <w:hideMark/>
          </w:tcPr>
          <w:p w:rsidR="006F7B30" w:rsidRPr="005051AC" w:rsidRDefault="006F7B30" w:rsidP="005051AC">
            <w:pPr>
              <w:spacing w:before="60" w:after="60" w:line="240" w:lineRule="auto"/>
              <w:jc w:val="center"/>
              <w:rPr>
                <w:rFonts w:asciiTheme="minorHAnsi" w:hAnsiTheme="minorHAnsi" w:cstheme="minorHAnsi"/>
                <w:color w:val="000000"/>
                <w:sz w:val="20"/>
                <w:szCs w:val="20"/>
              </w:rPr>
            </w:pPr>
            <w:r w:rsidRPr="005051AC">
              <w:rPr>
                <w:rFonts w:asciiTheme="minorHAnsi" w:hAnsiTheme="minorHAnsi" w:cstheme="minorHAnsi"/>
                <w:color w:val="000000"/>
                <w:sz w:val="20"/>
                <w:szCs w:val="20"/>
              </w:rPr>
              <w:t>0.03</w:t>
            </w:r>
          </w:p>
        </w:tc>
        <w:tc>
          <w:tcPr>
            <w:tcW w:w="222" w:type="dxa"/>
            <w:tcBorders>
              <w:top w:val="single" w:sz="6" w:space="0" w:color="auto"/>
              <w:left w:val="single" w:sz="6" w:space="0" w:color="auto"/>
              <w:bottom w:val="single" w:sz="6" w:space="0" w:color="auto"/>
              <w:right w:val="single" w:sz="6" w:space="0" w:color="auto"/>
            </w:tcBorders>
          </w:tcPr>
          <w:p w:rsidR="006F7B30" w:rsidRPr="005051AC" w:rsidRDefault="006F7B30" w:rsidP="005051AC">
            <w:pPr>
              <w:spacing w:before="60" w:after="60" w:line="240" w:lineRule="auto"/>
              <w:jc w:val="center"/>
              <w:rPr>
                <w:rFonts w:asciiTheme="minorHAnsi" w:hAnsiTheme="minorHAnsi" w:cstheme="minorHAnsi"/>
                <w:color w:val="000000"/>
                <w:sz w:val="20"/>
                <w:szCs w:val="20"/>
              </w:rPr>
            </w:pPr>
          </w:p>
        </w:tc>
        <w:tc>
          <w:tcPr>
            <w:tcW w:w="630" w:type="dxa"/>
            <w:tcBorders>
              <w:top w:val="single" w:sz="6" w:space="0" w:color="auto"/>
              <w:left w:val="single" w:sz="6" w:space="0" w:color="auto"/>
              <w:bottom w:val="single" w:sz="6" w:space="0" w:color="auto"/>
              <w:right w:val="single" w:sz="6" w:space="0" w:color="auto"/>
            </w:tcBorders>
            <w:shd w:val="clear" w:color="auto" w:fill="auto"/>
            <w:noWrap/>
            <w:vAlign w:val="bottom"/>
            <w:hideMark/>
          </w:tcPr>
          <w:p w:rsidR="006F7B30" w:rsidRPr="005051AC" w:rsidRDefault="006F7B30" w:rsidP="005051AC">
            <w:pPr>
              <w:spacing w:before="60" w:after="60" w:line="240" w:lineRule="auto"/>
              <w:jc w:val="center"/>
              <w:rPr>
                <w:rFonts w:asciiTheme="minorHAnsi" w:hAnsiTheme="minorHAnsi" w:cstheme="minorHAnsi"/>
                <w:color w:val="000000"/>
                <w:sz w:val="20"/>
                <w:szCs w:val="20"/>
              </w:rPr>
            </w:pPr>
            <w:r w:rsidRPr="005051AC">
              <w:rPr>
                <w:rFonts w:asciiTheme="minorHAnsi" w:hAnsiTheme="minorHAnsi" w:cstheme="minorHAnsi"/>
                <w:color w:val="000000"/>
                <w:sz w:val="20"/>
                <w:szCs w:val="20"/>
              </w:rPr>
              <w:t>0.05</w:t>
            </w:r>
          </w:p>
        </w:tc>
        <w:tc>
          <w:tcPr>
            <w:tcW w:w="630" w:type="dxa"/>
            <w:tcBorders>
              <w:top w:val="single" w:sz="6" w:space="0" w:color="auto"/>
              <w:left w:val="single" w:sz="6" w:space="0" w:color="auto"/>
              <w:bottom w:val="single" w:sz="6" w:space="0" w:color="auto"/>
              <w:right w:val="single" w:sz="6" w:space="0" w:color="auto"/>
            </w:tcBorders>
            <w:shd w:val="clear" w:color="auto" w:fill="auto"/>
            <w:noWrap/>
            <w:vAlign w:val="bottom"/>
            <w:hideMark/>
          </w:tcPr>
          <w:p w:rsidR="006F7B30" w:rsidRPr="005051AC" w:rsidRDefault="006F7B30" w:rsidP="005051AC">
            <w:pPr>
              <w:spacing w:before="60" w:after="60" w:line="240" w:lineRule="auto"/>
              <w:jc w:val="center"/>
              <w:rPr>
                <w:rFonts w:asciiTheme="minorHAnsi" w:hAnsiTheme="minorHAnsi" w:cstheme="minorHAnsi"/>
                <w:color w:val="000000"/>
                <w:sz w:val="20"/>
                <w:szCs w:val="20"/>
              </w:rPr>
            </w:pPr>
            <w:r w:rsidRPr="005051AC">
              <w:rPr>
                <w:rFonts w:asciiTheme="minorHAnsi" w:hAnsiTheme="minorHAnsi" w:cstheme="minorHAnsi"/>
                <w:color w:val="000000"/>
                <w:sz w:val="20"/>
                <w:szCs w:val="20"/>
              </w:rPr>
              <w:t>0.06</w:t>
            </w:r>
          </w:p>
        </w:tc>
        <w:tc>
          <w:tcPr>
            <w:tcW w:w="571" w:type="dxa"/>
            <w:tcBorders>
              <w:top w:val="single" w:sz="6" w:space="0" w:color="auto"/>
              <w:left w:val="single" w:sz="6" w:space="0" w:color="auto"/>
              <w:bottom w:val="single" w:sz="6" w:space="0" w:color="auto"/>
              <w:right w:val="single" w:sz="6" w:space="0" w:color="auto"/>
            </w:tcBorders>
            <w:shd w:val="clear" w:color="auto" w:fill="auto"/>
            <w:noWrap/>
            <w:vAlign w:val="bottom"/>
            <w:hideMark/>
          </w:tcPr>
          <w:p w:rsidR="006F7B30" w:rsidRPr="005051AC" w:rsidRDefault="006F7B30" w:rsidP="005051AC">
            <w:pPr>
              <w:spacing w:before="60" w:after="60" w:line="240" w:lineRule="auto"/>
              <w:jc w:val="center"/>
              <w:rPr>
                <w:rFonts w:asciiTheme="minorHAnsi" w:hAnsiTheme="minorHAnsi" w:cstheme="minorHAnsi"/>
                <w:color w:val="000000"/>
                <w:sz w:val="20"/>
                <w:szCs w:val="20"/>
              </w:rPr>
            </w:pPr>
            <w:r w:rsidRPr="005051AC">
              <w:rPr>
                <w:rFonts w:asciiTheme="minorHAnsi" w:hAnsiTheme="minorHAnsi" w:cstheme="minorHAnsi"/>
                <w:color w:val="000000"/>
                <w:sz w:val="20"/>
                <w:szCs w:val="20"/>
              </w:rPr>
              <w:t>0.07</w:t>
            </w:r>
          </w:p>
        </w:tc>
        <w:tc>
          <w:tcPr>
            <w:tcW w:w="759" w:type="dxa"/>
            <w:tcBorders>
              <w:top w:val="single" w:sz="6" w:space="0" w:color="auto"/>
              <w:left w:val="single" w:sz="6" w:space="0" w:color="auto"/>
              <w:bottom w:val="single" w:sz="6" w:space="0" w:color="auto"/>
              <w:right w:val="single" w:sz="6" w:space="0" w:color="auto"/>
            </w:tcBorders>
            <w:shd w:val="clear" w:color="auto" w:fill="auto"/>
            <w:noWrap/>
            <w:vAlign w:val="bottom"/>
            <w:hideMark/>
          </w:tcPr>
          <w:p w:rsidR="006F7B30" w:rsidRPr="005051AC" w:rsidRDefault="006F7B30" w:rsidP="005051AC">
            <w:pPr>
              <w:spacing w:before="60" w:after="60" w:line="240" w:lineRule="auto"/>
              <w:jc w:val="center"/>
              <w:rPr>
                <w:rFonts w:asciiTheme="minorHAnsi" w:hAnsiTheme="minorHAnsi" w:cstheme="minorHAnsi"/>
                <w:color w:val="000000"/>
                <w:sz w:val="20"/>
                <w:szCs w:val="20"/>
              </w:rPr>
            </w:pPr>
            <w:r w:rsidRPr="005051AC">
              <w:rPr>
                <w:rFonts w:asciiTheme="minorHAnsi" w:hAnsiTheme="minorHAnsi" w:cstheme="minorHAnsi"/>
                <w:color w:val="000000"/>
                <w:sz w:val="20"/>
                <w:szCs w:val="20"/>
              </w:rPr>
              <w:t>0.00</w:t>
            </w:r>
          </w:p>
        </w:tc>
        <w:tc>
          <w:tcPr>
            <w:tcW w:w="744" w:type="dxa"/>
            <w:tcBorders>
              <w:top w:val="single" w:sz="6" w:space="0" w:color="auto"/>
              <w:left w:val="single" w:sz="6" w:space="0" w:color="auto"/>
              <w:bottom w:val="single" w:sz="6" w:space="0" w:color="auto"/>
              <w:right w:val="dotted" w:sz="4" w:space="0" w:color="auto"/>
            </w:tcBorders>
            <w:shd w:val="clear" w:color="auto" w:fill="auto"/>
            <w:noWrap/>
            <w:vAlign w:val="bottom"/>
            <w:hideMark/>
          </w:tcPr>
          <w:p w:rsidR="006F7B30" w:rsidRPr="005051AC" w:rsidRDefault="006F7B30" w:rsidP="005051AC">
            <w:pPr>
              <w:spacing w:before="60" w:after="60" w:line="240" w:lineRule="auto"/>
              <w:jc w:val="center"/>
              <w:rPr>
                <w:rFonts w:asciiTheme="minorHAnsi" w:hAnsiTheme="minorHAnsi" w:cstheme="minorHAnsi"/>
                <w:color w:val="000000"/>
                <w:sz w:val="20"/>
                <w:szCs w:val="20"/>
              </w:rPr>
            </w:pPr>
            <w:r w:rsidRPr="005051AC">
              <w:rPr>
                <w:rFonts w:asciiTheme="minorHAnsi" w:hAnsiTheme="minorHAnsi" w:cstheme="minorHAnsi"/>
                <w:color w:val="000000"/>
                <w:sz w:val="20"/>
                <w:szCs w:val="20"/>
              </w:rPr>
              <w:t>0.03</w:t>
            </w:r>
          </w:p>
        </w:tc>
      </w:tr>
      <w:tr w:rsidR="006F7B30" w:rsidRPr="005051AC" w:rsidTr="005051AC">
        <w:trPr>
          <w:trHeight w:val="300"/>
        </w:trPr>
        <w:tc>
          <w:tcPr>
            <w:tcW w:w="2212" w:type="dxa"/>
            <w:tcBorders>
              <w:top w:val="single" w:sz="6" w:space="0" w:color="auto"/>
              <w:left w:val="dotted" w:sz="4" w:space="0" w:color="auto"/>
              <w:bottom w:val="single" w:sz="6" w:space="0" w:color="auto"/>
              <w:right w:val="single" w:sz="6" w:space="0" w:color="auto"/>
            </w:tcBorders>
            <w:shd w:val="clear" w:color="auto" w:fill="auto"/>
            <w:noWrap/>
            <w:vAlign w:val="bottom"/>
            <w:hideMark/>
          </w:tcPr>
          <w:p w:rsidR="006F7B30" w:rsidRPr="005051AC" w:rsidRDefault="006F7B30" w:rsidP="005051AC">
            <w:pPr>
              <w:spacing w:before="60" w:after="60" w:line="240" w:lineRule="auto"/>
              <w:rPr>
                <w:rFonts w:asciiTheme="minorHAnsi" w:hAnsiTheme="minorHAnsi" w:cstheme="minorHAnsi"/>
                <w:color w:val="000000"/>
                <w:sz w:val="20"/>
                <w:szCs w:val="20"/>
              </w:rPr>
            </w:pPr>
            <w:r w:rsidRPr="005051AC">
              <w:rPr>
                <w:rFonts w:asciiTheme="minorHAnsi" w:hAnsiTheme="minorHAnsi" w:cstheme="minorHAnsi"/>
                <w:color w:val="000000"/>
                <w:sz w:val="20"/>
                <w:szCs w:val="20"/>
              </w:rPr>
              <w:t>MIDDLE_ATLANTIC</w:t>
            </w:r>
          </w:p>
        </w:tc>
        <w:tc>
          <w:tcPr>
            <w:tcW w:w="630" w:type="dxa"/>
            <w:tcBorders>
              <w:top w:val="single" w:sz="6" w:space="0" w:color="auto"/>
              <w:left w:val="single" w:sz="6" w:space="0" w:color="auto"/>
              <w:bottom w:val="single" w:sz="6" w:space="0" w:color="auto"/>
              <w:right w:val="single" w:sz="6" w:space="0" w:color="auto"/>
            </w:tcBorders>
            <w:shd w:val="clear" w:color="auto" w:fill="auto"/>
            <w:noWrap/>
            <w:vAlign w:val="bottom"/>
            <w:hideMark/>
          </w:tcPr>
          <w:p w:rsidR="006F7B30" w:rsidRPr="005051AC" w:rsidRDefault="006F7B30" w:rsidP="005051AC">
            <w:pPr>
              <w:spacing w:before="60" w:after="60" w:line="240" w:lineRule="auto"/>
              <w:jc w:val="center"/>
              <w:rPr>
                <w:rFonts w:asciiTheme="minorHAnsi" w:hAnsiTheme="minorHAnsi" w:cstheme="minorHAnsi"/>
                <w:color w:val="000000"/>
                <w:sz w:val="20"/>
                <w:szCs w:val="20"/>
              </w:rPr>
            </w:pPr>
            <w:r w:rsidRPr="005051AC">
              <w:rPr>
                <w:rFonts w:asciiTheme="minorHAnsi" w:hAnsiTheme="minorHAnsi" w:cstheme="minorHAnsi"/>
                <w:color w:val="000000"/>
                <w:sz w:val="20"/>
                <w:szCs w:val="20"/>
              </w:rPr>
              <w:t>0.19</w:t>
            </w:r>
          </w:p>
        </w:tc>
        <w:tc>
          <w:tcPr>
            <w:tcW w:w="627" w:type="dxa"/>
            <w:tcBorders>
              <w:top w:val="single" w:sz="6" w:space="0" w:color="auto"/>
              <w:left w:val="single" w:sz="6" w:space="0" w:color="auto"/>
              <w:bottom w:val="single" w:sz="6" w:space="0" w:color="auto"/>
              <w:right w:val="single" w:sz="6" w:space="0" w:color="auto"/>
            </w:tcBorders>
            <w:shd w:val="clear" w:color="auto" w:fill="auto"/>
            <w:noWrap/>
            <w:vAlign w:val="bottom"/>
            <w:hideMark/>
          </w:tcPr>
          <w:p w:rsidR="006F7B30" w:rsidRPr="005051AC" w:rsidRDefault="006F7B30" w:rsidP="005051AC">
            <w:pPr>
              <w:spacing w:before="60" w:after="60" w:line="240" w:lineRule="auto"/>
              <w:jc w:val="center"/>
              <w:rPr>
                <w:rFonts w:asciiTheme="minorHAnsi" w:hAnsiTheme="minorHAnsi" w:cstheme="minorHAnsi"/>
                <w:color w:val="000000"/>
                <w:sz w:val="20"/>
                <w:szCs w:val="20"/>
              </w:rPr>
            </w:pPr>
            <w:r w:rsidRPr="005051AC">
              <w:rPr>
                <w:rFonts w:asciiTheme="minorHAnsi" w:hAnsiTheme="minorHAnsi" w:cstheme="minorHAnsi"/>
                <w:color w:val="000000"/>
                <w:sz w:val="20"/>
                <w:szCs w:val="20"/>
              </w:rPr>
              <w:t>0.07</w:t>
            </w:r>
          </w:p>
        </w:tc>
        <w:tc>
          <w:tcPr>
            <w:tcW w:w="630" w:type="dxa"/>
            <w:tcBorders>
              <w:top w:val="single" w:sz="6" w:space="0" w:color="auto"/>
              <w:left w:val="single" w:sz="6" w:space="0" w:color="auto"/>
              <w:bottom w:val="single" w:sz="6" w:space="0" w:color="auto"/>
              <w:right w:val="single" w:sz="6" w:space="0" w:color="auto"/>
            </w:tcBorders>
            <w:shd w:val="clear" w:color="auto" w:fill="auto"/>
            <w:noWrap/>
            <w:vAlign w:val="bottom"/>
            <w:hideMark/>
          </w:tcPr>
          <w:p w:rsidR="006F7B30" w:rsidRPr="005051AC" w:rsidRDefault="006F7B30" w:rsidP="005051AC">
            <w:pPr>
              <w:spacing w:before="60" w:after="60" w:line="240" w:lineRule="auto"/>
              <w:jc w:val="center"/>
              <w:rPr>
                <w:rFonts w:asciiTheme="minorHAnsi" w:hAnsiTheme="minorHAnsi" w:cstheme="minorHAnsi"/>
                <w:color w:val="000000"/>
                <w:sz w:val="20"/>
                <w:szCs w:val="20"/>
              </w:rPr>
            </w:pPr>
            <w:r w:rsidRPr="005051AC">
              <w:rPr>
                <w:rFonts w:asciiTheme="minorHAnsi" w:hAnsiTheme="minorHAnsi" w:cstheme="minorHAnsi"/>
                <w:color w:val="000000"/>
                <w:sz w:val="20"/>
                <w:szCs w:val="20"/>
              </w:rPr>
              <w:t>0.39</w:t>
            </w:r>
          </w:p>
        </w:tc>
        <w:tc>
          <w:tcPr>
            <w:tcW w:w="759" w:type="dxa"/>
            <w:tcBorders>
              <w:top w:val="single" w:sz="6" w:space="0" w:color="auto"/>
              <w:left w:val="single" w:sz="6" w:space="0" w:color="auto"/>
              <w:bottom w:val="single" w:sz="6" w:space="0" w:color="auto"/>
              <w:right w:val="single" w:sz="6" w:space="0" w:color="auto"/>
            </w:tcBorders>
            <w:shd w:val="clear" w:color="auto" w:fill="auto"/>
            <w:noWrap/>
            <w:vAlign w:val="bottom"/>
            <w:hideMark/>
          </w:tcPr>
          <w:p w:rsidR="006F7B30" w:rsidRPr="005051AC" w:rsidRDefault="006F7B30" w:rsidP="005051AC">
            <w:pPr>
              <w:spacing w:before="60" w:after="60" w:line="240" w:lineRule="auto"/>
              <w:jc w:val="center"/>
              <w:rPr>
                <w:rFonts w:asciiTheme="minorHAnsi" w:hAnsiTheme="minorHAnsi" w:cstheme="minorHAnsi"/>
                <w:color w:val="000000"/>
                <w:sz w:val="20"/>
                <w:szCs w:val="20"/>
              </w:rPr>
            </w:pPr>
            <w:r w:rsidRPr="005051AC">
              <w:rPr>
                <w:rFonts w:asciiTheme="minorHAnsi" w:hAnsiTheme="minorHAnsi" w:cstheme="minorHAnsi"/>
                <w:color w:val="000000"/>
                <w:sz w:val="20"/>
                <w:szCs w:val="20"/>
              </w:rPr>
              <w:t>0.01</w:t>
            </w:r>
          </w:p>
        </w:tc>
        <w:tc>
          <w:tcPr>
            <w:tcW w:w="744" w:type="dxa"/>
            <w:tcBorders>
              <w:top w:val="single" w:sz="6" w:space="0" w:color="auto"/>
              <w:left w:val="single" w:sz="6" w:space="0" w:color="auto"/>
              <w:bottom w:val="single" w:sz="6" w:space="0" w:color="auto"/>
              <w:right w:val="single" w:sz="6" w:space="0" w:color="auto"/>
            </w:tcBorders>
            <w:shd w:val="clear" w:color="auto" w:fill="auto"/>
            <w:noWrap/>
            <w:vAlign w:val="bottom"/>
            <w:hideMark/>
          </w:tcPr>
          <w:p w:rsidR="006F7B30" w:rsidRPr="005051AC" w:rsidRDefault="006F7B30" w:rsidP="005051AC">
            <w:pPr>
              <w:spacing w:before="60" w:after="60" w:line="240" w:lineRule="auto"/>
              <w:jc w:val="center"/>
              <w:rPr>
                <w:rFonts w:asciiTheme="minorHAnsi" w:hAnsiTheme="minorHAnsi" w:cstheme="minorHAnsi"/>
                <w:color w:val="000000"/>
                <w:sz w:val="20"/>
                <w:szCs w:val="20"/>
              </w:rPr>
            </w:pPr>
            <w:r w:rsidRPr="005051AC">
              <w:rPr>
                <w:rFonts w:asciiTheme="minorHAnsi" w:hAnsiTheme="minorHAnsi" w:cstheme="minorHAnsi"/>
                <w:color w:val="000000"/>
                <w:sz w:val="20"/>
                <w:szCs w:val="20"/>
              </w:rPr>
              <w:t>0.10</w:t>
            </w:r>
          </w:p>
        </w:tc>
        <w:tc>
          <w:tcPr>
            <w:tcW w:w="222" w:type="dxa"/>
            <w:tcBorders>
              <w:top w:val="single" w:sz="6" w:space="0" w:color="auto"/>
              <w:left w:val="single" w:sz="6" w:space="0" w:color="auto"/>
              <w:bottom w:val="single" w:sz="6" w:space="0" w:color="auto"/>
              <w:right w:val="single" w:sz="6" w:space="0" w:color="auto"/>
            </w:tcBorders>
          </w:tcPr>
          <w:p w:rsidR="006F7B30" w:rsidRPr="005051AC" w:rsidRDefault="006F7B30" w:rsidP="005051AC">
            <w:pPr>
              <w:spacing w:before="60" w:after="60" w:line="240" w:lineRule="auto"/>
              <w:jc w:val="center"/>
              <w:rPr>
                <w:rFonts w:asciiTheme="minorHAnsi" w:hAnsiTheme="minorHAnsi" w:cstheme="minorHAnsi"/>
                <w:color w:val="000000"/>
                <w:sz w:val="20"/>
                <w:szCs w:val="20"/>
              </w:rPr>
            </w:pPr>
          </w:p>
        </w:tc>
        <w:tc>
          <w:tcPr>
            <w:tcW w:w="630" w:type="dxa"/>
            <w:tcBorders>
              <w:top w:val="single" w:sz="6" w:space="0" w:color="auto"/>
              <w:left w:val="single" w:sz="6" w:space="0" w:color="auto"/>
              <w:bottom w:val="single" w:sz="6" w:space="0" w:color="auto"/>
              <w:right w:val="single" w:sz="6" w:space="0" w:color="auto"/>
            </w:tcBorders>
            <w:shd w:val="clear" w:color="auto" w:fill="auto"/>
            <w:noWrap/>
            <w:vAlign w:val="bottom"/>
            <w:hideMark/>
          </w:tcPr>
          <w:p w:rsidR="006F7B30" w:rsidRPr="005051AC" w:rsidRDefault="006F7B30" w:rsidP="005051AC">
            <w:pPr>
              <w:spacing w:before="60" w:after="60" w:line="240" w:lineRule="auto"/>
              <w:jc w:val="center"/>
              <w:rPr>
                <w:rFonts w:asciiTheme="minorHAnsi" w:hAnsiTheme="minorHAnsi" w:cstheme="minorHAnsi"/>
                <w:color w:val="000000"/>
                <w:sz w:val="20"/>
                <w:szCs w:val="20"/>
              </w:rPr>
            </w:pPr>
            <w:r w:rsidRPr="005051AC">
              <w:rPr>
                <w:rFonts w:asciiTheme="minorHAnsi" w:hAnsiTheme="minorHAnsi" w:cstheme="minorHAnsi"/>
                <w:color w:val="000000"/>
                <w:sz w:val="20"/>
                <w:szCs w:val="20"/>
              </w:rPr>
              <w:t>0.17</w:t>
            </w:r>
          </w:p>
        </w:tc>
        <w:tc>
          <w:tcPr>
            <w:tcW w:w="630" w:type="dxa"/>
            <w:tcBorders>
              <w:top w:val="single" w:sz="6" w:space="0" w:color="auto"/>
              <w:left w:val="single" w:sz="6" w:space="0" w:color="auto"/>
              <w:bottom w:val="single" w:sz="6" w:space="0" w:color="auto"/>
              <w:right w:val="single" w:sz="6" w:space="0" w:color="auto"/>
            </w:tcBorders>
            <w:shd w:val="clear" w:color="auto" w:fill="auto"/>
            <w:noWrap/>
            <w:vAlign w:val="bottom"/>
            <w:hideMark/>
          </w:tcPr>
          <w:p w:rsidR="006F7B30" w:rsidRPr="005051AC" w:rsidRDefault="006F7B30" w:rsidP="005051AC">
            <w:pPr>
              <w:spacing w:before="60" w:after="60" w:line="240" w:lineRule="auto"/>
              <w:jc w:val="center"/>
              <w:rPr>
                <w:rFonts w:asciiTheme="minorHAnsi" w:hAnsiTheme="minorHAnsi" w:cstheme="minorHAnsi"/>
                <w:color w:val="000000"/>
                <w:sz w:val="20"/>
                <w:szCs w:val="20"/>
              </w:rPr>
            </w:pPr>
            <w:r w:rsidRPr="005051AC">
              <w:rPr>
                <w:rFonts w:asciiTheme="minorHAnsi" w:hAnsiTheme="minorHAnsi" w:cstheme="minorHAnsi"/>
                <w:color w:val="000000"/>
                <w:sz w:val="20"/>
                <w:szCs w:val="20"/>
              </w:rPr>
              <w:t>0.91</w:t>
            </w:r>
          </w:p>
        </w:tc>
        <w:tc>
          <w:tcPr>
            <w:tcW w:w="571" w:type="dxa"/>
            <w:tcBorders>
              <w:top w:val="single" w:sz="6" w:space="0" w:color="auto"/>
              <w:left w:val="single" w:sz="6" w:space="0" w:color="auto"/>
              <w:bottom w:val="single" w:sz="6" w:space="0" w:color="auto"/>
              <w:right w:val="single" w:sz="6" w:space="0" w:color="auto"/>
            </w:tcBorders>
            <w:shd w:val="clear" w:color="auto" w:fill="auto"/>
            <w:noWrap/>
            <w:vAlign w:val="bottom"/>
            <w:hideMark/>
          </w:tcPr>
          <w:p w:rsidR="006F7B30" w:rsidRPr="005051AC" w:rsidRDefault="006F7B30" w:rsidP="005051AC">
            <w:pPr>
              <w:spacing w:before="60" w:after="60" w:line="240" w:lineRule="auto"/>
              <w:jc w:val="center"/>
              <w:rPr>
                <w:rFonts w:asciiTheme="minorHAnsi" w:hAnsiTheme="minorHAnsi" w:cstheme="minorHAnsi"/>
                <w:color w:val="000000"/>
                <w:sz w:val="20"/>
                <w:szCs w:val="20"/>
              </w:rPr>
            </w:pPr>
            <w:r w:rsidRPr="005051AC">
              <w:rPr>
                <w:rFonts w:asciiTheme="minorHAnsi" w:hAnsiTheme="minorHAnsi" w:cstheme="minorHAnsi"/>
                <w:color w:val="000000"/>
                <w:sz w:val="20"/>
                <w:szCs w:val="20"/>
              </w:rPr>
              <w:t>0.34</w:t>
            </w:r>
          </w:p>
        </w:tc>
        <w:tc>
          <w:tcPr>
            <w:tcW w:w="759" w:type="dxa"/>
            <w:tcBorders>
              <w:top w:val="single" w:sz="6" w:space="0" w:color="auto"/>
              <w:left w:val="single" w:sz="6" w:space="0" w:color="auto"/>
              <w:bottom w:val="single" w:sz="6" w:space="0" w:color="auto"/>
              <w:right w:val="single" w:sz="6" w:space="0" w:color="auto"/>
            </w:tcBorders>
            <w:shd w:val="clear" w:color="auto" w:fill="auto"/>
            <w:noWrap/>
            <w:vAlign w:val="bottom"/>
            <w:hideMark/>
          </w:tcPr>
          <w:p w:rsidR="006F7B30" w:rsidRPr="005051AC" w:rsidRDefault="006F7B30" w:rsidP="005051AC">
            <w:pPr>
              <w:spacing w:before="60" w:after="60" w:line="240" w:lineRule="auto"/>
              <w:jc w:val="center"/>
              <w:rPr>
                <w:rFonts w:asciiTheme="minorHAnsi" w:hAnsiTheme="minorHAnsi" w:cstheme="minorHAnsi"/>
                <w:color w:val="000000"/>
                <w:sz w:val="20"/>
                <w:szCs w:val="20"/>
              </w:rPr>
            </w:pPr>
            <w:r w:rsidRPr="005051AC">
              <w:rPr>
                <w:rFonts w:asciiTheme="minorHAnsi" w:hAnsiTheme="minorHAnsi" w:cstheme="minorHAnsi"/>
                <w:color w:val="000000"/>
                <w:sz w:val="20"/>
                <w:szCs w:val="20"/>
              </w:rPr>
              <w:t>0.01</w:t>
            </w:r>
          </w:p>
        </w:tc>
        <w:tc>
          <w:tcPr>
            <w:tcW w:w="744" w:type="dxa"/>
            <w:tcBorders>
              <w:top w:val="single" w:sz="6" w:space="0" w:color="auto"/>
              <w:left w:val="single" w:sz="6" w:space="0" w:color="auto"/>
              <w:bottom w:val="single" w:sz="6" w:space="0" w:color="auto"/>
              <w:right w:val="dotted" w:sz="4" w:space="0" w:color="auto"/>
            </w:tcBorders>
            <w:shd w:val="clear" w:color="auto" w:fill="auto"/>
            <w:noWrap/>
            <w:vAlign w:val="bottom"/>
            <w:hideMark/>
          </w:tcPr>
          <w:p w:rsidR="006F7B30" w:rsidRPr="005051AC" w:rsidRDefault="006F7B30" w:rsidP="005051AC">
            <w:pPr>
              <w:spacing w:before="60" w:after="60" w:line="240" w:lineRule="auto"/>
              <w:jc w:val="center"/>
              <w:rPr>
                <w:rFonts w:asciiTheme="minorHAnsi" w:hAnsiTheme="minorHAnsi" w:cstheme="minorHAnsi"/>
                <w:color w:val="000000"/>
                <w:sz w:val="20"/>
                <w:szCs w:val="20"/>
              </w:rPr>
            </w:pPr>
            <w:r w:rsidRPr="005051AC">
              <w:rPr>
                <w:rFonts w:asciiTheme="minorHAnsi" w:hAnsiTheme="minorHAnsi" w:cstheme="minorHAnsi"/>
                <w:color w:val="000000"/>
                <w:sz w:val="20"/>
                <w:szCs w:val="20"/>
              </w:rPr>
              <w:t>0.43</w:t>
            </w:r>
          </w:p>
        </w:tc>
      </w:tr>
      <w:tr w:rsidR="006F7B30" w:rsidRPr="005051AC" w:rsidTr="005051AC">
        <w:trPr>
          <w:trHeight w:val="300"/>
        </w:trPr>
        <w:tc>
          <w:tcPr>
            <w:tcW w:w="2212" w:type="dxa"/>
            <w:tcBorders>
              <w:top w:val="single" w:sz="6" w:space="0" w:color="auto"/>
              <w:left w:val="dotted" w:sz="4" w:space="0" w:color="auto"/>
              <w:bottom w:val="single" w:sz="6" w:space="0" w:color="auto"/>
              <w:right w:val="single" w:sz="6" w:space="0" w:color="auto"/>
            </w:tcBorders>
            <w:shd w:val="clear" w:color="auto" w:fill="auto"/>
            <w:noWrap/>
            <w:vAlign w:val="bottom"/>
            <w:hideMark/>
          </w:tcPr>
          <w:p w:rsidR="006F7B30" w:rsidRPr="005051AC" w:rsidRDefault="006F7B30" w:rsidP="005051AC">
            <w:pPr>
              <w:spacing w:before="60" w:after="60" w:line="240" w:lineRule="auto"/>
              <w:rPr>
                <w:rFonts w:asciiTheme="minorHAnsi" w:hAnsiTheme="minorHAnsi" w:cstheme="minorHAnsi"/>
                <w:color w:val="000000"/>
                <w:sz w:val="20"/>
                <w:szCs w:val="20"/>
              </w:rPr>
            </w:pPr>
            <w:r w:rsidRPr="005051AC">
              <w:rPr>
                <w:rFonts w:asciiTheme="minorHAnsi" w:hAnsiTheme="minorHAnsi" w:cstheme="minorHAnsi"/>
                <w:color w:val="000000"/>
                <w:sz w:val="20"/>
                <w:szCs w:val="20"/>
              </w:rPr>
              <w:t>MOUNTAIN_REGION</w:t>
            </w:r>
          </w:p>
        </w:tc>
        <w:tc>
          <w:tcPr>
            <w:tcW w:w="630" w:type="dxa"/>
            <w:tcBorders>
              <w:top w:val="single" w:sz="6" w:space="0" w:color="auto"/>
              <w:left w:val="single" w:sz="6" w:space="0" w:color="auto"/>
              <w:bottom w:val="single" w:sz="6" w:space="0" w:color="auto"/>
              <w:right w:val="single" w:sz="6" w:space="0" w:color="auto"/>
            </w:tcBorders>
            <w:shd w:val="clear" w:color="auto" w:fill="auto"/>
            <w:noWrap/>
            <w:vAlign w:val="bottom"/>
            <w:hideMark/>
          </w:tcPr>
          <w:p w:rsidR="006F7B30" w:rsidRPr="005051AC" w:rsidRDefault="006F7B30" w:rsidP="005051AC">
            <w:pPr>
              <w:spacing w:before="60" w:after="60" w:line="240" w:lineRule="auto"/>
              <w:jc w:val="center"/>
              <w:rPr>
                <w:rFonts w:asciiTheme="minorHAnsi" w:hAnsiTheme="minorHAnsi" w:cstheme="minorHAnsi"/>
                <w:color w:val="000000"/>
                <w:sz w:val="20"/>
                <w:szCs w:val="20"/>
              </w:rPr>
            </w:pPr>
            <w:r w:rsidRPr="005051AC">
              <w:rPr>
                <w:rFonts w:asciiTheme="minorHAnsi" w:hAnsiTheme="minorHAnsi" w:cstheme="minorHAnsi"/>
                <w:color w:val="000000"/>
                <w:sz w:val="20"/>
                <w:szCs w:val="20"/>
              </w:rPr>
              <w:t>0.07</w:t>
            </w:r>
          </w:p>
        </w:tc>
        <w:tc>
          <w:tcPr>
            <w:tcW w:w="627" w:type="dxa"/>
            <w:tcBorders>
              <w:top w:val="single" w:sz="6" w:space="0" w:color="auto"/>
              <w:left w:val="single" w:sz="6" w:space="0" w:color="auto"/>
              <w:bottom w:val="single" w:sz="6" w:space="0" w:color="auto"/>
              <w:right w:val="single" w:sz="6" w:space="0" w:color="auto"/>
            </w:tcBorders>
            <w:shd w:val="clear" w:color="auto" w:fill="auto"/>
            <w:noWrap/>
            <w:vAlign w:val="bottom"/>
            <w:hideMark/>
          </w:tcPr>
          <w:p w:rsidR="006F7B30" w:rsidRPr="005051AC" w:rsidRDefault="006F7B30" w:rsidP="005051AC">
            <w:pPr>
              <w:spacing w:before="60" w:after="60" w:line="240" w:lineRule="auto"/>
              <w:jc w:val="center"/>
              <w:rPr>
                <w:rFonts w:asciiTheme="minorHAnsi" w:hAnsiTheme="minorHAnsi" w:cstheme="minorHAnsi"/>
                <w:color w:val="000000"/>
                <w:sz w:val="20"/>
                <w:szCs w:val="20"/>
              </w:rPr>
            </w:pPr>
            <w:r w:rsidRPr="005051AC">
              <w:rPr>
                <w:rFonts w:asciiTheme="minorHAnsi" w:hAnsiTheme="minorHAnsi" w:cstheme="minorHAnsi"/>
                <w:color w:val="000000"/>
                <w:sz w:val="20"/>
                <w:szCs w:val="20"/>
              </w:rPr>
              <w:t>0.04</w:t>
            </w:r>
          </w:p>
        </w:tc>
        <w:tc>
          <w:tcPr>
            <w:tcW w:w="630" w:type="dxa"/>
            <w:tcBorders>
              <w:top w:val="single" w:sz="6" w:space="0" w:color="auto"/>
              <w:left w:val="single" w:sz="6" w:space="0" w:color="auto"/>
              <w:bottom w:val="single" w:sz="6" w:space="0" w:color="auto"/>
              <w:right w:val="single" w:sz="6" w:space="0" w:color="auto"/>
            </w:tcBorders>
            <w:shd w:val="clear" w:color="auto" w:fill="auto"/>
            <w:noWrap/>
            <w:vAlign w:val="bottom"/>
            <w:hideMark/>
          </w:tcPr>
          <w:p w:rsidR="006F7B30" w:rsidRPr="005051AC" w:rsidRDefault="006F7B30" w:rsidP="005051AC">
            <w:pPr>
              <w:spacing w:before="60" w:after="60" w:line="240" w:lineRule="auto"/>
              <w:jc w:val="center"/>
              <w:rPr>
                <w:rFonts w:asciiTheme="minorHAnsi" w:hAnsiTheme="minorHAnsi" w:cstheme="minorHAnsi"/>
                <w:color w:val="000000"/>
                <w:sz w:val="20"/>
                <w:szCs w:val="20"/>
              </w:rPr>
            </w:pPr>
            <w:r w:rsidRPr="005051AC">
              <w:rPr>
                <w:rFonts w:asciiTheme="minorHAnsi" w:hAnsiTheme="minorHAnsi" w:cstheme="minorHAnsi"/>
                <w:color w:val="000000"/>
                <w:sz w:val="20"/>
                <w:szCs w:val="20"/>
              </w:rPr>
              <w:t>0.14</w:t>
            </w:r>
          </w:p>
        </w:tc>
        <w:tc>
          <w:tcPr>
            <w:tcW w:w="759" w:type="dxa"/>
            <w:tcBorders>
              <w:top w:val="single" w:sz="6" w:space="0" w:color="auto"/>
              <w:left w:val="single" w:sz="6" w:space="0" w:color="auto"/>
              <w:bottom w:val="single" w:sz="6" w:space="0" w:color="auto"/>
              <w:right w:val="single" w:sz="6" w:space="0" w:color="auto"/>
            </w:tcBorders>
            <w:shd w:val="clear" w:color="auto" w:fill="auto"/>
            <w:noWrap/>
            <w:vAlign w:val="bottom"/>
            <w:hideMark/>
          </w:tcPr>
          <w:p w:rsidR="006F7B30" w:rsidRPr="005051AC" w:rsidRDefault="006F7B30" w:rsidP="005051AC">
            <w:pPr>
              <w:spacing w:before="60" w:after="60" w:line="240" w:lineRule="auto"/>
              <w:jc w:val="center"/>
              <w:rPr>
                <w:rFonts w:asciiTheme="minorHAnsi" w:hAnsiTheme="minorHAnsi" w:cstheme="minorHAnsi"/>
                <w:color w:val="000000"/>
                <w:sz w:val="20"/>
                <w:szCs w:val="20"/>
              </w:rPr>
            </w:pPr>
            <w:r w:rsidRPr="005051AC">
              <w:rPr>
                <w:rFonts w:asciiTheme="minorHAnsi" w:hAnsiTheme="minorHAnsi" w:cstheme="minorHAnsi"/>
                <w:color w:val="000000"/>
                <w:sz w:val="20"/>
                <w:szCs w:val="20"/>
              </w:rPr>
              <w:t>0.00</w:t>
            </w:r>
          </w:p>
        </w:tc>
        <w:tc>
          <w:tcPr>
            <w:tcW w:w="744" w:type="dxa"/>
            <w:tcBorders>
              <w:top w:val="single" w:sz="6" w:space="0" w:color="auto"/>
              <w:left w:val="single" w:sz="6" w:space="0" w:color="auto"/>
              <w:bottom w:val="single" w:sz="6" w:space="0" w:color="auto"/>
              <w:right w:val="single" w:sz="6" w:space="0" w:color="auto"/>
            </w:tcBorders>
            <w:shd w:val="clear" w:color="auto" w:fill="auto"/>
            <w:noWrap/>
            <w:vAlign w:val="bottom"/>
            <w:hideMark/>
          </w:tcPr>
          <w:p w:rsidR="006F7B30" w:rsidRPr="005051AC" w:rsidRDefault="006F7B30" w:rsidP="005051AC">
            <w:pPr>
              <w:spacing w:before="60" w:after="60" w:line="240" w:lineRule="auto"/>
              <w:jc w:val="center"/>
              <w:rPr>
                <w:rFonts w:asciiTheme="minorHAnsi" w:hAnsiTheme="minorHAnsi" w:cstheme="minorHAnsi"/>
                <w:color w:val="000000"/>
                <w:sz w:val="20"/>
                <w:szCs w:val="20"/>
              </w:rPr>
            </w:pPr>
            <w:r w:rsidRPr="005051AC">
              <w:rPr>
                <w:rFonts w:asciiTheme="minorHAnsi" w:hAnsiTheme="minorHAnsi" w:cstheme="minorHAnsi"/>
                <w:color w:val="000000"/>
                <w:sz w:val="20"/>
                <w:szCs w:val="20"/>
              </w:rPr>
              <w:t>0.05</w:t>
            </w:r>
          </w:p>
        </w:tc>
        <w:tc>
          <w:tcPr>
            <w:tcW w:w="222" w:type="dxa"/>
            <w:tcBorders>
              <w:top w:val="single" w:sz="6" w:space="0" w:color="auto"/>
              <w:left w:val="single" w:sz="6" w:space="0" w:color="auto"/>
              <w:bottom w:val="single" w:sz="6" w:space="0" w:color="auto"/>
              <w:right w:val="single" w:sz="6" w:space="0" w:color="auto"/>
            </w:tcBorders>
          </w:tcPr>
          <w:p w:rsidR="006F7B30" w:rsidRPr="005051AC" w:rsidRDefault="006F7B30" w:rsidP="005051AC">
            <w:pPr>
              <w:spacing w:before="60" w:after="60" w:line="240" w:lineRule="auto"/>
              <w:jc w:val="center"/>
              <w:rPr>
                <w:rFonts w:asciiTheme="minorHAnsi" w:hAnsiTheme="minorHAnsi" w:cstheme="minorHAnsi"/>
                <w:color w:val="000000"/>
                <w:sz w:val="20"/>
                <w:szCs w:val="20"/>
              </w:rPr>
            </w:pPr>
          </w:p>
        </w:tc>
        <w:tc>
          <w:tcPr>
            <w:tcW w:w="630" w:type="dxa"/>
            <w:tcBorders>
              <w:top w:val="single" w:sz="6" w:space="0" w:color="auto"/>
              <w:left w:val="single" w:sz="6" w:space="0" w:color="auto"/>
              <w:bottom w:val="single" w:sz="6" w:space="0" w:color="auto"/>
              <w:right w:val="single" w:sz="6" w:space="0" w:color="auto"/>
            </w:tcBorders>
            <w:shd w:val="clear" w:color="auto" w:fill="auto"/>
            <w:noWrap/>
            <w:vAlign w:val="bottom"/>
            <w:hideMark/>
          </w:tcPr>
          <w:p w:rsidR="006F7B30" w:rsidRPr="005051AC" w:rsidRDefault="006F7B30" w:rsidP="005051AC">
            <w:pPr>
              <w:spacing w:before="60" w:after="60" w:line="240" w:lineRule="auto"/>
              <w:jc w:val="center"/>
              <w:rPr>
                <w:rFonts w:asciiTheme="minorHAnsi" w:hAnsiTheme="minorHAnsi" w:cstheme="minorHAnsi"/>
                <w:color w:val="000000"/>
                <w:sz w:val="20"/>
                <w:szCs w:val="20"/>
              </w:rPr>
            </w:pPr>
            <w:r w:rsidRPr="005051AC">
              <w:rPr>
                <w:rFonts w:asciiTheme="minorHAnsi" w:hAnsiTheme="minorHAnsi" w:cstheme="minorHAnsi"/>
                <w:color w:val="000000"/>
                <w:sz w:val="20"/>
                <w:szCs w:val="20"/>
              </w:rPr>
              <w:t>0.09</w:t>
            </w:r>
          </w:p>
        </w:tc>
        <w:tc>
          <w:tcPr>
            <w:tcW w:w="630" w:type="dxa"/>
            <w:tcBorders>
              <w:top w:val="single" w:sz="6" w:space="0" w:color="auto"/>
              <w:left w:val="single" w:sz="6" w:space="0" w:color="auto"/>
              <w:bottom w:val="single" w:sz="6" w:space="0" w:color="auto"/>
              <w:right w:val="single" w:sz="6" w:space="0" w:color="auto"/>
            </w:tcBorders>
            <w:shd w:val="clear" w:color="auto" w:fill="auto"/>
            <w:noWrap/>
            <w:vAlign w:val="bottom"/>
            <w:hideMark/>
          </w:tcPr>
          <w:p w:rsidR="006F7B30" w:rsidRPr="005051AC" w:rsidRDefault="006F7B30" w:rsidP="005051AC">
            <w:pPr>
              <w:spacing w:before="60" w:after="60" w:line="240" w:lineRule="auto"/>
              <w:jc w:val="center"/>
              <w:rPr>
                <w:rFonts w:asciiTheme="minorHAnsi" w:hAnsiTheme="minorHAnsi" w:cstheme="minorHAnsi"/>
                <w:color w:val="000000"/>
                <w:sz w:val="20"/>
                <w:szCs w:val="20"/>
              </w:rPr>
            </w:pPr>
            <w:r w:rsidRPr="005051AC">
              <w:rPr>
                <w:rFonts w:asciiTheme="minorHAnsi" w:hAnsiTheme="minorHAnsi" w:cstheme="minorHAnsi"/>
                <w:color w:val="000000"/>
                <w:sz w:val="20"/>
                <w:szCs w:val="20"/>
              </w:rPr>
              <w:t>0.06</w:t>
            </w:r>
          </w:p>
        </w:tc>
        <w:tc>
          <w:tcPr>
            <w:tcW w:w="571" w:type="dxa"/>
            <w:tcBorders>
              <w:top w:val="single" w:sz="6" w:space="0" w:color="auto"/>
              <w:left w:val="single" w:sz="6" w:space="0" w:color="auto"/>
              <w:bottom w:val="single" w:sz="6" w:space="0" w:color="auto"/>
              <w:right w:val="single" w:sz="6" w:space="0" w:color="auto"/>
            </w:tcBorders>
            <w:shd w:val="clear" w:color="auto" w:fill="auto"/>
            <w:noWrap/>
            <w:vAlign w:val="bottom"/>
            <w:hideMark/>
          </w:tcPr>
          <w:p w:rsidR="006F7B30" w:rsidRPr="005051AC" w:rsidRDefault="006F7B30" w:rsidP="005051AC">
            <w:pPr>
              <w:spacing w:before="60" w:after="60" w:line="240" w:lineRule="auto"/>
              <w:jc w:val="center"/>
              <w:rPr>
                <w:rFonts w:asciiTheme="minorHAnsi" w:hAnsiTheme="minorHAnsi" w:cstheme="minorHAnsi"/>
                <w:color w:val="000000"/>
                <w:sz w:val="20"/>
                <w:szCs w:val="20"/>
              </w:rPr>
            </w:pPr>
            <w:r w:rsidRPr="005051AC">
              <w:rPr>
                <w:rFonts w:asciiTheme="minorHAnsi" w:hAnsiTheme="minorHAnsi" w:cstheme="minorHAnsi"/>
                <w:color w:val="000000"/>
                <w:sz w:val="20"/>
                <w:szCs w:val="20"/>
              </w:rPr>
              <w:t>0.12</w:t>
            </w:r>
          </w:p>
        </w:tc>
        <w:tc>
          <w:tcPr>
            <w:tcW w:w="759" w:type="dxa"/>
            <w:tcBorders>
              <w:top w:val="single" w:sz="6" w:space="0" w:color="auto"/>
              <w:left w:val="single" w:sz="6" w:space="0" w:color="auto"/>
              <w:bottom w:val="single" w:sz="6" w:space="0" w:color="auto"/>
              <w:right w:val="single" w:sz="6" w:space="0" w:color="auto"/>
            </w:tcBorders>
            <w:shd w:val="clear" w:color="auto" w:fill="auto"/>
            <w:noWrap/>
            <w:vAlign w:val="bottom"/>
            <w:hideMark/>
          </w:tcPr>
          <w:p w:rsidR="006F7B30" w:rsidRPr="005051AC" w:rsidRDefault="006F7B30" w:rsidP="005051AC">
            <w:pPr>
              <w:spacing w:before="60" w:after="60" w:line="240" w:lineRule="auto"/>
              <w:jc w:val="center"/>
              <w:rPr>
                <w:rFonts w:asciiTheme="minorHAnsi" w:hAnsiTheme="minorHAnsi" w:cstheme="minorHAnsi"/>
                <w:color w:val="000000"/>
                <w:sz w:val="20"/>
                <w:szCs w:val="20"/>
              </w:rPr>
            </w:pPr>
            <w:r w:rsidRPr="005051AC">
              <w:rPr>
                <w:rFonts w:asciiTheme="minorHAnsi" w:hAnsiTheme="minorHAnsi" w:cstheme="minorHAnsi"/>
                <w:color w:val="000000"/>
                <w:sz w:val="20"/>
                <w:szCs w:val="20"/>
              </w:rPr>
              <w:t>0.00</w:t>
            </w:r>
          </w:p>
        </w:tc>
        <w:tc>
          <w:tcPr>
            <w:tcW w:w="744" w:type="dxa"/>
            <w:tcBorders>
              <w:top w:val="single" w:sz="6" w:space="0" w:color="auto"/>
              <w:left w:val="single" w:sz="6" w:space="0" w:color="auto"/>
              <w:bottom w:val="single" w:sz="6" w:space="0" w:color="auto"/>
              <w:right w:val="dotted" w:sz="4" w:space="0" w:color="auto"/>
            </w:tcBorders>
            <w:shd w:val="clear" w:color="auto" w:fill="auto"/>
            <w:noWrap/>
            <w:vAlign w:val="bottom"/>
            <w:hideMark/>
          </w:tcPr>
          <w:p w:rsidR="006F7B30" w:rsidRPr="005051AC" w:rsidRDefault="006F7B30" w:rsidP="005051AC">
            <w:pPr>
              <w:spacing w:before="60" w:after="60" w:line="240" w:lineRule="auto"/>
              <w:jc w:val="center"/>
              <w:rPr>
                <w:rFonts w:asciiTheme="minorHAnsi" w:hAnsiTheme="minorHAnsi" w:cstheme="minorHAnsi"/>
                <w:color w:val="000000"/>
                <w:sz w:val="20"/>
                <w:szCs w:val="20"/>
              </w:rPr>
            </w:pPr>
            <w:r w:rsidRPr="005051AC">
              <w:rPr>
                <w:rFonts w:asciiTheme="minorHAnsi" w:hAnsiTheme="minorHAnsi" w:cstheme="minorHAnsi"/>
                <w:color w:val="000000"/>
                <w:sz w:val="20"/>
                <w:szCs w:val="20"/>
              </w:rPr>
              <w:t>0.05</w:t>
            </w:r>
          </w:p>
        </w:tc>
      </w:tr>
      <w:tr w:rsidR="006F7B30" w:rsidRPr="005051AC" w:rsidTr="005051AC">
        <w:trPr>
          <w:trHeight w:val="300"/>
        </w:trPr>
        <w:tc>
          <w:tcPr>
            <w:tcW w:w="2212" w:type="dxa"/>
            <w:tcBorders>
              <w:top w:val="single" w:sz="6" w:space="0" w:color="auto"/>
              <w:left w:val="dotted" w:sz="4" w:space="0" w:color="auto"/>
              <w:bottom w:val="single" w:sz="6" w:space="0" w:color="auto"/>
              <w:right w:val="single" w:sz="6" w:space="0" w:color="auto"/>
            </w:tcBorders>
            <w:shd w:val="clear" w:color="auto" w:fill="auto"/>
            <w:noWrap/>
            <w:vAlign w:val="bottom"/>
            <w:hideMark/>
          </w:tcPr>
          <w:p w:rsidR="006F7B30" w:rsidRPr="005051AC" w:rsidRDefault="006F7B30" w:rsidP="005051AC">
            <w:pPr>
              <w:spacing w:before="60" w:after="60" w:line="240" w:lineRule="auto"/>
              <w:rPr>
                <w:rFonts w:asciiTheme="minorHAnsi" w:hAnsiTheme="minorHAnsi" w:cstheme="minorHAnsi"/>
                <w:color w:val="000000"/>
                <w:sz w:val="20"/>
                <w:szCs w:val="20"/>
              </w:rPr>
            </w:pPr>
            <w:r w:rsidRPr="005051AC">
              <w:rPr>
                <w:rFonts w:asciiTheme="minorHAnsi" w:hAnsiTheme="minorHAnsi" w:cstheme="minorHAnsi"/>
                <w:color w:val="000000"/>
                <w:sz w:val="20"/>
                <w:szCs w:val="20"/>
              </w:rPr>
              <w:t>NEW_ENGLAND</w:t>
            </w:r>
          </w:p>
        </w:tc>
        <w:tc>
          <w:tcPr>
            <w:tcW w:w="630" w:type="dxa"/>
            <w:tcBorders>
              <w:top w:val="single" w:sz="6" w:space="0" w:color="auto"/>
              <w:left w:val="single" w:sz="6" w:space="0" w:color="auto"/>
              <w:bottom w:val="single" w:sz="6" w:space="0" w:color="auto"/>
              <w:right w:val="single" w:sz="6" w:space="0" w:color="auto"/>
            </w:tcBorders>
            <w:shd w:val="clear" w:color="auto" w:fill="auto"/>
            <w:noWrap/>
            <w:vAlign w:val="bottom"/>
            <w:hideMark/>
          </w:tcPr>
          <w:p w:rsidR="006F7B30" w:rsidRPr="005051AC" w:rsidRDefault="006F7B30" w:rsidP="005051AC">
            <w:pPr>
              <w:spacing w:before="60" w:after="60" w:line="240" w:lineRule="auto"/>
              <w:jc w:val="center"/>
              <w:rPr>
                <w:rFonts w:asciiTheme="minorHAnsi" w:hAnsiTheme="minorHAnsi" w:cstheme="minorHAnsi"/>
                <w:color w:val="000000"/>
                <w:sz w:val="20"/>
                <w:szCs w:val="20"/>
              </w:rPr>
            </w:pPr>
            <w:r w:rsidRPr="005051AC">
              <w:rPr>
                <w:rFonts w:asciiTheme="minorHAnsi" w:hAnsiTheme="minorHAnsi" w:cstheme="minorHAnsi"/>
                <w:color w:val="000000"/>
                <w:sz w:val="20"/>
                <w:szCs w:val="20"/>
              </w:rPr>
              <w:t>0.08</w:t>
            </w:r>
          </w:p>
        </w:tc>
        <w:tc>
          <w:tcPr>
            <w:tcW w:w="627" w:type="dxa"/>
            <w:tcBorders>
              <w:top w:val="single" w:sz="6" w:space="0" w:color="auto"/>
              <w:left w:val="single" w:sz="6" w:space="0" w:color="auto"/>
              <w:bottom w:val="single" w:sz="6" w:space="0" w:color="auto"/>
              <w:right w:val="single" w:sz="6" w:space="0" w:color="auto"/>
            </w:tcBorders>
            <w:shd w:val="clear" w:color="auto" w:fill="auto"/>
            <w:noWrap/>
            <w:vAlign w:val="bottom"/>
            <w:hideMark/>
          </w:tcPr>
          <w:p w:rsidR="006F7B30" w:rsidRPr="005051AC" w:rsidRDefault="006F7B30" w:rsidP="005051AC">
            <w:pPr>
              <w:spacing w:before="60" w:after="60" w:line="240" w:lineRule="auto"/>
              <w:jc w:val="center"/>
              <w:rPr>
                <w:rFonts w:asciiTheme="minorHAnsi" w:hAnsiTheme="minorHAnsi" w:cstheme="minorHAnsi"/>
                <w:color w:val="000000"/>
                <w:sz w:val="20"/>
                <w:szCs w:val="20"/>
              </w:rPr>
            </w:pPr>
            <w:r w:rsidRPr="005051AC">
              <w:rPr>
                <w:rFonts w:asciiTheme="minorHAnsi" w:hAnsiTheme="minorHAnsi" w:cstheme="minorHAnsi"/>
                <w:color w:val="000000"/>
                <w:sz w:val="20"/>
                <w:szCs w:val="20"/>
              </w:rPr>
              <w:t>0.08</w:t>
            </w:r>
          </w:p>
        </w:tc>
        <w:tc>
          <w:tcPr>
            <w:tcW w:w="630" w:type="dxa"/>
            <w:tcBorders>
              <w:top w:val="single" w:sz="6" w:space="0" w:color="auto"/>
              <w:left w:val="single" w:sz="6" w:space="0" w:color="auto"/>
              <w:bottom w:val="single" w:sz="6" w:space="0" w:color="auto"/>
              <w:right w:val="single" w:sz="6" w:space="0" w:color="auto"/>
            </w:tcBorders>
            <w:shd w:val="clear" w:color="auto" w:fill="auto"/>
            <w:noWrap/>
            <w:vAlign w:val="bottom"/>
            <w:hideMark/>
          </w:tcPr>
          <w:p w:rsidR="006F7B30" w:rsidRPr="005051AC" w:rsidRDefault="006F7B30" w:rsidP="005051AC">
            <w:pPr>
              <w:spacing w:before="60" w:after="60" w:line="240" w:lineRule="auto"/>
              <w:jc w:val="center"/>
              <w:rPr>
                <w:rFonts w:asciiTheme="minorHAnsi" w:hAnsiTheme="minorHAnsi" w:cstheme="minorHAnsi"/>
                <w:color w:val="000000"/>
                <w:sz w:val="20"/>
                <w:szCs w:val="20"/>
              </w:rPr>
            </w:pPr>
            <w:r w:rsidRPr="005051AC">
              <w:rPr>
                <w:rFonts w:asciiTheme="minorHAnsi" w:hAnsiTheme="minorHAnsi" w:cstheme="minorHAnsi"/>
                <w:color w:val="000000"/>
                <w:sz w:val="20"/>
                <w:szCs w:val="20"/>
              </w:rPr>
              <w:t>0.20</w:t>
            </w:r>
          </w:p>
        </w:tc>
        <w:tc>
          <w:tcPr>
            <w:tcW w:w="759" w:type="dxa"/>
            <w:tcBorders>
              <w:top w:val="single" w:sz="6" w:space="0" w:color="auto"/>
              <w:left w:val="single" w:sz="6" w:space="0" w:color="auto"/>
              <w:bottom w:val="single" w:sz="6" w:space="0" w:color="auto"/>
              <w:right w:val="single" w:sz="6" w:space="0" w:color="auto"/>
            </w:tcBorders>
            <w:shd w:val="clear" w:color="auto" w:fill="auto"/>
            <w:noWrap/>
            <w:vAlign w:val="bottom"/>
            <w:hideMark/>
          </w:tcPr>
          <w:p w:rsidR="006F7B30" w:rsidRPr="005051AC" w:rsidRDefault="006F7B30" w:rsidP="005051AC">
            <w:pPr>
              <w:spacing w:before="60" w:after="60" w:line="240" w:lineRule="auto"/>
              <w:jc w:val="center"/>
              <w:rPr>
                <w:rFonts w:asciiTheme="minorHAnsi" w:hAnsiTheme="minorHAnsi" w:cstheme="minorHAnsi"/>
                <w:color w:val="000000"/>
                <w:sz w:val="20"/>
                <w:szCs w:val="20"/>
              </w:rPr>
            </w:pPr>
            <w:r w:rsidRPr="005051AC">
              <w:rPr>
                <w:rFonts w:asciiTheme="minorHAnsi" w:hAnsiTheme="minorHAnsi" w:cstheme="minorHAnsi"/>
                <w:color w:val="000000"/>
                <w:sz w:val="20"/>
                <w:szCs w:val="20"/>
              </w:rPr>
              <w:t>0.16</w:t>
            </w:r>
          </w:p>
        </w:tc>
        <w:tc>
          <w:tcPr>
            <w:tcW w:w="744" w:type="dxa"/>
            <w:tcBorders>
              <w:top w:val="single" w:sz="6" w:space="0" w:color="auto"/>
              <w:left w:val="single" w:sz="6" w:space="0" w:color="auto"/>
              <w:bottom w:val="single" w:sz="6" w:space="0" w:color="auto"/>
              <w:right w:val="single" w:sz="6" w:space="0" w:color="auto"/>
            </w:tcBorders>
            <w:shd w:val="clear" w:color="auto" w:fill="auto"/>
            <w:noWrap/>
            <w:vAlign w:val="bottom"/>
            <w:hideMark/>
          </w:tcPr>
          <w:p w:rsidR="006F7B30" w:rsidRPr="005051AC" w:rsidRDefault="006F7B30" w:rsidP="005051AC">
            <w:pPr>
              <w:spacing w:before="60" w:after="60" w:line="240" w:lineRule="auto"/>
              <w:jc w:val="center"/>
              <w:rPr>
                <w:rFonts w:asciiTheme="minorHAnsi" w:hAnsiTheme="minorHAnsi" w:cstheme="minorHAnsi"/>
                <w:color w:val="000000"/>
                <w:sz w:val="20"/>
                <w:szCs w:val="20"/>
              </w:rPr>
            </w:pPr>
            <w:r w:rsidRPr="005051AC">
              <w:rPr>
                <w:rFonts w:asciiTheme="minorHAnsi" w:hAnsiTheme="minorHAnsi" w:cstheme="minorHAnsi"/>
                <w:color w:val="000000"/>
                <w:sz w:val="20"/>
                <w:szCs w:val="20"/>
              </w:rPr>
              <w:t>0.06</w:t>
            </w:r>
          </w:p>
        </w:tc>
        <w:tc>
          <w:tcPr>
            <w:tcW w:w="222" w:type="dxa"/>
            <w:tcBorders>
              <w:top w:val="single" w:sz="6" w:space="0" w:color="auto"/>
              <w:left w:val="single" w:sz="6" w:space="0" w:color="auto"/>
              <w:bottom w:val="single" w:sz="6" w:space="0" w:color="auto"/>
              <w:right w:val="single" w:sz="6" w:space="0" w:color="auto"/>
            </w:tcBorders>
          </w:tcPr>
          <w:p w:rsidR="006F7B30" w:rsidRPr="005051AC" w:rsidRDefault="006F7B30" w:rsidP="005051AC">
            <w:pPr>
              <w:spacing w:before="60" w:after="60" w:line="240" w:lineRule="auto"/>
              <w:jc w:val="center"/>
              <w:rPr>
                <w:rFonts w:asciiTheme="minorHAnsi" w:hAnsiTheme="minorHAnsi" w:cstheme="minorHAnsi"/>
                <w:color w:val="000000"/>
                <w:sz w:val="20"/>
                <w:szCs w:val="20"/>
              </w:rPr>
            </w:pPr>
          </w:p>
        </w:tc>
        <w:tc>
          <w:tcPr>
            <w:tcW w:w="630" w:type="dxa"/>
            <w:tcBorders>
              <w:top w:val="single" w:sz="6" w:space="0" w:color="auto"/>
              <w:left w:val="single" w:sz="6" w:space="0" w:color="auto"/>
              <w:bottom w:val="single" w:sz="6" w:space="0" w:color="auto"/>
              <w:right w:val="single" w:sz="6" w:space="0" w:color="auto"/>
            </w:tcBorders>
            <w:shd w:val="clear" w:color="auto" w:fill="auto"/>
            <w:noWrap/>
            <w:vAlign w:val="bottom"/>
            <w:hideMark/>
          </w:tcPr>
          <w:p w:rsidR="006F7B30" w:rsidRPr="005051AC" w:rsidRDefault="006F7B30" w:rsidP="005051AC">
            <w:pPr>
              <w:spacing w:before="60" w:after="60" w:line="240" w:lineRule="auto"/>
              <w:jc w:val="center"/>
              <w:rPr>
                <w:rFonts w:asciiTheme="minorHAnsi" w:hAnsiTheme="minorHAnsi" w:cstheme="minorHAnsi"/>
                <w:color w:val="000000"/>
                <w:sz w:val="20"/>
                <w:szCs w:val="20"/>
              </w:rPr>
            </w:pPr>
            <w:r w:rsidRPr="005051AC">
              <w:rPr>
                <w:rFonts w:asciiTheme="minorHAnsi" w:hAnsiTheme="minorHAnsi" w:cstheme="minorHAnsi"/>
                <w:color w:val="000000"/>
                <w:sz w:val="20"/>
                <w:szCs w:val="20"/>
              </w:rPr>
              <w:t>0.08</w:t>
            </w:r>
          </w:p>
        </w:tc>
        <w:tc>
          <w:tcPr>
            <w:tcW w:w="630" w:type="dxa"/>
            <w:tcBorders>
              <w:top w:val="single" w:sz="6" w:space="0" w:color="auto"/>
              <w:left w:val="single" w:sz="6" w:space="0" w:color="auto"/>
              <w:bottom w:val="single" w:sz="6" w:space="0" w:color="auto"/>
              <w:right w:val="single" w:sz="6" w:space="0" w:color="auto"/>
            </w:tcBorders>
            <w:shd w:val="clear" w:color="auto" w:fill="auto"/>
            <w:noWrap/>
            <w:vAlign w:val="bottom"/>
            <w:hideMark/>
          </w:tcPr>
          <w:p w:rsidR="006F7B30" w:rsidRPr="005051AC" w:rsidRDefault="006F7B30" w:rsidP="005051AC">
            <w:pPr>
              <w:spacing w:before="60" w:after="60" w:line="240" w:lineRule="auto"/>
              <w:jc w:val="center"/>
              <w:rPr>
                <w:rFonts w:asciiTheme="minorHAnsi" w:hAnsiTheme="minorHAnsi" w:cstheme="minorHAnsi"/>
                <w:color w:val="000000"/>
                <w:sz w:val="20"/>
                <w:szCs w:val="20"/>
              </w:rPr>
            </w:pPr>
            <w:r w:rsidRPr="005051AC">
              <w:rPr>
                <w:rFonts w:asciiTheme="minorHAnsi" w:hAnsiTheme="minorHAnsi" w:cstheme="minorHAnsi"/>
                <w:color w:val="000000"/>
                <w:sz w:val="20"/>
                <w:szCs w:val="20"/>
              </w:rPr>
              <w:t>1.25</w:t>
            </w:r>
          </w:p>
        </w:tc>
        <w:tc>
          <w:tcPr>
            <w:tcW w:w="571" w:type="dxa"/>
            <w:tcBorders>
              <w:top w:val="single" w:sz="6" w:space="0" w:color="auto"/>
              <w:left w:val="single" w:sz="6" w:space="0" w:color="auto"/>
              <w:bottom w:val="single" w:sz="6" w:space="0" w:color="auto"/>
              <w:right w:val="single" w:sz="6" w:space="0" w:color="auto"/>
            </w:tcBorders>
            <w:shd w:val="clear" w:color="auto" w:fill="auto"/>
            <w:noWrap/>
            <w:vAlign w:val="bottom"/>
            <w:hideMark/>
          </w:tcPr>
          <w:p w:rsidR="006F7B30" w:rsidRPr="005051AC" w:rsidRDefault="006F7B30" w:rsidP="005051AC">
            <w:pPr>
              <w:spacing w:before="60" w:after="60" w:line="240" w:lineRule="auto"/>
              <w:jc w:val="center"/>
              <w:rPr>
                <w:rFonts w:asciiTheme="minorHAnsi" w:hAnsiTheme="minorHAnsi" w:cstheme="minorHAnsi"/>
                <w:color w:val="000000"/>
                <w:sz w:val="20"/>
                <w:szCs w:val="20"/>
              </w:rPr>
            </w:pPr>
            <w:r w:rsidRPr="005051AC">
              <w:rPr>
                <w:rFonts w:asciiTheme="minorHAnsi" w:hAnsiTheme="minorHAnsi" w:cstheme="minorHAnsi"/>
                <w:color w:val="000000"/>
                <w:sz w:val="20"/>
                <w:szCs w:val="20"/>
              </w:rPr>
              <w:t>0.16</w:t>
            </w:r>
          </w:p>
        </w:tc>
        <w:tc>
          <w:tcPr>
            <w:tcW w:w="759" w:type="dxa"/>
            <w:tcBorders>
              <w:top w:val="single" w:sz="6" w:space="0" w:color="auto"/>
              <w:left w:val="single" w:sz="6" w:space="0" w:color="auto"/>
              <w:bottom w:val="single" w:sz="6" w:space="0" w:color="auto"/>
              <w:right w:val="single" w:sz="6" w:space="0" w:color="auto"/>
            </w:tcBorders>
            <w:shd w:val="clear" w:color="auto" w:fill="auto"/>
            <w:noWrap/>
            <w:vAlign w:val="bottom"/>
            <w:hideMark/>
          </w:tcPr>
          <w:p w:rsidR="006F7B30" w:rsidRPr="005051AC" w:rsidRDefault="006F7B30" w:rsidP="005051AC">
            <w:pPr>
              <w:spacing w:before="60" w:after="60" w:line="240" w:lineRule="auto"/>
              <w:jc w:val="center"/>
              <w:rPr>
                <w:rFonts w:asciiTheme="minorHAnsi" w:hAnsiTheme="minorHAnsi" w:cstheme="minorHAnsi"/>
                <w:color w:val="000000"/>
                <w:sz w:val="20"/>
                <w:szCs w:val="20"/>
              </w:rPr>
            </w:pPr>
            <w:r w:rsidRPr="005051AC">
              <w:rPr>
                <w:rFonts w:asciiTheme="minorHAnsi" w:hAnsiTheme="minorHAnsi" w:cstheme="minorHAnsi"/>
                <w:color w:val="000000"/>
                <w:sz w:val="20"/>
                <w:szCs w:val="20"/>
              </w:rPr>
              <w:t>2.79</w:t>
            </w:r>
          </w:p>
        </w:tc>
        <w:tc>
          <w:tcPr>
            <w:tcW w:w="744" w:type="dxa"/>
            <w:tcBorders>
              <w:top w:val="single" w:sz="6" w:space="0" w:color="auto"/>
              <w:left w:val="single" w:sz="6" w:space="0" w:color="auto"/>
              <w:bottom w:val="single" w:sz="6" w:space="0" w:color="auto"/>
              <w:right w:val="dotted" w:sz="4" w:space="0" w:color="auto"/>
            </w:tcBorders>
            <w:shd w:val="clear" w:color="auto" w:fill="auto"/>
            <w:noWrap/>
            <w:vAlign w:val="bottom"/>
            <w:hideMark/>
          </w:tcPr>
          <w:p w:rsidR="006F7B30" w:rsidRPr="005051AC" w:rsidRDefault="006F7B30" w:rsidP="005051AC">
            <w:pPr>
              <w:spacing w:before="60" w:after="60" w:line="240" w:lineRule="auto"/>
              <w:jc w:val="center"/>
              <w:rPr>
                <w:rFonts w:asciiTheme="minorHAnsi" w:hAnsiTheme="minorHAnsi" w:cstheme="minorHAnsi"/>
                <w:color w:val="000000"/>
                <w:sz w:val="20"/>
                <w:szCs w:val="20"/>
              </w:rPr>
            </w:pPr>
            <w:r w:rsidRPr="005051AC">
              <w:rPr>
                <w:rFonts w:asciiTheme="minorHAnsi" w:hAnsiTheme="minorHAnsi" w:cstheme="minorHAnsi"/>
                <w:color w:val="000000"/>
                <w:sz w:val="20"/>
                <w:szCs w:val="20"/>
              </w:rPr>
              <w:t>0.50</w:t>
            </w:r>
          </w:p>
        </w:tc>
      </w:tr>
      <w:tr w:rsidR="006F7B30" w:rsidRPr="005051AC" w:rsidTr="005051AC">
        <w:trPr>
          <w:trHeight w:val="300"/>
        </w:trPr>
        <w:tc>
          <w:tcPr>
            <w:tcW w:w="2212" w:type="dxa"/>
            <w:tcBorders>
              <w:top w:val="single" w:sz="6" w:space="0" w:color="auto"/>
              <w:left w:val="dotted" w:sz="4" w:space="0" w:color="auto"/>
              <w:bottom w:val="single" w:sz="6" w:space="0" w:color="auto"/>
              <w:right w:val="single" w:sz="6" w:space="0" w:color="auto"/>
            </w:tcBorders>
            <w:shd w:val="clear" w:color="auto" w:fill="auto"/>
            <w:noWrap/>
            <w:vAlign w:val="bottom"/>
            <w:hideMark/>
          </w:tcPr>
          <w:p w:rsidR="006F7B30" w:rsidRPr="005051AC" w:rsidRDefault="006F7B30" w:rsidP="005051AC">
            <w:pPr>
              <w:spacing w:before="60" w:after="60" w:line="240" w:lineRule="auto"/>
              <w:rPr>
                <w:rFonts w:asciiTheme="minorHAnsi" w:hAnsiTheme="minorHAnsi" w:cstheme="minorHAnsi"/>
                <w:color w:val="000000"/>
                <w:sz w:val="20"/>
                <w:szCs w:val="20"/>
              </w:rPr>
            </w:pPr>
            <w:r w:rsidRPr="005051AC">
              <w:rPr>
                <w:rFonts w:asciiTheme="minorHAnsi" w:hAnsiTheme="minorHAnsi" w:cstheme="minorHAnsi"/>
                <w:color w:val="000000"/>
                <w:sz w:val="20"/>
                <w:szCs w:val="20"/>
              </w:rPr>
              <w:t>PACIFIC_CON</w:t>
            </w:r>
          </w:p>
        </w:tc>
        <w:tc>
          <w:tcPr>
            <w:tcW w:w="630" w:type="dxa"/>
            <w:tcBorders>
              <w:top w:val="single" w:sz="6" w:space="0" w:color="auto"/>
              <w:left w:val="single" w:sz="6" w:space="0" w:color="auto"/>
              <w:bottom w:val="single" w:sz="6" w:space="0" w:color="auto"/>
              <w:right w:val="single" w:sz="6" w:space="0" w:color="auto"/>
            </w:tcBorders>
            <w:shd w:val="clear" w:color="auto" w:fill="auto"/>
            <w:noWrap/>
            <w:vAlign w:val="bottom"/>
            <w:hideMark/>
          </w:tcPr>
          <w:p w:rsidR="006F7B30" w:rsidRPr="005051AC" w:rsidRDefault="006F7B30" w:rsidP="005051AC">
            <w:pPr>
              <w:spacing w:before="60" w:after="60" w:line="240" w:lineRule="auto"/>
              <w:jc w:val="center"/>
              <w:rPr>
                <w:rFonts w:asciiTheme="minorHAnsi" w:hAnsiTheme="minorHAnsi" w:cstheme="minorHAnsi"/>
                <w:color w:val="000000"/>
                <w:sz w:val="20"/>
                <w:szCs w:val="20"/>
              </w:rPr>
            </w:pPr>
            <w:r w:rsidRPr="005051AC">
              <w:rPr>
                <w:rFonts w:asciiTheme="minorHAnsi" w:hAnsiTheme="minorHAnsi" w:cstheme="minorHAnsi"/>
                <w:color w:val="000000"/>
                <w:sz w:val="20"/>
                <w:szCs w:val="20"/>
              </w:rPr>
              <w:t>0.03</w:t>
            </w:r>
          </w:p>
        </w:tc>
        <w:tc>
          <w:tcPr>
            <w:tcW w:w="627" w:type="dxa"/>
            <w:tcBorders>
              <w:top w:val="single" w:sz="6" w:space="0" w:color="auto"/>
              <w:left w:val="single" w:sz="6" w:space="0" w:color="auto"/>
              <w:bottom w:val="single" w:sz="6" w:space="0" w:color="auto"/>
              <w:right w:val="single" w:sz="6" w:space="0" w:color="auto"/>
            </w:tcBorders>
            <w:shd w:val="clear" w:color="auto" w:fill="auto"/>
            <w:noWrap/>
            <w:vAlign w:val="bottom"/>
            <w:hideMark/>
          </w:tcPr>
          <w:p w:rsidR="006F7B30" w:rsidRPr="005051AC" w:rsidRDefault="006F7B30" w:rsidP="005051AC">
            <w:pPr>
              <w:spacing w:before="60" w:after="60" w:line="240" w:lineRule="auto"/>
              <w:jc w:val="center"/>
              <w:rPr>
                <w:rFonts w:asciiTheme="minorHAnsi" w:hAnsiTheme="minorHAnsi" w:cstheme="minorHAnsi"/>
                <w:color w:val="000000"/>
                <w:sz w:val="20"/>
                <w:szCs w:val="20"/>
              </w:rPr>
            </w:pPr>
            <w:r w:rsidRPr="005051AC">
              <w:rPr>
                <w:rFonts w:asciiTheme="minorHAnsi" w:hAnsiTheme="minorHAnsi" w:cstheme="minorHAnsi"/>
                <w:color w:val="000000"/>
                <w:sz w:val="20"/>
                <w:szCs w:val="20"/>
              </w:rPr>
              <w:t>0.02</w:t>
            </w:r>
          </w:p>
        </w:tc>
        <w:tc>
          <w:tcPr>
            <w:tcW w:w="630" w:type="dxa"/>
            <w:tcBorders>
              <w:top w:val="single" w:sz="6" w:space="0" w:color="auto"/>
              <w:left w:val="single" w:sz="6" w:space="0" w:color="auto"/>
              <w:bottom w:val="single" w:sz="6" w:space="0" w:color="auto"/>
              <w:right w:val="single" w:sz="6" w:space="0" w:color="auto"/>
            </w:tcBorders>
            <w:shd w:val="clear" w:color="auto" w:fill="auto"/>
            <w:noWrap/>
            <w:vAlign w:val="bottom"/>
            <w:hideMark/>
          </w:tcPr>
          <w:p w:rsidR="006F7B30" w:rsidRPr="005051AC" w:rsidRDefault="006F7B30" w:rsidP="005051AC">
            <w:pPr>
              <w:spacing w:before="60" w:after="60" w:line="240" w:lineRule="auto"/>
              <w:jc w:val="center"/>
              <w:rPr>
                <w:rFonts w:asciiTheme="minorHAnsi" w:hAnsiTheme="minorHAnsi" w:cstheme="minorHAnsi"/>
                <w:color w:val="000000"/>
                <w:sz w:val="20"/>
                <w:szCs w:val="20"/>
              </w:rPr>
            </w:pPr>
            <w:r w:rsidRPr="005051AC">
              <w:rPr>
                <w:rFonts w:asciiTheme="minorHAnsi" w:hAnsiTheme="minorHAnsi" w:cstheme="minorHAnsi"/>
                <w:color w:val="000000"/>
                <w:sz w:val="20"/>
                <w:szCs w:val="20"/>
              </w:rPr>
              <w:t>0.16</w:t>
            </w:r>
          </w:p>
        </w:tc>
        <w:tc>
          <w:tcPr>
            <w:tcW w:w="759" w:type="dxa"/>
            <w:tcBorders>
              <w:top w:val="single" w:sz="6" w:space="0" w:color="auto"/>
              <w:left w:val="single" w:sz="6" w:space="0" w:color="auto"/>
              <w:bottom w:val="single" w:sz="6" w:space="0" w:color="auto"/>
              <w:right w:val="single" w:sz="6" w:space="0" w:color="auto"/>
            </w:tcBorders>
            <w:shd w:val="clear" w:color="auto" w:fill="auto"/>
            <w:noWrap/>
            <w:vAlign w:val="bottom"/>
            <w:hideMark/>
          </w:tcPr>
          <w:p w:rsidR="006F7B30" w:rsidRPr="005051AC" w:rsidRDefault="006F7B30" w:rsidP="005051AC">
            <w:pPr>
              <w:spacing w:before="60" w:after="60" w:line="240" w:lineRule="auto"/>
              <w:jc w:val="center"/>
              <w:rPr>
                <w:rFonts w:asciiTheme="minorHAnsi" w:hAnsiTheme="minorHAnsi" w:cstheme="minorHAnsi"/>
                <w:color w:val="000000"/>
                <w:sz w:val="20"/>
                <w:szCs w:val="20"/>
              </w:rPr>
            </w:pPr>
            <w:r w:rsidRPr="005051AC">
              <w:rPr>
                <w:rFonts w:asciiTheme="minorHAnsi" w:hAnsiTheme="minorHAnsi" w:cstheme="minorHAnsi"/>
                <w:color w:val="000000"/>
                <w:sz w:val="20"/>
                <w:szCs w:val="20"/>
              </w:rPr>
              <w:t>0.00</w:t>
            </w:r>
          </w:p>
        </w:tc>
        <w:tc>
          <w:tcPr>
            <w:tcW w:w="744" w:type="dxa"/>
            <w:tcBorders>
              <w:top w:val="single" w:sz="6" w:space="0" w:color="auto"/>
              <w:left w:val="single" w:sz="6" w:space="0" w:color="auto"/>
              <w:bottom w:val="single" w:sz="6" w:space="0" w:color="auto"/>
              <w:right w:val="single" w:sz="6" w:space="0" w:color="auto"/>
            </w:tcBorders>
            <w:shd w:val="clear" w:color="auto" w:fill="auto"/>
            <w:noWrap/>
            <w:vAlign w:val="bottom"/>
            <w:hideMark/>
          </w:tcPr>
          <w:p w:rsidR="006F7B30" w:rsidRPr="005051AC" w:rsidRDefault="006F7B30" w:rsidP="005051AC">
            <w:pPr>
              <w:spacing w:before="60" w:after="60" w:line="240" w:lineRule="auto"/>
              <w:jc w:val="center"/>
              <w:rPr>
                <w:rFonts w:asciiTheme="minorHAnsi" w:hAnsiTheme="minorHAnsi" w:cstheme="minorHAnsi"/>
                <w:color w:val="000000"/>
                <w:sz w:val="20"/>
                <w:szCs w:val="20"/>
              </w:rPr>
            </w:pPr>
            <w:r w:rsidRPr="005051AC">
              <w:rPr>
                <w:rFonts w:asciiTheme="minorHAnsi" w:hAnsiTheme="minorHAnsi" w:cstheme="minorHAnsi"/>
                <w:color w:val="000000"/>
                <w:sz w:val="20"/>
                <w:szCs w:val="20"/>
              </w:rPr>
              <w:t>0.03</w:t>
            </w:r>
          </w:p>
        </w:tc>
        <w:tc>
          <w:tcPr>
            <w:tcW w:w="222" w:type="dxa"/>
            <w:tcBorders>
              <w:top w:val="single" w:sz="6" w:space="0" w:color="auto"/>
              <w:left w:val="single" w:sz="6" w:space="0" w:color="auto"/>
              <w:bottom w:val="single" w:sz="6" w:space="0" w:color="auto"/>
              <w:right w:val="single" w:sz="6" w:space="0" w:color="auto"/>
            </w:tcBorders>
          </w:tcPr>
          <w:p w:rsidR="006F7B30" w:rsidRPr="005051AC" w:rsidRDefault="006F7B30" w:rsidP="005051AC">
            <w:pPr>
              <w:spacing w:before="60" w:after="60" w:line="240" w:lineRule="auto"/>
              <w:jc w:val="center"/>
              <w:rPr>
                <w:rFonts w:asciiTheme="minorHAnsi" w:hAnsiTheme="minorHAnsi" w:cstheme="minorHAnsi"/>
                <w:color w:val="000000"/>
                <w:sz w:val="20"/>
                <w:szCs w:val="20"/>
              </w:rPr>
            </w:pPr>
          </w:p>
        </w:tc>
        <w:tc>
          <w:tcPr>
            <w:tcW w:w="630" w:type="dxa"/>
            <w:tcBorders>
              <w:top w:val="single" w:sz="6" w:space="0" w:color="auto"/>
              <w:left w:val="single" w:sz="6" w:space="0" w:color="auto"/>
              <w:bottom w:val="single" w:sz="6" w:space="0" w:color="auto"/>
              <w:right w:val="single" w:sz="6" w:space="0" w:color="auto"/>
            </w:tcBorders>
            <w:shd w:val="clear" w:color="auto" w:fill="auto"/>
            <w:noWrap/>
            <w:vAlign w:val="bottom"/>
            <w:hideMark/>
          </w:tcPr>
          <w:p w:rsidR="006F7B30" w:rsidRPr="005051AC" w:rsidRDefault="006F7B30" w:rsidP="005051AC">
            <w:pPr>
              <w:spacing w:before="60" w:after="60" w:line="240" w:lineRule="auto"/>
              <w:jc w:val="center"/>
              <w:rPr>
                <w:rFonts w:asciiTheme="minorHAnsi" w:hAnsiTheme="minorHAnsi" w:cstheme="minorHAnsi"/>
                <w:color w:val="000000"/>
                <w:sz w:val="20"/>
                <w:szCs w:val="20"/>
              </w:rPr>
            </w:pPr>
            <w:r w:rsidRPr="005051AC">
              <w:rPr>
                <w:rFonts w:asciiTheme="minorHAnsi" w:hAnsiTheme="minorHAnsi" w:cstheme="minorHAnsi"/>
                <w:color w:val="000000"/>
                <w:sz w:val="20"/>
                <w:szCs w:val="20"/>
              </w:rPr>
              <w:t>0.17</w:t>
            </w:r>
          </w:p>
        </w:tc>
        <w:tc>
          <w:tcPr>
            <w:tcW w:w="630" w:type="dxa"/>
            <w:tcBorders>
              <w:top w:val="single" w:sz="6" w:space="0" w:color="auto"/>
              <w:left w:val="single" w:sz="6" w:space="0" w:color="auto"/>
              <w:bottom w:val="single" w:sz="6" w:space="0" w:color="auto"/>
              <w:right w:val="single" w:sz="6" w:space="0" w:color="auto"/>
            </w:tcBorders>
            <w:shd w:val="clear" w:color="auto" w:fill="auto"/>
            <w:noWrap/>
            <w:vAlign w:val="bottom"/>
            <w:hideMark/>
          </w:tcPr>
          <w:p w:rsidR="006F7B30" w:rsidRPr="005051AC" w:rsidRDefault="006F7B30" w:rsidP="005051AC">
            <w:pPr>
              <w:spacing w:before="60" w:after="60" w:line="240" w:lineRule="auto"/>
              <w:jc w:val="center"/>
              <w:rPr>
                <w:rFonts w:asciiTheme="minorHAnsi" w:hAnsiTheme="minorHAnsi" w:cstheme="minorHAnsi"/>
                <w:color w:val="000000"/>
                <w:sz w:val="20"/>
                <w:szCs w:val="20"/>
              </w:rPr>
            </w:pPr>
            <w:r w:rsidRPr="005051AC">
              <w:rPr>
                <w:rFonts w:asciiTheme="minorHAnsi" w:hAnsiTheme="minorHAnsi" w:cstheme="minorHAnsi"/>
                <w:color w:val="000000"/>
                <w:sz w:val="20"/>
                <w:szCs w:val="20"/>
              </w:rPr>
              <w:t>0.16</w:t>
            </w:r>
          </w:p>
        </w:tc>
        <w:tc>
          <w:tcPr>
            <w:tcW w:w="571" w:type="dxa"/>
            <w:tcBorders>
              <w:top w:val="single" w:sz="6" w:space="0" w:color="auto"/>
              <w:left w:val="single" w:sz="6" w:space="0" w:color="auto"/>
              <w:bottom w:val="single" w:sz="6" w:space="0" w:color="auto"/>
              <w:right w:val="single" w:sz="6" w:space="0" w:color="auto"/>
            </w:tcBorders>
            <w:shd w:val="clear" w:color="auto" w:fill="auto"/>
            <w:noWrap/>
            <w:vAlign w:val="bottom"/>
            <w:hideMark/>
          </w:tcPr>
          <w:p w:rsidR="006F7B30" w:rsidRPr="005051AC" w:rsidRDefault="006F7B30" w:rsidP="005051AC">
            <w:pPr>
              <w:spacing w:before="60" w:after="60" w:line="240" w:lineRule="auto"/>
              <w:jc w:val="center"/>
              <w:rPr>
                <w:rFonts w:asciiTheme="minorHAnsi" w:hAnsiTheme="minorHAnsi" w:cstheme="minorHAnsi"/>
                <w:color w:val="000000"/>
                <w:sz w:val="20"/>
                <w:szCs w:val="20"/>
              </w:rPr>
            </w:pPr>
            <w:r w:rsidRPr="005051AC">
              <w:rPr>
                <w:rFonts w:asciiTheme="minorHAnsi" w:hAnsiTheme="minorHAnsi" w:cstheme="minorHAnsi"/>
                <w:color w:val="000000"/>
                <w:sz w:val="20"/>
                <w:szCs w:val="20"/>
              </w:rPr>
              <w:t>0.29</w:t>
            </w:r>
          </w:p>
        </w:tc>
        <w:tc>
          <w:tcPr>
            <w:tcW w:w="759" w:type="dxa"/>
            <w:tcBorders>
              <w:top w:val="single" w:sz="6" w:space="0" w:color="auto"/>
              <w:left w:val="single" w:sz="6" w:space="0" w:color="auto"/>
              <w:bottom w:val="single" w:sz="6" w:space="0" w:color="auto"/>
              <w:right w:val="single" w:sz="6" w:space="0" w:color="auto"/>
            </w:tcBorders>
            <w:shd w:val="clear" w:color="auto" w:fill="auto"/>
            <w:noWrap/>
            <w:vAlign w:val="bottom"/>
            <w:hideMark/>
          </w:tcPr>
          <w:p w:rsidR="006F7B30" w:rsidRPr="005051AC" w:rsidRDefault="006F7B30" w:rsidP="005051AC">
            <w:pPr>
              <w:spacing w:before="60" w:after="60" w:line="240" w:lineRule="auto"/>
              <w:jc w:val="center"/>
              <w:rPr>
                <w:rFonts w:asciiTheme="minorHAnsi" w:hAnsiTheme="minorHAnsi" w:cstheme="minorHAnsi"/>
                <w:color w:val="000000"/>
                <w:sz w:val="20"/>
                <w:szCs w:val="20"/>
              </w:rPr>
            </w:pPr>
            <w:r w:rsidRPr="005051AC">
              <w:rPr>
                <w:rFonts w:asciiTheme="minorHAnsi" w:hAnsiTheme="minorHAnsi" w:cstheme="minorHAnsi"/>
                <w:color w:val="000000"/>
                <w:sz w:val="20"/>
                <w:szCs w:val="20"/>
              </w:rPr>
              <w:t>0.00</w:t>
            </w:r>
          </w:p>
        </w:tc>
        <w:tc>
          <w:tcPr>
            <w:tcW w:w="744" w:type="dxa"/>
            <w:tcBorders>
              <w:top w:val="single" w:sz="6" w:space="0" w:color="auto"/>
              <w:left w:val="single" w:sz="6" w:space="0" w:color="auto"/>
              <w:bottom w:val="single" w:sz="6" w:space="0" w:color="auto"/>
              <w:right w:val="dotted" w:sz="4" w:space="0" w:color="auto"/>
            </w:tcBorders>
            <w:shd w:val="clear" w:color="auto" w:fill="auto"/>
            <w:noWrap/>
            <w:vAlign w:val="bottom"/>
            <w:hideMark/>
          </w:tcPr>
          <w:p w:rsidR="006F7B30" w:rsidRPr="005051AC" w:rsidRDefault="006F7B30" w:rsidP="005051AC">
            <w:pPr>
              <w:spacing w:before="60" w:after="60" w:line="240" w:lineRule="auto"/>
              <w:jc w:val="center"/>
              <w:rPr>
                <w:rFonts w:asciiTheme="minorHAnsi" w:hAnsiTheme="minorHAnsi" w:cstheme="minorHAnsi"/>
                <w:color w:val="000000"/>
                <w:sz w:val="20"/>
                <w:szCs w:val="20"/>
              </w:rPr>
            </w:pPr>
            <w:r w:rsidRPr="005051AC">
              <w:rPr>
                <w:rFonts w:asciiTheme="minorHAnsi" w:hAnsiTheme="minorHAnsi" w:cstheme="minorHAnsi"/>
                <w:color w:val="000000"/>
                <w:sz w:val="20"/>
                <w:szCs w:val="20"/>
              </w:rPr>
              <w:t>0.11</w:t>
            </w:r>
          </w:p>
        </w:tc>
      </w:tr>
      <w:tr w:rsidR="006F7B30" w:rsidRPr="005051AC" w:rsidTr="005051AC">
        <w:trPr>
          <w:trHeight w:val="300"/>
        </w:trPr>
        <w:tc>
          <w:tcPr>
            <w:tcW w:w="2212" w:type="dxa"/>
            <w:tcBorders>
              <w:top w:val="single" w:sz="6" w:space="0" w:color="auto"/>
              <w:left w:val="dotted" w:sz="4" w:space="0" w:color="auto"/>
              <w:bottom w:val="single" w:sz="6" w:space="0" w:color="auto"/>
              <w:right w:val="single" w:sz="6" w:space="0" w:color="auto"/>
            </w:tcBorders>
            <w:shd w:val="clear" w:color="auto" w:fill="auto"/>
            <w:noWrap/>
            <w:vAlign w:val="bottom"/>
            <w:hideMark/>
          </w:tcPr>
          <w:p w:rsidR="006F7B30" w:rsidRPr="005051AC" w:rsidRDefault="006F7B30" w:rsidP="005051AC">
            <w:pPr>
              <w:spacing w:before="60" w:after="60" w:line="240" w:lineRule="auto"/>
              <w:rPr>
                <w:rFonts w:asciiTheme="minorHAnsi" w:hAnsiTheme="minorHAnsi" w:cstheme="minorHAnsi"/>
                <w:color w:val="000000"/>
                <w:sz w:val="20"/>
                <w:szCs w:val="20"/>
              </w:rPr>
            </w:pPr>
            <w:r w:rsidRPr="005051AC">
              <w:rPr>
                <w:rFonts w:asciiTheme="minorHAnsi" w:hAnsiTheme="minorHAnsi" w:cstheme="minorHAnsi"/>
                <w:color w:val="000000"/>
                <w:sz w:val="20"/>
                <w:szCs w:val="20"/>
              </w:rPr>
              <w:t>PACIFIC_NON_CON</w:t>
            </w:r>
          </w:p>
        </w:tc>
        <w:tc>
          <w:tcPr>
            <w:tcW w:w="630" w:type="dxa"/>
            <w:tcBorders>
              <w:top w:val="single" w:sz="6" w:space="0" w:color="auto"/>
              <w:left w:val="single" w:sz="6" w:space="0" w:color="auto"/>
              <w:bottom w:val="single" w:sz="6" w:space="0" w:color="auto"/>
              <w:right w:val="single" w:sz="6" w:space="0" w:color="auto"/>
            </w:tcBorders>
            <w:shd w:val="clear" w:color="auto" w:fill="auto"/>
            <w:noWrap/>
            <w:vAlign w:val="bottom"/>
            <w:hideMark/>
          </w:tcPr>
          <w:p w:rsidR="006F7B30" w:rsidRPr="005051AC" w:rsidRDefault="006F7B30" w:rsidP="005051AC">
            <w:pPr>
              <w:spacing w:before="60" w:after="60" w:line="240" w:lineRule="auto"/>
              <w:jc w:val="center"/>
              <w:rPr>
                <w:rFonts w:asciiTheme="minorHAnsi" w:hAnsiTheme="minorHAnsi" w:cstheme="minorHAnsi"/>
                <w:color w:val="000000"/>
                <w:sz w:val="20"/>
                <w:szCs w:val="20"/>
              </w:rPr>
            </w:pPr>
            <w:r w:rsidRPr="005051AC">
              <w:rPr>
                <w:rFonts w:asciiTheme="minorHAnsi" w:hAnsiTheme="minorHAnsi" w:cstheme="minorHAnsi"/>
                <w:color w:val="000000"/>
                <w:sz w:val="20"/>
                <w:szCs w:val="20"/>
              </w:rPr>
              <w:t>0.20</w:t>
            </w:r>
          </w:p>
        </w:tc>
        <w:tc>
          <w:tcPr>
            <w:tcW w:w="627" w:type="dxa"/>
            <w:tcBorders>
              <w:top w:val="single" w:sz="6" w:space="0" w:color="auto"/>
              <w:left w:val="single" w:sz="6" w:space="0" w:color="auto"/>
              <w:bottom w:val="single" w:sz="6" w:space="0" w:color="auto"/>
              <w:right w:val="single" w:sz="6" w:space="0" w:color="auto"/>
            </w:tcBorders>
            <w:shd w:val="clear" w:color="auto" w:fill="auto"/>
            <w:noWrap/>
            <w:vAlign w:val="bottom"/>
            <w:hideMark/>
          </w:tcPr>
          <w:p w:rsidR="006F7B30" w:rsidRPr="005051AC" w:rsidRDefault="006F7B30" w:rsidP="005051AC">
            <w:pPr>
              <w:spacing w:before="60" w:after="60" w:line="240" w:lineRule="auto"/>
              <w:jc w:val="center"/>
              <w:rPr>
                <w:rFonts w:asciiTheme="minorHAnsi" w:hAnsiTheme="minorHAnsi" w:cstheme="minorHAnsi"/>
                <w:color w:val="000000"/>
                <w:sz w:val="20"/>
                <w:szCs w:val="20"/>
              </w:rPr>
            </w:pPr>
            <w:r w:rsidRPr="005051AC">
              <w:rPr>
                <w:rFonts w:asciiTheme="minorHAnsi" w:hAnsiTheme="minorHAnsi" w:cstheme="minorHAnsi"/>
                <w:color w:val="000000"/>
                <w:sz w:val="20"/>
                <w:szCs w:val="20"/>
              </w:rPr>
              <w:t>0.27</w:t>
            </w:r>
          </w:p>
        </w:tc>
        <w:tc>
          <w:tcPr>
            <w:tcW w:w="630" w:type="dxa"/>
            <w:tcBorders>
              <w:top w:val="single" w:sz="6" w:space="0" w:color="auto"/>
              <w:left w:val="single" w:sz="6" w:space="0" w:color="auto"/>
              <w:bottom w:val="single" w:sz="6" w:space="0" w:color="auto"/>
              <w:right w:val="single" w:sz="6" w:space="0" w:color="auto"/>
            </w:tcBorders>
            <w:shd w:val="clear" w:color="auto" w:fill="auto"/>
            <w:noWrap/>
            <w:vAlign w:val="bottom"/>
            <w:hideMark/>
          </w:tcPr>
          <w:p w:rsidR="006F7B30" w:rsidRPr="005051AC" w:rsidRDefault="006F7B30" w:rsidP="005051AC">
            <w:pPr>
              <w:spacing w:before="60" w:after="60" w:line="240" w:lineRule="auto"/>
              <w:jc w:val="center"/>
              <w:rPr>
                <w:rFonts w:asciiTheme="minorHAnsi" w:hAnsiTheme="minorHAnsi" w:cstheme="minorHAnsi"/>
                <w:color w:val="000000"/>
                <w:sz w:val="20"/>
                <w:szCs w:val="20"/>
              </w:rPr>
            </w:pPr>
            <w:r w:rsidRPr="005051AC">
              <w:rPr>
                <w:rFonts w:asciiTheme="minorHAnsi" w:hAnsiTheme="minorHAnsi" w:cstheme="minorHAnsi"/>
                <w:color w:val="000000"/>
                <w:sz w:val="20"/>
                <w:szCs w:val="20"/>
              </w:rPr>
              <w:t>0.32</w:t>
            </w:r>
          </w:p>
        </w:tc>
        <w:tc>
          <w:tcPr>
            <w:tcW w:w="759" w:type="dxa"/>
            <w:tcBorders>
              <w:top w:val="single" w:sz="6" w:space="0" w:color="auto"/>
              <w:left w:val="single" w:sz="6" w:space="0" w:color="auto"/>
              <w:bottom w:val="single" w:sz="6" w:space="0" w:color="auto"/>
              <w:right w:val="single" w:sz="6" w:space="0" w:color="auto"/>
            </w:tcBorders>
            <w:shd w:val="clear" w:color="auto" w:fill="auto"/>
            <w:noWrap/>
            <w:vAlign w:val="bottom"/>
            <w:hideMark/>
          </w:tcPr>
          <w:p w:rsidR="006F7B30" w:rsidRPr="005051AC" w:rsidRDefault="006F7B30" w:rsidP="005051AC">
            <w:pPr>
              <w:spacing w:before="60" w:after="60" w:line="240" w:lineRule="auto"/>
              <w:jc w:val="center"/>
              <w:rPr>
                <w:rFonts w:asciiTheme="minorHAnsi" w:hAnsiTheme="minorHAnsi" w:cstheme="minorHAnsi"/>
                <w:color w:val="000000"/>
                <w:sz w:val="20"/>
                <w:szCs w:val="20"/>
              </w:rPr>
            </w:pPr>
            <w:r w:rsidRPr="005051AC">
              <w:rPr>
                <w:rFonts w:asciiTheme="minorHAnsi" w:hAnsiTheme="minorHAnsi" w:cstheme="minorHAnsi"/>
                <w:color w:val="000000"/>
                <w:sz w:val="20"/>
                <w:szCs w:val="20"/>
              </w:rPr>
              <w:t>0.00</w:t>
            </w:r>
          </w:p>
        </w:tc>
        <w:tc>
          <w:tcPr>
            <w:tcW w:w="744" w:type="dxa"/>
            <w:tcBorders>
              <w:top w:val="single" w:sz="6" w:space="0" w:color="auto"/>
              <w:left w:val="single" w:sz="6" w:space="0" w:color="auto"/>
              <w:bottom w:val="single" w:sz="6" w:space="0" w:color="auto"/>
              <w:right w:val="single" w:sz="6" w:space="0" w:color="auto"/>
            </w:tcBorders>
            <w:shd w:val="clear" w:color="auto" w:fill="auto"/>
            <w:noWrap/>
            <w:vAlign w:val="bottom"/>
            <w:hideMark/>
          </w:tcPr>
          <w:p w:rsidR="006F7B30" w:rsidRPr="005051AC" w:rsidRDefault="006F7B30" w:rsidP="005051AC">
            <w:pPr>
              <w:spacing w:before="60" w:after="60" w:line="240" w:lineRule="auto"/>
              <w:jc w:val="center"/>
              <w:rPr>
                <w:rFonts w:asciiTheme="minorHAnsi" w:hAnsiTheme="minorHAnsi" w:cstheme="minorHAnsi"/>
                <w:color w:val="000000"/>
                <w:sz w:val="20"/>
                <w:szCs w:val="20"/>
              </w:rPr>
            </w:pPr>
            <w:r w:rsidRPr="005051AC">
              <w:rPr>
                <w:rFonts w:asciiTheme="minorHAnsi" w:hAnsiTheme="minorHAnsi" w:cstheme="minorHAnsi"/>
                <w:color w:val="000000"/>
                <w:sz w:val="20"/>
                <w:szCs w:val="20"/>
              </w:rPr>
              <w:t>0.16</w:t>
            </w:r>
          </w:p>
        </w:tc>
        <w:tc>
          <w:tcPr>
            <w:tcW w:w="222" w:type="dxa"/>
            <w:tcBorders>
              <w:top w:val="single" w:sz="6" w:space="0" w:color="auto"/>
              <w:left w:val="single" w:sz="6" w:space="0" w:color="auto"/>
              <w:bottom w:val="single" w:sz="6" w:space="0" w:color="auto"/>
              <w:right w:val="single" w:sz="6" w:space="0" w:color="auto"/>
            </w:tcBorders>
          </w:tcPr>
          <w:p w:rsidR="006F7B30" w:rsidRPr="005051AC" w:rsidRDefault="006F7B30" w:rsidP="005051AC">
            <w:pPr>
              <w:spacing w:before="60" w:after="60" w:line="240" w:lineRule="auto"/>
              <w:jc w:val="center"/>
              <w:rPr>
                <w:rFonts w:asciiTheme="minorHAnsi" w:hAnsiTheme="minorHAnsi" w:cstheme="minorHAnsi"/>
                <w:color w:val="000000"/>
                <w:sz w:val="20"/>
                <w:szCs w:val="20"/>
              </w:rPr>
            </w:pPr>
          </w:p>
        </w:tc>
        <w:tc>
          <w:tcPr>
            <w:tcW w:w="630" w:type="dxa"/>
            <w:tcBorders>
              <w:top w:val="single" w:sz="6" w:space="0" w:color="auto"/>
              <w:left w:val="single" w:sz="6" w:space="0" w:color="auto"/>
              <w:bottom w:val="single" w:sz="6" w:space="0" w:color="auto"/>
              <w:right w:val="single" w:sz="6" w:space="0" w:color="auto"/>
            </w:tcBorders>
            <w:shd w:val="clear" w:color="auto" w:fill="auto"/>
            <w:noWrap/>
            <w:vAlign w:val="bottom"/>
            <w:hideMark/>
          </w:tcPr>
          <w:p w:rsidR="006F7B30" w:rsidRPr="005051AC" w:rsidRDefault="006F7B30" w:rsidP="005051AC">
            <w:pPr>
              <w:spacing w:before="60" w:after="60" w:line="240" w:lineRule="auto"/>
              <w:jc w:val="center"/>
              <w:rPr>
                <w:rFonts w:asciiTheme="minorHAnsi" w:hAnsiTheme="minorHAnsi" w:cstheme="minorHAnsi"/>
                <w:color w:val="000000"/>
                <w:sz w:val="20"/>
                <w:szCs w:val="20"/>
              </w:rPr>
            </w:pPr>
            <w:r w:rsidRPr="005051AC">
              <w:rPr>
                <w:rFonts w:asciiTheme="minorHAnsi" w:hAnsiTheme="minorHAnsi" w:cstheme="minorHAnsi"/>
                <w:color w:val="000000"/>
                <w:sz w:val="20"/>
                <w:szCs w:val="20"/>
              </w:rPr>
              <w:t>0.25</w:t>
            </w:r>
          </w:p>
        </w:tc>
        <w:tc>
          <w:tcPr>
            <w:tcW w:w="630" w:type="dxa"/>
            <w:tcBorders>
              <w:top w:val="single" w:sz="6" w:space="0" w:color="auto"/>
              <w:left w:val="single" w:sz="6" w:space="0" w:color="auto"/>
              <w:bottom w:val="single" w:sz="6" w:space="0" w:color="auto"/>
              <w:right w:val="single" w:sz="6" w:space="0" w:color="auto"/>
            </w:tcBorders>
            <w:shd w:val="clear" w:color="auto" w:fill="auto"/>
            <w:noWrap/>
            <w:vAlign w:val="bottom"/>
            <w:hideMark/>
          </w:tcPr>
          <w:p w:rsidR="006F7B30" w:rsidRPr="005051AC" w:rsidRDefault="006F7B30" w:rsidP="005051AC">
            <w:pPr>
              <w:spacing w:before="60" w:after="60" w:line="240" w:lineRule="auto"/>
              <w:jc w:val="center"/>
              <w:rPr>
                <w:rFonts w:asciiTheme="minorHAnsi" w:hAnsiTheme="minorHAnsi" w:cstheme="minorHAnsi"/>
                <w:color w:val="000000"/>
                <w:sz w:val="20"/>
                <w:szCs w:val="20"/>
              </w:rPr>
            </w:pPr>
            <w:r w:rsidRPr="005051AC">
              <w:rPr>
                <w:rFonts w:asciiTheme="minorHAnsi" w:hAnsiTheme="minorHAnsi" w:cstheme="minorHAnsi"/>
                <w:color w:val="000000"/>
                <w:sz w:val="20"/>
                <w:szCs w:val="20"/>
              </w:rPr>
              <w:t>0.30</w:t>
            </w:r>
          </w:p>
        </w:tc>
        <w:tc>
          <w:tcPr>
            <w:tcW w:w="571" w:type="dxa"/>
            <w:tcBorders>
              <w:top w:val="single" w:sz="6" w:space="0" w:color="auto"/>
              <w:left w:val="single" w:sz="6" w:space="0" w:color="auto"/>
              <w:bottom w:val="single" w:sz="6" w:space="0" w:color="auto"/>
              <w:right w:val="single" w:sz="6" w:space="0" w:color="auto"/>
            </w:tcBorders>
            <w:shd w:val="clear" w:color="auto" w:fill="auto"/>
            <w:noWrap/>
            <w:vAlign w:val="bottom"/>
            <w:hideMark/>
          </w:tcPr>
          <w:p w:rsidR="006F7B30" w:rsidRPr="005051AC" w:rsidRDefault="006F7B30" w:rsidP="005051AC">
            <w:pPr>
              <w:spacing w:before="60" w:after="60" w:line="240" w:lineRule="auto"/>
              <w:jc w:val="center"/>
              <w:rPr>
                <w:rFonts w:asciiTheme="minorHAnsi" w:hAnsiTheme="minorHAnsi" w:cstheme="minorHAnsi"/>
                <w:color w:val="000000"/>
                <w:sz w:val="20"/>
                <w:szCs w:val="20"/>
              </w:rPr>
            </w:pPr>
            <w:r w:rsidRPr="005051AC">
              <w:rPr>
                <w:rFonts w:asciiTheme="minorHAnsi" w:hAnsiTheme="minorHAnsi" w:cstheme="minorHAnsi"/>
                <w:color w:val="000000"/>
                <w:sz w:val="20"/>
                <w:szCs w:val="20"/>
              </w:rPr>
              <w:t>0.25</w:t>
            </w:r>
          </w:p>
        </w:tc>
        <w:tc>
          <w:tcPr>
            <w:tcW w:w="759" w:type="dxa"/>
            <w:tcBorders>
              <w:top w:val="single" w:sz="6" w:space="0" w:color="auto"/>
              <w:left w:val="single" w:sz="6" w:space="0" w:color="auto"/>
              <w:bottom w:val="single" w:sz="6" w:space="0" w:color="auto"/>
              <w:right w:val="single" w:sz="6" w:space="0" w:color="auto"/>
            </w:tcBorders>
            <w:shd w:val="clear" w:color="auto" w:fill="auto"/>
            <w:noWrap/>
            <w:vAlign w:val="bottom"/>
            <w:hideMark/>
          </w:tcPr>
          <w:p w:rsidR="006F7B30" w:rsidRPr="005051AC" w:rsidRDefault="006F7B30" w:rsidP="005051AC">
            <w:pPr>
              <w:spacing w:before="60" w:after="60" w:line="240" w:lineRule="auto"/>
              <w:jc w:val="center"/>
              <w:rPr>
                <w:rFonts w:asciiTheme="minorHAnsi" w:hAnsiTheme="minorHAnsi" w:cstheme="minorHAnsi"/>
                <w:color w:val="000000"/>
                <w:sz w:val="20"/>
                <w:szCs w:val="20"/>
              </w:rPr>
            </w:pPr>
            <w:r w:rsidRPr="005051AC">
              <w:rPr>
                <w:rFonts w:asciiTheme="minorHAnsi" w:hAnsiTheme="minorHAnsi" w:cstheme="minorHAnsi"/>
                <w:color w:val="000000"/>
                <w:sz w:val="20"/>
                <w:szCs w:val="20"/>
              </w:rPr>
              <w:t>0.00</w:t>
            </w:r>
          </w:p>
        </w:tc>
        <w:tc>
          <w:tcPr>
            <w:tcW w:w="744" w:type="dxa"/>
            <w:tcBorders>
              <w:top w:val="single" w:sz="6" w:space="0" w:color="auto"/>
              <w:left w:val="single" w:sz="6" w:space="0" w:color="auto"/>
              <w:bottom w:val="single" w:sz="6" w:space="0" w:color="auto"/>
              <w:right w:val="dotted" w:sz="4" w:space="0" w:color="auto"/>
            </w:tcBorders>
            <w:shd w:val="clear" w:color="auto" w:fill="auto"/>
            <w:noWrap/>
            <w:vAlign w:val="bottom"/>
            <w:hideMark/>
          </w:tcPr>
          <w:p w:rsidR="006F7B30" w:rsidRPr="005051AC" w:rsidRDefault="006F7B30" w:rsidP="005051AC">
            <w:pPr>
              <w:spacing w:before="60" w:after="60" w:line="240" w:lineRule="auto"/>
              <w:jc w:val="center"/>
              <w:rPr>
                <w:rFonts w:asciiTheme="minorHAnsi" w:hAnsiTheme="minorHAnsi" w:cstheme="minorHAnsi"/>
                <w:color w:val="000000"/>
                <w:sz w:val="20"/>
                <w:szCs w:val="20"/>
              </w:rPr>
            </w:pPr>
            <w:r w:rsidRPr="005051AC">
              <w:rPr>
                <w:rFonts w:asciiTheme="minorHAnsi" w:hAnsiTheme="minorHAnsi" w:cstheme="minorHAnsi"/>
                <w:color w:val="000000"/>
                <w:sz w:val="20"/>
                <w:szCs w:val="20"/>
              </w:rPr>
              <w:t>0.16</w:t>
            </w:r>
          </w:p>
        </w:tc>
      </w:tr>
      <w:tr w:rsidR="006F7B30" w:rsidRPr="005051AC" w:rsidTr="005051AC">
        <w:trPr>
          <w:trHeight w:val="300"/>
        </w:trPr>
        <w:tc>
          <w:tcPr>
            <w:tcW w:w="2212" w:type="dxa"/>
            <w:tcBorders>
              <w:top w:val="single" w:sz="6" w:space="0" w:color="auto"/>
              <w:left w:val="dotted" w:sz="4" w:space="0" w:color="auto"/>
              <w:bottom w:val="single" w:sz="6" w:space="0" w:color="auto"/>
              <w:right w:val="single" w:sz="6" w:space="0" w:color="auto"/>
            </w:tcBorders>
            <w:shd w:val="clear" w:color="auto" w:fill="auto"/>
            <w:noWrap/>
            <w:vAlign w:val="bottom"/>
            <w:hideMark/>
          </w:tcPr>
          <w:p w:rsidR="006F7B30" w:rsidRPr="005051AC" w:rsidRDefault="006F7B30" w:rsidP="005051AC">
            <w:pPr>
              <w:spacing w:before="60" w:after="60" w:line="240" w:lineRule="auto"/>
              <w:rPr>
                <w:rFonts w:asciiTheme="minorHAnsi" w:hAnsiTheme="minorHAnsi" w:cstheme="minorHAnsi"/>
                <w:color w:val="000000"/>
                <w:sz w:val="20"/>
                <w:szCs w:val="20"/>
              </w:rPr>
            </w:pPr>
            <w:r w:rsidRPr="005051AC">
              <w:rPr>
                <w:rFonts w:asciiTheme="minorHAnsi" w:hAnsiTheme="minorHAnsi" w:cstheme="minorHAnsi"/>
                <w:color w:val="000000"/>
                <w:sz w:val="20"/>
                <w:szCs w:val="20"/>
              </w:rPr>
              <w:t>SOUTH_ATLANTIC</w:t>
            </w:r>
          </w:p>
        </w:tc>
        <w:tc>
          <w:tcPr>
            <w:tcW w:w="630" w:type="dxa"/>
            <w:tcBorders>
              <w:top w:val="single" w:sz="6" w:space="0" w:color="auto"/>
              <w:left w:val="single" w:sz="6" w:space="0" w:color="auto"/>
              <w:bottom w:val="single" w:sz="6" w:space="0" w:color="auto"/>
              <w:right w:val="single" w:sz="6" w:space="0" w:color="auto"/>
            </w:tcBorders>
            <w:shd w:val="clear" w:color="auto" w:fill="auto"/>
            <w:noWrap/>
            <w:vAlign w:val="bottom"/>
            <w:hideMark/>
          </w:tcPr>
          <w:p w:rsidR="006F7B30" w:rsidRPr="005051AC" w:rsidRDefault="006F7B30" w:rsidP="005051AC">
            <w:pPr>
              <w:spacing w:before="60" w:after="60" w:line="240" w:lineRule="auto"/>
              <w:jc w:val="center"/>
              <w:rPr>
                <w:rFonts w:asciiTheme="minorHAnsi" w:hAnsiTheme="minorHAnsi" w:cstheme="minorHAnsi"/>
                <w:color w:val="000000"/>
                <w:sz w:val="20"/>
                <w:szCs w:val="20"/>
              </w:rPr>
            </w:pPr>
            <w:r w:rsidRPr="005051AC">
              <w:rPr>
                <w:rFonts w:asciiTheme="minorHAnsi" w:hAnsiTheme="minorHAnsi" w:cstheme="minorHAnsi"/>
                <w:color w:val="000000"/>
                <w:sz w:val="20"/>
                <w:szCs w:val="20"/>
              </w:rPr>
              <w:t>0.05</w:t>
            </w:r>
          </w:p>
        </w:tc>
        <w:tc>
          <w:tcPr>
            <w:tcW w:w="627" w:type="dxa"/>
            <w:tcBorders>
              <w:top w:val="single" w:sz="6" w:space="0" w:color="auto"/>
              <w:left w:val="single" w:sz="6" w:space="0" w:color="auto"/>
              <w:bottom w:val="single" w:sz="6" w:space="0" w:color="auto"/>
              <w:right w:val="single" w:sz="6" w:space="0" w:color="auto"/>
            </w:tcBorders>
            <w:shd w:val="clear" w:color="auto" w:fill="auto"/>
            <w:noWrap/>
            <w:vAlign w:val="bottom"/>
            <w:hideMark/>
          </w:tcPr>
          <w:p w:rsidR="006F7B30" w:rsidRPr="005051AC" w:rsidRDefault="006F7B30" w:rsidP="005051AC">
            <w:pPr>
              <w:spacing w:before="60" w:after="60" w:line="240" w:lineRule="auto"/>
              <w:jc w:val="center"/>
              <w:rPr>
                <w:rFonts w:asciiTheme="minorHAnsi" w:hAnsiTheme="minorHAnsi" w:cstheme="minorHAnsi"/>
                <w:color w:val="000000"/>
                <w:sz w:val="20"/>
                <w:szCs w:val="20"/>
              </w:rPr>
            </w:pPr>
            <w:r w:rsidRPr="005051AC">
              <w:rPr>
                <w:rFonts w:asciiTheme="minorHAnsi" w:hAnsiTheme="minorHAnsi" w:cstheme="minorHAnsi"/>
                <w:color w:val="000000"/>
                <w:sz w:val="20"/>
                <w:szCs w:val="20"/>
              </w:rPr>
              <w:t>0.04</w:t>
            </w:r>
          </w:p>
        </w:tc>
        <w:tc>
          <w:tcPr>
            <w:tcW w:w="630" w:type="dxa"/>
            <w:tcBorders>
              <w:top w:val="single" w:sz="6" w:space="0" w:color="auto"/>
              <w:left w:val="single" w:sz="6" w:space="0" w:color="auto"/>
              <w:bottom w:val="single" w:sz="6" w:space="0" w:color="auto"/>
              <w:right w:val="single" w:sz="6" w:space="0" w:color="auto"/>
            </w:tcBorders>
            <w:shd w:val="clear" w:color="auto" w:fill="auto"/>
            <w:noWrap/>
            <w:vAlign w:val="bottom"/>
            <w:hideMark/>
          </w:tcPr>
          <w:p w:rsidR="006F7B30" w:rsidRPr="005051AC" w:rsidRDefault="006F7B30" w:rsidP="005051AC">
            <w:pPr>
              <w:spacing w:before="60" w:after="60" w:line="240" w:lineRule="auto"/>
              <w:jc w:val="center"/>
              <w:rPr>
                <w:rFonts w:asciiTheme="minorHAnsi" w:hAnsiTheme="minorHAnsi" w:cstheme="minorHAnsi"/>
                <w:color w:val="000000"/>
                <w:sz w:val="20"/>
                <w:szCs w:val="20"/>
              </w:rPr>
            </w:pPr>
            <w:r w:rsidRPr="005051AC">
              <w:rPr>
                <w:rFonts w:asciiTheme="minorHAnsi" w:hAnsiTheme="minorHAnsi" w:cstheme="minorHAnsi"/>
                <w:color w:val="000000"/>
                <w:sz w:val="20"/>
                <w:szCs w:val="20"/>
              </w:rPr>
              <w:t>0.09</w:t>
            </w:r>
          </w:p>
        </w:tc>
        <w:tc>
          <w:tcPr>
            <w:tcW w:w="759" w:type="dxa"/>
            <w:tcBorders>
              <w:top w:val="single" w:sz="6" w:space="0" w:color="auto"/>
              <w:left w:val="single" w:sz="6" w:space="0" w:color="auto"/>
              <w:bottom w:val="single" w:sz="6" w:space="0" w:color="auto"/>
              <w:right w:val="single" w:sz="6" w:space="0" w:color="auto"/>
            </w:tcBorders>
            <w:shd w:val="clear" w:color="auto" w:fill="auto"/>
            <w:noWrap/>
            <w:vAlign w:val="bottom"/>
            <w:hideMark/>
          </w:tcPr>
          <w:p w:rsidR="006F7B30" w:rsidRPr="005051AC" w:rsidRDefault="006F7B30" w:rsidP="005051AC">
            <w:pPr>
              <w:spacing w:before="60" w:after="60" w:line="240" w:lineRule="auto"/>
              <w:jc w:val="center"/>
              <w:rPr>
                <w:rFonts w:asciiTheme="minorHAnsi" w:hAnsiTheme="minorHAnsi" w:cstheme="minorHAnsi"/>
                <w:color w:val="000000"/>
                <w:sz w:val="20"/>
                <w:szCs w:val="20"/>
              </w:rPr>
            </w:pPr>
            <w:r w:rsidRPr="005051AC">
              <w:rPr>
                <w:rFonts w:asciiTheme="minorHAnsi" w:hAnsiTheme="minorHAnsi" w:cstheme="minorHAnsi"/>
                <w:color w:val="000000"/>
                <w:sz w:val="20"/>
                <w:szCs w:val="20"/>
              </w:rPr>
              <w:t>0.00</w:t>
            </w:r>
          </w:p>
        </w:tc>
        <w:tc>
          <w:tcPr>
            <w:tcW w:w="744" w:type="dxa"/>
            <w:tcBorders>
              <w:top w:val="single" w:sz="6" w:space="0" w:color="auto"/>
              <w:left w:val="single" w:sz="6" w:space="0" w:color="auto"/>
              <w:bottom w:val="single" w:sz="6" w:space="0" w:color="auto"/>
              <w:right w:val="single" w:sz="6" w:space="0" w:color="auto"/>
            </w:tcBorders>
            <w:shd w:val="clear" w:color="auto" w:fill="auto"/>
            <w:noWrap/>
            <w:vAlign w:val="bottom"/>
            <w:hideMark/>
          </w:tcPr>
          <w:p w:rsidR="006F7B30" w:rsidRPr="005051AC" w:rsidRDefault="006F7B30" w:rsidP="005051AC">
            <w:pPr>
              <w:spacing w:before="60" w:after="60" w:line="240" w:lineRule="auto"/>
              <w:jc w:val="center"/>
              <w:rPr>
                <w:rFonts w:asciiTheme="minorHAnsi" w:hAnsiTheme="minorHAnsi" w:cstheme="minorHAnsi"/>
                <w:color w:val="000000"/>
                <w:sz w:val="20"/>
                <w:szCs w:val="20"/>
              </w:rPr>
            </w:pPr>
            <w:r w:rsidRPr="005051AC">
              <w:rPr>
                <w:rFonts w:asciiTheme="minorHAnsi" w:hAnsiTheme="minorHAnsi" w:cstheme="minorHAnsi"/>
                <w:color w:val="000000"/>
                <w:sz w:val="20"/>
                <w:szCs w:val="20"/>
              </w:rPr>
              <w:t>0.03</w:t>
            </w:r>
          </w:p>
        </w:tc>
        <w:tc>
          <w:tcPr>
            <w:tcW w:w="222" w:type="dxa"/>
            <w:tcBorders>
              <w:top w:val="single" w:sz="6" w:space="0" w:color="auto"/>
              <w:left w:val="single" w:sz="6" w:space="0" w:color="auto"/>
              <w:bottom w:val="single" w:sz="6" w:space="0" w:color="auto"/>
              <w:right w:val="single" w:sz="6" w:space="0" w:color="auto"/>
            </w:tcBorders>
          </w:tcPr>
          <w:p w:rsidR="006F7B30" w:rsidRPr="005051AC" w:rsidRDefault="006F7B30" w:rsidP="005051AC">
            <w:pPr>
              <w:spacing w:before="60" w:after="60" w:line="240" w:lineRule="auto"/>
              <w:jc w:val="center"/>
              <w:rPr>
                <w:rFonts w:asciiTheme="minorHAnsi" w:hAnsiTheme="minorHAnsi" w:cstheme="minorHAnsi"/>
                <w:color w:val="000000"/>
                <w:sz w:val="20"/>
                <w:szCs w:val="20"/>
              </w:rPr>
            </w:pPr>
          </w:p>
        </w:tc>
        <w:tc>
          <w:tcPr>
            <w:tcW w:w="630" w:type="dxa"/>
            <w:tcBorders>
              <w:top w:val="single" w:sz="6" w:space="0" w:color="auto"/>
              <w:left w:val="single" w:sz="6" w:space="0" w:color="auto"/>
              <w:bottom w:val="single" w:sz="6" w:space="0" w:color="auto"/>
              <w:right w:val="single" w:sz="6" w:space="0" w:color="auto"/>
            </w:tcBorders>
            <w:shd w:val="clear" w:color="auto" w:fill="auto"/>
            <w:noWrap/>
            <w:vAlign w:val="bottom"/>
            <w:hideMark/>
          </w:tcPr>
          <w:p w:rsidR="006F7B30" w:rsidRPr="005051AC" w:rsidRDefault="006F7B30" w:rsidP="005051AC">
            <w:pPr>
              <w:spacing w:before="60" w:after="60" w:line="240" w:lineRule="auto"/>
              <w:jc w:val="center"/>
              <w:rPr>
                <w:rFonts w:asciiTheme="minorHAnsi" w:hAnsiTheme="minorHAnsi" w:cstheme="minorHAnsi"/>
                <w:color w:val="000000"/>
                <w:sz w:val="20"/>
                <w:szCs w:val="20"/>
              </w:rPr>
            </w:pPr>
            <w:r w:rsidRPr="005051AC">
              <w:rPr>
                <w:rFonts w:asciiTheme="minorHAnsi" w:hAnsiTheme="minorHAnsi" w:cstheme="minorHAnsi"/>
                <w:color w:val="000000"/>
                <w:sz w:val="20"/>
                <w:szCs w:val="20"/>
              </w:rPr>
              <w:t>0.06</w:t>
            </w:r>
          </w:p>
        </w:tc>
        <w:tc>
          <w:tcPr>
            <w:tcW w:w="630" w:type="dxa"/>
            <w:tcBorders>
              <w:top w:val="single" w:sz="6" w:space="0" w:color="auto"/>
              <w:left w:val="single" w:sz="6" w:space="0" w:color="auto"/>
              <w:bottom w:val="single" w:sz="6" w:space="0" w:color="auto"/>
              <w:right w:val="single" w:sz="6" w:space="0" w:color="auto"/>
            </w:tcBorders>
            <w:shd w:val="clear" w:color="auto" w:fill="auto"/>
            <w:noWrap/>
            <w:vAlign w:val="bottom"/>
            <w:hideMark/>
          </w:tcPr>
          <w:p w:rsidR="006F7B30" w:rsidRPr="005051AC" w:rsidRDefault="006F7B30" w:rsidP="005051AC">
            <w:pPr>
              <w:spacing w:before="60" w:after="60" w:line="240" w:lineRule="auto"/>
              <w:jc w:val="center"/>
              <w:rPr>
                <w:rFonts w:asciiTheme="minorHAnsi" w:hAnsiTheme="minorHAnsi" w:cstheme="minorHAnsi"/>
                <w:color w:val="000000"/>
                <w:sz w:val="20"/>
                <w:szCs w:val="20"/>
              </w:rPr>
            </w:pPr>
            <w:r w:rsidRPr="005051AC">
              <w:rPr>
                <w:rFonts w:asciiTheme="minorHAnsi" w:hAnsiTheme="minorHAnsi" w:cstheme="minorHAnsi"/>
                <w:color w:val="000000"/>
                <w:sz w:val="20"/>
                <w:szCs w:val="20"/>
              </w:rPr>
              <w:t>0.07</w:t>
            </w:r>
          </w:p>
        </w:tc>
        <w:tc>
          <w:tcPr>
            <w:tcW w:w="571" w:type="dxa"/>
            <w:tcBorders>
              <w:top w:val="single" w:sz="6" w:space="0" w:color="auto"/>
              <w:left w:val="single" w:sz="6" w:space="0" w:color="auto"/>
              <w:bottom w:val="single" w:sz="6" w:space="0" w:color="auto"/>
              <w:right w:val="single" w:sz="6" w:space="0" w:color="auto"/>
            </w:tcBorders>
            <w:shd w:val="clear" w:color="auto" w:fill="auto"/>
            <w:noWrap/>
            <w:vAlign w:val="bottom"/>
            <w:hideMark/>
          </w:tcPr>
          <w:p w:rsidR="006F7B30" w:rsidRPr="005051AC" w:rsidRDefault="006F7B30" w:rsidP="005051AC">
            <w:pPr>
              <w:spacing w:before="60" w:after="60" w:line="240" w:lineRule="auto"/>
              <w:jc w:val="center"/>
              <w:rPr>
                <w:rFonts w:asciiTheme="minorHAnsi" w:hAnsiTheme="minorHAnsi" w:cstheme="minorHAnsi"/>
                <w:color w:val="000000"/>
                <w:sz w:val="20"/>
                <w:szCs w:val="20"/>
              </w:rPr>
            </w:pPr>
            <w:r w:rsidRPr="005051AC">
              <w:rPr>
                <w:rFonts w:asciiTheme="minorHAnsi" w:hAnsiTheme="minorHAnsi" w:cstheme="minorHAnsi"/>
                <w:color w:val="000000"/>
                <w:sz w:val="20"/>
                <w:szCs w:val="20"/>
              </w:rPr>
              <w:t>0.12</w:t>
            </w:r>
          </w:p>
        </w:tc>
        <w:tc>
          <w:tcPr>
            <w:tcW w:w="759" w:type="dxa"/>
            <w:tcBorders>
              <w:top w:val="single" w:sz="6" w:space="0" w:color="auto"/>
              <w:left w:val="single" w:sz="6" w:space="0" w:color="auto"/>
              <w:bottom w:val="single" w:sz="6" w:space="0" w:color="auto"/>
              <w:right w:val="single" w:sz="6" w:space="0" w:color="auto"/>
            </w:tcBorders>
            <w:shd w:val="clear" w:color="auto" w:fill="auto"/>
            <w:noWrap/>
            <w:vAlign w:val="bottom"/>
            <w:hideMark/>
          </w:tcPr>
          <w:p w:rsidR="006F7B30" w:rsidRPr="005051AC" w:rsidRDefault="006F7B30" w:rsidP="005051AC">
            <w:pPr>
              <w:spacing w:before="60" w:after="60" w:line="240" w:lineRule="auto"/>
              <w:jc w:val="center"/>
              <w:rPr>
                <w:rFonts w:asciiTheme="minorHAnsi" w:hAnsiTheme="minorHAnsi" w:cstheme="minorHAnsi"/>
                <w:color w:val="000000"/>
                <w:sz w:val="20"/>
                <w:szCs w:val="20"/>
              </w:rPr>
            </w:pPr>
            <w:r w:rsidRPr="005051AC">
              <w:rPr>
                <w:rFonts w:asciiTheme="minorHAnsi" w:hAnsiTheme="minorHAnsi" w:cstheme="minorHAnsi"/>
                <w:color w:val="000000"/>
                <w:sz w:val="20"/>
                <w:szCs w:val="20"/>
              </w:rPr>
              <w:t>0.79</w:t>
            </w:r>
          </w:p>
        </w:tc>
        <w:tc>
          <w:tcPr>
            <w:tcW w:w="744" w:type="dxa"/>
            <w:tcBorders>
              <w:top w:val="single" w:sz="6" w:space="0" w:color="auto"/>
              <w:left w:val="single" w:sz="6" w:space="0" w:color="auto"/>
              <w:bottom w:val="single" w:sz="6" w:space="0" w:color="auto"/>
              <w:right w:val="dotted" w:sz="4" w:space="0" w:color="auto"/>
            </w:tcBorders>
            <w:shd w:val="clear" w:color="auto" w:fill="auto"/>
            <w:noWrap/>
            <w:vAlign w:val="bottom"/>
            <w:hideMark/>
          </w:tcPr>
          <w:p w:rsidR="006F7B30" w:rsidRPr="005051AC" w:rsidRDefault="006F7B30" w:rsidP="005051AC">
            <w:pPr>
              <w:spacing w:before="60" w:after="60" w:line="240" w:lineRule="auto"/>
              <w:jc w:val="center"/>
              <w:rPr>
                <w:rFonts w:asciiTheme="minorHAnsi" w:hAnsiTheme="minorHAnsi" w:cstheme="minorHAnsi"/>
                <w:color w:val="000000"/>
                <w:sz w:val="20"/>
                <w:szCs w:val="20"/>
              </w:rPr>
            </w:pPr>
            <w:r w:rsidRPr="005051AC">
              <w:rPr>
                <w:rFonts w:asciiTheme="minorHAnsi" w:hAnsiTheme="minorHAnsi" w:cstheme="minorHAnsi"/>
                <w:color w:val="000000"/>
                <w:sz w:val="20"/>
                <w:szCs w:val="20"/>
              </w:rPr>
              <w:t>0.04</w:t>
            </w:r>
          </w:p>
        </w:tc>
      </w:tr>
      <w:tr w:rsidR="006F7B30" w:rsidRPr="005051AC" w:rsidTr="005051AC">
        <w:trPr>
          <w:trHeight w:val="300"/>
        </w:trPr>
        <w:tc>
          <w:tcPr>
            <w:tcW w:w="2212" w:type="dxa"/>
            <w:tcBorders>
              <w:top w:val="single" w:sz="6" w:space="0" w:color="auto"/>
              <w:left w:val="dotted" w:sz="4" w:space="0" w:color="auto"/>
              <w:bottom w:val="single" w:sz="6" w:space="0" w:color="auto"/>
              <w:right w:val="single" w:sz="6" w:space="0" w:color="auto"/>
            </w:tcBorders>
            <w:shd w:val="clear" w:color="auto" w:fill="auto"/>
            <w:noWrap/>
            <w:vAlign w:val="bottom"/>
            <w:hideMark/>
          </w:tcPr>
          <w:p w:rsidR="006F7B30" w:rsidRPr="005051AC" w:rsidRDefault="006F7B30" w:rsidP="005051AC">
            <w:pPr>
              <w:spacing w:before="60" w:after="60" w:line="240" w:lineRule="auto"/>
              <w:rPr>
                <w:rFonts w:asciiTheme="minorHAnsi" w:hAnsiTheme="minorHAnsi" w:cstheme="minorHAnsi"/>
                <w:color w:val="000000"/>
                <w:sz w:val="20"/>
                <w:szCs w:val="20"/>
              </w:rPr>
            </w:pPr>
            <w:r w:rsidRPr="005051AC">
              <w:rPr>
                <w:rFonts w:asciiTheme="minorHAnsi" w:hAnsiTheme="minorHAnsi" w:cstheme="minorHAnsi"/>
                <w:color w:val="000000"/>
                <w:sz w:val="20"/>
                <w:szCs w:val="20"/>
              </w:rPr>
              <w:t>WEST_NORTH_CENTRAL</w:t>
            </w:r>
          </w:p>
        </w:tc>
        <w:tc>
          <w:tcPr>
            <w:tcW w:w="630" w:type="dxa"/>
            <w:tcBorders>
              <w:top w:val="single" w:sz="6" w:space="0" w:color="auto"/>
              <w:left w:val="single" w:sz="6" w:space="0" w:color="auto"/>
              <w:bottom w:val="single" w:sz="6" w:space="0" w:color="auto"/>
              <w:right w:val="single" w:sz="6" w:space="0" w:color="auto"/>
            </w:tcBorders>
            <w:shd w:val="clear" w:color="auto" w:fill="auto"/>
            <w:noWrap/>
            <w:vAlign w:val="bottom"/>
            <w:hideMark/>
          </w:tcPr>
          <w:p w:rsidR="006F7B30" w:rsidRPr="005051AC" w:rsidRDefault="006F7B30" w:rsidP="005051AC">
            <w:pPr>
              <w:spacing w:before="60" w:after="60" w:line="240" w:lineRule="auto"/>
              <w:jc w:val="center"/>
              <w:rPr>
                <w:rFonts w:asciiTheme="minorHAnsi" w:hAnsiTheme="minorHAnsi" w:cstheme="minorHAnsi"/>
                <w:color w:val="000000"/>
                <w:sz w:val="20"/>
                <w:szCs w:val="20"/>
              </w:rPr>
            </w:pPr>
            <w:r w:rsidRPr="005051AC">
              <w:rPr>
                <w:rFonts w:asciiTheme="minorHAnsi" w:hAnsiTheme="minorHAnsi" w:cstheme="minorHAnsi"/>
                <w:color w:val="000000"/>
                <w:sz w:val="20"/>
                <w:szCs w:val="20"/>
              </w:rPr>
              <w:t>0.10</w:t>
            </w:r>
          </w:p>
        </w:tc>
        <w:tc>
          <w:tcPr>
            <w:tcW w:w="627" w:type="dxa"/>
            <w:tcBorders>
              <w:top w:val="single" w:sz="6" w:space="0" w:color="auto"/>
              <w:left w:val="single" w:sz="6" w:space="0" w:color="auto"/>
              <w:bottom w:val="single" w:sz="6" w:space="0" w:color="auto"/>
              <w:right w:val="single" w:sz="6" w:space="0" w:color="auto"/>
            </w:tcBorders>
            <w:shd w:val="clear" w:color="auto" w:fill="auto"/>
            <w:noWrap/>
            <w:vAlign w:val="bottom"/>
            <w:hideMark/>
          </w:tcPr>
          <w:p w:rsidR="006F7B30" w:rsidRPr="005051AC" w:rsidRDefault="006F7B30" w:rsidP="005051AC">
            <w:pPr>
              <w:spacing w:before="60" w:after="60" w:line="240" w:lineRule="auto"/>
              <w:jc w:val="center"/>
              <w:rPr>
                <w:rFonts w:asciiTheme="minorHAnsi" w:hAnsiTheme="minorHAnsi" w:cstheme="minorHAnsi"/>
                <w:color w:val="000000"/>
                <w:sz w:val="20"/>
                <w:szCs w:val="20"/>
              </w:rPr>
            </w:pPr>
            <w:r w:rsidRPr="005051AC">
              <w:rPr>
                <w:rFonts w:asciiTheme="minorHAnsi" w:hAnsiTheme="minorHAnsi" w:cstheme="minorHAnsi"/>
                <w:color w:val="000000"/>
                <w:sz w:val="20"/>
                <w:szCs w:val="20"/>
              </w:rPr>
              <w:t>0.08</w:t>
            </w:r>
          </w:p>
        </w:tc>
        <w:tc>
          <w:tcPr>
            <w:tcW w:w="630" w:type="dxa"/>
            <w:tcBorders>
              <w:top w:val="single" w:sz="6" w:space="0" w:color="auto"/>
              <w:left w:val="single" w:sz="6" w:space="0" w:color="auto"/>
              <w:bottom w:val="single" w:sz="6" w:space="0" w:color="auto"/>
              <w:right w:val="single" w:sz="6" w:space="0" w:color="auto"/>
            </w:tcBorders>
            <w:shd w:val="clear" w:color="auto" w:fill="auto"/>
            <w:noWrap/>
            <w:vAlign w:val="bottom"/>
            <w:hideMark/>
          </w:tcPr>
          <w:p w:rsidR="006F7B30" w:rsidRPr="005051AC" w:rsidRDefault="006F7B30" w:rsidP="005051AC">
            <w:pPr>
              <w:spacing w:before="60" w:after="60" w:line="240" w:lineRule="auto"/>
              <w:jc w:val="center"/>
              <w:rPr>
                <w:rFonts w:asciiTheme="minorHAnsi" w:hAnsiTheme="minorHAnsi" w:cstheme="minorHAnsi"/>
                <w:color w:val="000000"/>
                <w:sz w:val="20"/>
                <w:szCs w:val="20"/>
              </w:rPr>
            </w:pPr>
            <w:r w:rsidRPr="005051AC">
              <w:rPr>
                <w:rFonts w:asciiTheme="minorHAnsi" w:hAnsiTheme="minorHAnsi" w:cstheme="minorHAnsi"/>
                <w:color w:val="000000"/>
                <w:sz w:val="20"/>
                <w:szCs w:val="20"/>
              </w:rPr>
              <w:t>0.16</w:t>
            </w:r>
          </w:p>
        </w:tc>
        <w:tc>
          <w:tcPr>
            <w:tcW w:w="759" w:type="dxa"/>
            <w:tcBorders>
              <w:top w:val="single" w:sz="6" w:space="0" w:color="auto"/>
              <w:left w:val="single" w:sz="6" w:space="0" w:color="auto"/>
              <w:bottom w:val="single" w:sz="6" w:space="0" w:color="auto"/>
              <w:right w:val="single" w:sz="6" w:space="0" w:color="auto"/>
            </w:tcBorders>
            <w:shd w:val="clear" w:color="auto" w:fill="auto"/>
            <w:noWrap/>
            <w:vAlign w:val="bottom"/>
            <w:hideMark/>
          </w:tcPr>
          <w:p w:rsidR="006F7B30" w:rsidRPr="005051AC" w:rsidRDefault="006F7B30" w:rsidP="005051AC">
            <w:pPr>
              <w:spacing w:before="60" w:after="60" w:line="240" w:lineRule="auto"/>
              <w:jc w:val="center"/>
              <w:rPr>
                <w:rFonts w:asciiTheme="minorHAnsi" w:hAnsiTheme="minorHAnsi" w:cstheme="minorHAnsi"/>
                <w:color w:val="000000"/>
                <w:sz w:val="20"/>
                <w:szCs w:val="20"/>
              </w:rPr>
            </w:pPr>
            <w:r w:rsidRPr="005051AC">
              <w:rPr>
                <w:rFonts w:asciiTheme="minorHAnsi" w:hAnsiTheme="minorHAnsi" w:cstheme="minorHAnsi"/>
                <w:color w:val="000000"/>
                <w:sz w:val="20"/>
                <w:szCs w:val="20"/>
              </w:rPr>
              <w:t>0.00</w:t>
            </w:r>
          </w:p>
        </w:tc>
        <w:tc>
          <w:tcPr>
            <w:tcW w:w="744" w:type="dxa"/>
            <w:tcBorders>
              <w:top w:val="single" w:sz="6" w:space="0" w:color="auto"/>
              <w:left w:val="single" w:sz="6" w:space="0" w:color="auto"/>
              <w:bottom w:val="single" w:sz="6" w:space="0" w:color="auto"/>
              <w:right w:val="single" w:sz="6" w:space="0" w:color="auto"/>
            </w:tcBorders>
            <w:shd w:val="clear" w:color="auto" w:fill="auto"/>
            <w:noWrap/>
            <w:vAlign w:val="bottom"/>
            <w:hideMark/>
          </w:tcPr>
          <w:p w:rsidR="006F7B30" w:rsidRPr="005051AC" w:rsidRDefault="006F7B30" w:rsidP="005051AC">
            <w:pPr>
              <w:spacing w:before="60" w:after="60" w:line="240" w:lineRule="auto"/>
              <w:jc w:val="center"/>
              <w:rPr>
                <w:rFonts w:asciiTheme="minorHAnsi" w:hAnsiTheme="minorHAnsi" w:cstheme="minorHAnsi"/>
                <w:color w:val="000000"/>
                <w:sz w:val="20"/>
                <w:szCs w:val="20"/>
              </w:rPr>
            </w:pPr>
            <w:r w:rsidRPr="005051AC">
              <w:rPr>
                <w:rFonts w:asciiTheme="minorHAnsi" w:hAnsiTheme="minorHAnsi" w:cstheme="minorHAnsi"/>
                <w:color w:val="000000"/>
                <w:sz w:val="20"/>
                <w:szCs w:val="20"/>
              </w:rPr>
              <w:t>0.07</w:t>
            </w:r>
          </w:p>
        </w:tc>
        <w:tc>
          <w:tcPr>
            <w:tcW w:w="222" w:type="dxa"/>
            <w:tcBorders>
              <w:top w:val="single" w:sz="6" w:space="0" w:color="auto"/>
              <w:left w:val="single" w:sz="6" w:space="0" w:color="auto"/>
              <w:bottom w:val="single" w:sz="6" w:space="0" w:color="auto"/>
              <w:right w:val="single" w:sz="6" w:space="0" w:color="auto"/>
            </w:tcBorders>
          </w:tcPr>
          <w:p w:rsidR="006F7B30" w:rsidRPr="005051AC" w:rsidRDefault="006F7B30" w:rsidP="005051AC">
            <w:pPr>
              <w:spacing w:before="60" w:after="60" w:line="240" w:lineRule="auto"/>
              <w:jc w:val="center"/>
              <w:rPr>
                <w:rFonts w:asciiTheme="minorHAnsi" w:hAnsiTheme="minorHAnsi" w:cstheme="minorHAnsi"/>
                <w:color w:val="000000"/>
                <w:sz w:val="20"/>
                <w:szCs w:val="20"/>
              </w:rPr>
            </w:pPr>
          </w:p>
        </w:tc>
        <w:tc>
          <w:tcPr>
            <w:tcW w:w="630" w:type="dxa"/>
            <w:tcBorders>
              <w:top w:val="single" w:sz="6" w:space="0" w:color="auto"/>
              <w:left w:val="single" w:sz="6" w:space="0" w:color="auto"/>
              <w:bottom w:val="single" w:sz="6" w:space="0" w:color="auto"/>
              <w:right w:val="single" w:sz="6" w:space="0" w:color="auto"/>
            </w:tcBorders>
            <w:shd w:val="clear" w:color="auto" w:fill="auto"/>
            <w:noWrap/>
            <w:vAlign w:val="bottom"/>
            <w:hideMark/>
          </w:tcPr>
          <w:p w:rsidR="006F7B30" w:rsidRPr="005051AC" w:rsidRDefault="006F7B30" w:rsidP="005051AC">
            <w:pPr>
              <w:spacing w:before="60" w:after="60" w:line="240" w:lineRule="auto"/>
              <w:jc w:val="center"/>
              <w:rPr>
                <w:rFonts w:asciiTheme="minorHAnsi" w:hAnsiTheme="minorHAnsi" w:cstheme="minorHAnsi"/>
                <w:color w:val="000000"/>
                <w:sz w:val="20"/>
                <w:szCs w:val="20"/>
              </w:rPr>
            </w:pPr>
            <w:r w:rsidRPr="005051AC">
              <w:rPr>
                <w:rFonts w:asciiTheme="minorHAnsi" w:hAnsiTheme="minorHAnsi" w:cstheme="minorHAnsi"/>
                <w:color w:val="000000"/>
                <w:sz w:val="20"/>
                <w:szCs w:val="20"/>
              </w:rPr>
              <w:t>0.15</w:t>
            </w:r>
          </w:p>
        </w:tc>
        <w:tc>
          <w:tcPr>
            <w:tcW w:w="630" w:type="dxa"/>
            <w:tcBorders>
              <w:top w:val="single" w:sz="6" w:space="0" w:color="auto"/>
              <w:left w:val="single" w:sz="6" w:space="0" w:color="auto"/>
              <w:bottom w:val="single" w:sz="6" w:space="0" w:color="auto"/>
              <w:right w:val="single" w:sz="6" w:space="0" w:color="auto"/>
            </w:tcBorders>
            <w:shd w:val="clear" w:color="auto" w:fill="auto"/>
            <w:noWrap/>
            <w:vAlign w:val="bottom"/>
            <w:hideMark/>
          </w:tcPr>
          <w:p w:rsidR="006F7B30" w:rsidRPr="005051AC" w:rsidRDefault="006F7B30" w:rsidP="005051AC">
            <w:pPr>
              <w:spacing w:before="60" w:after="60" w:line="240" w:lineRule="auto"/>
              <w:jc w:val="center"/>
              <w:rPr>
                <w:rFonts w:asciiTheme="minorHAnsi" w:hAnsiTheme="minorHAnsi" w:cstheme="minorHAnsi"/>
                <w:color w:val="000000"/>
                <w:sz w:val="20"/>
                <w:szCs w:val="20"/>
              </w:rPr>
            </w:pPr>
            <w:r w:rsidRPr="005051AC">
              <w:rPr>
                <w:rFonts w:asciiTheme="minorHAnsi" w:hAnsiTheme="minorHAnsi" w:cstheme="minorHAnsi"/>
                <w:color w:val="000000"/>
                <w:sz w:val="20"/>
                <w:szCs w:val="20"/>
              </w:rPr>
              <w:t>0.17</w:t>
            </w:r>
          </w:p>
        </w:tc>
        <w:tc>
          <w:tcPr>
            <w:tcW w:w="571" w:type="dxa"/>
            <w:tcBorders>
              <w:top w:val="single" w:sz="6" w:space="0" w:color="auto"/>
              <w:left w:val="single" w:sz="6" w:space="0" w:color="auto"/>
              <w:bottom w:val="single" w:sz="6" w:space="0" w:color="auto"/>
              <w:right w:val="single" w:sz="6" w:space="0" w:color="auto"/>
            </w:tcBorders>
            <w:shd w:val="clear" w:color="auto" w:fill="auto"/>
            <w:noWrap/>
            <w:vAlign w:val="bottom"/>
            <w:hideMark/>
          </w:tcPr>
          <w:p w:rsidR="006F7B30" w:rsidRPr="005051AC" w:rsidRDefault="006F7B30" w:rsidP="005051AC">
            <w:pPr>
              <w:spacing w:before="60" w:after="60" w:line="240" w:lineRule="auto"/>
              <w:jc w:val="center"/>
              <w:rPr>
                <w:rFonts w:asciiTheme="minorHAnsi" w:hAnsiTheme="minorHAnsi" w:cstheme="minorHAnsi"/>
                <w:color w:val="000000"/>
                <w:sz w:val="20"/>
                <w:szCs w:val="20"/>
              </w:rPr>
            </w:pPr>
            <w:r w:rsidRPr="005051AC">
              <w:rPr>
                <w:rFonts w:asciiTheme="minorHAnsi" w:hAnsiTheme="minorHAnsi" w:cstheme="minorHAnsi"/>
                <w:color w:val="000000"/>
                <w:sz w:val="20"/>
                <w:szCs w:val="20"/>
              </w:rPr>
              <w:t>0.23</w:t>
            </w:r>
          </w:p>
        </w:tc>
        <w:tc>
          <w:tcPr>
            <w:tcW w:w="759" w:type="dxa"/>
            <w:tcBorders>
              <w:top w:val="single" w:sz="6" w:space="0" w:color="auto"/>
              <w:left w:val="single" w:sz="6" w:space="0" w:color="auto"/>
              <w:bottom w:val="single" w:sz="6" w:space="0" w:color="auto"/>
              <w:right w:val="single" w:sz="6" w:space="0" w:color="auto"/>
            </w:tcBorders>
            <w:shd w:val="clear" w:color="auto" w:fill="auto"/>
            <w:noWrap/>
            <w:vAlign w:val="bottom"/>
            <w:hideMark/>
          </w:tcPr>
          <w:p w:rsidR="006F7B30" w:rsidRPr="005051AC" w:rsidRDefault="006F7B30" w:rsidP="005051AC">
            <w:pPr>
              <w:spacing w:before="60" w:after="60" w:line="240" w:lineRule="auto"/>
              <w:jc w:val="center"/>
              <w:rPr>
                <w:rFonts w:asciiTheme="minorHAnsi" w:hAnsiTheme="minorHAnsi" w:cstheme="minorHAnsi"/>
                <w:color w:val="000000"/>
                <w:sz w:val="20"/>
                <w:szCs w:val="20"/>
              </w:rPr>
            </w:pPr>
            <w:r w:rsidRPr="005051AC">
              <w:rPr>
                <w:rFonts w:asciiTheme="minorHAnsi" w:hAnsiTheme="minorHAnsi" w:cstheme="minorHAnsi"/>
                <w:color w:val="000000"/>
                <w:sz w:val="20"/>
                <w:szCs w:val="20"/>
              </w:rPr>
              <w:t>0.00</w:t>
            </w:r>
          </w:p>
        </w:tc>
        <w:tc>
          <w:tcPr>
            <w:tcW w:w="744" w:type="dxa"/>
            <w:tcBorders>
              <w:top w:val="single" w:sz="6" w:space="0" w:color="auto"/>
              <w:left w:val="single" w:sz="6" w:space="0" w:color="auto"/>
              <w:bottom w:val="single" w:sz="6" w:space="0" w:color="auto"/>
              <w:right w:val="dotted" w:sz="4" w:space="0" w:color="auto"/>
            </w:tcBorders>
            <w:shd w:val="clear" w:color="auto" w:fill="auto"/>
            <w:noWrap/>
            <w:vAlign w:val="bottom"/>
            <w:hideMark/>
          </w:tcPr>
          <w:p w:rsidR="006F7B30" w:rsidRPr="005051AC" w:rsidRDefault="006F7B30" w:rsidP="005051AC">
            <w:pPr>
              <w:spacing w:before="60" w:after="60" w:line="240" w:lineRule="auto"/>
              <w:jc w:val="center"/>
              <w:rPr>
                <w:rFonts w:asciiTheme="minorHAnsi" w:hAnsiTheme="minorHAnsi" w:cstheme="minorHAnsi"/>
                <w:color w:val="000000"/>
                <w:sz w:val="20"/>
                <w:szCs w:val="20"/>
              </w:rPr>
            </w:pPr>
            <w:r w:rsidRPr="005051AC">
              <w:rPr>
                <w:rFonts w:asciiTheme="minorHAnsi" w:hAnsiTheme="minorHAnsi" w:cstheme="minorHAnsi"/>
                <w:color w:val="000000"/>
                <w:sz w:val="20"/>
                <w:szCs w:val="20"/>
              </w:rPr>
              <w:t>0.10</w:t>
            </w:r>
          </w:p>
        </w:tc>
      </w:tr>
      <w:tr w:rsidR="006F7B30" w:rsidRPr="005051AC" w:rsidTr="005051AC">
        <w:trPr>
          <w:trHeight w:val="300"/>
        </w:trPr>
        <w:tc>
          <w:tcPr>
            <w:tcW w:w="2212" w:type="dxa"/>
            <w:tcBorders>
              <w:top w:val="single" w:sz="6" w:space="0" w:color="auto"/>
              <w:left w:val="dotted" w:sz="4" w:space="0" w:color="auto"/>
              <w:bottom w:val="single" w:sz="6" w:space="0" w:color="auto"/>
              <w:right w:val="single" w:sz="6" w:space="0" w:color="auto"/>
            </w:tcBorders>
            <w:shd w:val="clear" w:color="auto" w:fill="auto"/>
            <w:noWrap/>
            <w:vAlign w:val="bottom"/>
            <w:hideMark/>
          </w:tcPr>
          <w:p w:rsidR="006F7B30" w:rsidRPr="005051AC" w:rsidRDefault="006F7B30" w:rsidP="005051AC">
            <w:pPr>
              <w:spacing w:before="60" w:after="60" w:line="240" w:lineRule="auto"/>
              <w:rPr>
                <w:rFonts w:asciiTheme="minorHAnsi" w:hAnsiTheme="minorHAnsi" w:cstheme="minorHAnsi"/>
                <w:color w:val="000000"/>
                <w:sz w:val="20"/>
                <w:szCs w:val="20"/>
              </w:rPr>
            </w:pPr>
            <w:r w:rsidRPr="005051AC">
              <w:rPr>
                <w:rFonts w:asciiTheme="minorHAnsi" w:hAnsiTheme="minorHAnsi" w:cstheme="minorHAnsi"/>
                <w:color w:val="000000"/>
                <w:sz w:val="20"/>
                <w:szCs w:val="20"/>
              </w:rPr>
              <w:t>WEST_SOUTH_CENTRAL</w:t>
            </w:r>
          </w:p>
        </w:tc>
        <w:tc>
          <w:tcPr>
            <w:tcW w:w="630" w:type="dxa"/>
            <w:tcBorders>
              <w:top w:val="single" w:sz="6" w:space="0" w:color="auto"/>
              <w:left w:val="single" w:sz="6" w:space="0" w:color="auto"/>
              <w:bottom w:val="single" w:sz="6" w:space="0" w:color="auto"/>
              <w:right w:val="single" w:sz="6" w:space="0" w:color="auto"/>
            </w:tcBorders>
            <w:shd w:val="clear" w:color="auto" w:fill="auto"/>
            <w:noWrap/>
            <w:vAlign w:val="bottom"/>
            <w:hideMark/>
          </w:tcPr>
          <w:p w:rsidR="006F7B30" w:rsidRPr="005051AC" w:rsidRDefault="006F7B30" w:rsidP="005051AC">
            <w:pPr>
              <w:spacing w:before="60" w:after="60" w:line="240" w:lineRule="auto"/>
              <w:jc w:val="center"/>
              <w:rPr>
                <w:rFonts w:asciiTheme="minorHAnsi" w:hAnsiTheme="minorHAnsi" w:cstheme="minorHAnsi"/>
                <w:color w:val="000000"/>
                <w:sz w:val="20"/>
                <w:szCs w:val="20"/>
              </w:rPr>
            </w:pPr>
            <w:r w:rsidRPr="005051AC">
              <w:rPr>
                <w:rFonts w:asciiTheme="minorHAnsi" w:hAnsiTheme="minorHAnsi" w:cstheme="minorHAnsi"/>
                <w:color w:val="000000"/>
                <w:sz w:val="20"/>
                <w:szCs w:val="20"/>
              </w:rPr>
              <w:t>0.05</w:t>
            </w:r>
          </w:p>
        </w:tc>
        <w:tc>
          <w:tcPr>
            <w:tcW w:w="627" w:type="dxa"/>
            <w:tcBorders>
              <w:top w:val="single" w:sz="6" w:space="0" w:color="auto"/>
              <w:left w:val="single" w:sz="6" w:space="0" w:color="auto"/>
              <w:bottom w:val="single" w:sz="6" w:space="0" w:color="auto"/>
              <w:right w:val="single" w:sz="6" w:space="0" w:color="auto"/>
            </w:tcBorders>
            <w:shd w:val="clear" w:color="auto" w:fill="auto"/>
            <w:noWrap/>
            <w:vAlign w:val="bottom"/>
            <w:hideMark/>
          </w:tcPr>
          <w:p w:rsidR="006F7B30" w:rsidRPr="005051AC" w:rsidRDefault="006F7B30" w:rsidP="005051AC">
            <w:pPr>
              <w:spacing w:before="60" w:after="60" w:line="240" w:lineRule="auto"/>
              <w:jc w:val="center"/>
              <w:rPr>
                <w:rFonts w:asciiTheme="minorHAnsi" w:hAnsiTheme="minorHAnsi" w:cstheme="minorHAnsi"/>
                <w:color w:val="000000"/>
                <w:sz w:val="20"/>
                <w:szCs w:val="20"/>
              </w:rPr>
            </w:pPr>
            <w:r w:rsidRPr="005051AC">
              <w:rPr>
                <w:rFonts w:asciiTheme="minorHAnsi" w:hAnsiTheme="minorHAnsi" w:cstheme="minorHAnsi"/>
                <w:color w:val="000000"/>
                <w:sz w:val="20"/>
                <w:szCs w:val="20"/>
              </w:rPr>
              <w:t>0.56</w:t>
            </w:r>
          </w:p>
        </w:tc>
        <w:tc>
          <w:tcPr>
            <w:tcW w:w="630" w:type="dxa"/>
            <w:tcBorders>
              <w:top w:val="single" w:sz="6" w:space="0" w:color="auto"/>
              <w:left w:val="single" w:sz="6" w:space="0" w:color="auto"/>
              <w:bottom w:val="single" w:sz="6" w:space="0" w:color="auto"/>
              <w:right w:val="single" w:sz="6" w:space="0" w:color="auto"/>
            </w:tcBorders>
            <w:shd w:val="clear" w:color="auto" w:fill="auto"/>
            <w:noWrap/>
            <w:vAlign w:val="bottom"/>
            <w:hideMark/>
          </w:tcPr>
          <w:p w:rsidR="006F7B30" w:rsidRPr="005051AC" w:rsidRDefault="006F7B30" w:rsidP="005051AC">
            <w:pPr>
              <w:spacing w:before="60" w:after="60" w:line="240" w:lineRule="auto"/>
              <w:jc w:val="center"/>
              <w:rPr>
                <w:rFonts w:asciiTheme="minorHAnsi" w:hAnsiTheme="minorHAnsi" w:cstheme="minorHAnsi"/>
                <w:color w:val="000000"/>
                <w:sz w:val="20"/>
                <w:szCs w:val="20"/>
              </w:rPr>
            </w:pPr>
            <w:r w:rsidRPr="005051AC">
              <w:rPr>
                <w:rFonts w:asciiTheme="minorHAnsi" w:hAnsiTheme="minorHAnsi" w:cstheme="minorHAnsi"/>
                <w:color w:val="000000"/>
                <w:sz w:val="20"/>
                <w:szCs w:val="20"/>
              </w:rPr>
              <w:t>0.15</w:t>
            </w:r>
          </w:p>
        </w:tc>
        <w:tc>
          <w:tcPr>
            <w:tcW w:w="759" w:type="dxa"/>
            <w:tcBorders>
              <w:top w:val="single" w:sz="6" w:space="0" w:color="auto"/>
              <w:left w:val="single" w:sz="6" w:space="0" w:color="auto"/>
              <w:bottom w:val="single" w:sz="6" w:space="0" w:color="auto"/>
              <w:right w:val="single" w:sz="6" w:space="0" w:color="auto"/>
            </w:tcBorders>
            <w:shd w:val="clear" w:color="auto" w:fill="auto"/>
            <w:noWrap/>
            <w:vAlign w:val="bottom"/>
            <w:hideMark/>
          </w:tcPr>
          <w:p w:rsidR="006F7B30" w:rsidRPr="005051AC" w:rsidRDefault="006F7B30" w:rsidP="005051AC">
            <w:pPr>
              <w:spacing w:before="60" w:after="60" w:line="240" w:lineRule="auto"/>
              <w:jc w:val="center"/>
              <w:rPr>
                <w:rFonts w:asciiTheme="minorHAnsi" w:hAnsiTheme="minorHAnsi" w:cstheme="minorHAnsi"/>
                <w:color w:val="000000"/>
                <w:sz w:val="20"/>
                <w:szCs w:val="20"/>
              </w:rPr>
            </w:pPr>
            <w:r w:rsidRPr="005051AC">
              <w:rPr>
                <w:rFonts w:asciiTheme="minorHAnsi" w:hAnsiTheme="minorHAnsi" w:cstheme="minorHAnsi"/>
                <w:color w:val="000000"/>
                <w:sz w:val="20"/>
                <w:szCs w:val="20"/>
              </w:rPr>
              <w:t>0.00</w:t>
            </w:r>
          </w:p>
        </w:tc>
        <w:tc>
          <w:tcPr>
            <w:tcW w:w="744" w:type="dxa"/>
            <w:tcBorders>
              <w:top w:val="single" w:sz="6" w:space="0" w:color="auto"/>
              <w:left w:val="single" w:sz="6" w:space="0" w:color="auto"/>
              <w:bottom w:val="single" w:sz="6" w:space="0" w:color="auto"/>
              <w:right w:val="single" w:sz="6" w:space="0" w:color="auto"/>
            </w:tcBorders>
            <w:shd w:val="clear" w:color="auto" w:fill="auto"/>
            <w:noWrap/>
            <w:vAlign w:val="bottom"/>
            <w:hideMark/>
          </w:tcPr>
          <w:p w:rsidR="006F7B30" w:rsidRPr="005051AC" w:rsidRDefault="006F7B30" w:rsidP="005051AC">
            <w:pPr>
              <w:spacing w:before="60" w:after="60" w:line="240" w:lineRule="auto"/>
              <w:jc w:val="center"/>
              <w:rPr>
                <w:rFonts w:asciiTheme="minorHAnsi" w:hAnsiTheme="minorHAnsi" w:cstheme="minorHAnsi"/>
                <w:color w:val="000000"/>
                <w:sz w:val="20"/>
                <w:szCs w:val="20"/>
              </w:rPr>
            </w:pPr>
            <w:r w:rsidRPr="005051AC">
              <w:rPr>
                <w:rFonts w:asciiTheme="minorHAnsi" w:hAnsiTheme="minorHAnsi" w:cstheme="minorHAnsi"/>
                <w:color w:val="000000"/>
                <w:sz w:val="20"/>
                <w:szCs w:val="20"/>
              </w:rPr>
              <w:t>0.20</w:t>
            </w:r>
          </w:p>
        </w:tc>
        <w:tc>
          <w:tcPr>
            <w:tcW w:w="222" w:type="dxa"/>
            <w:tcBorders>
              <w:top w:val="single" w:sz="6" w:space="0" w:color="auto"/>
              <w:left w:val="single" w:sz="6" w:space="0" w:color="auto"/>
              <w:bottom w:val="single" w:sz="6" w:space="0" w:color="auto"/>
              <w:right w:val="single" w:sz="6" w:space="0" w:color="auto"/>
            </w:tcBorders>
          </w:tcPr>
          <w:p w:rsidR="006F7B30" w:rsidRPr="005051AC" w:rsidRDefault="006F7B30" w:rsidP="005051AC">
            <w:pPr>
              <w:spacing w:before="60" w:after="60" w:line="240" w:lineRule="auto"/>
              <w:jc w:val="center"/>
              <w:rPr>
                <w:rFonts w:asciiTheme="minorHAnsi" w:hAnsiTheme="minorHAnsi" w:cstheme="minorHAnsi"/>
                <w:color w:val="000000"/>
                <w:sz w:val="20"/>
                <w:szCs w:val="20"/>
              </w:rPr>
            </w:pPr>
          </w:p>
        </w:tc>
        <w:tc>
          <w:tcPr>
            <w:tcW w:w="630" w:type="dxa"/>
            <w:tcBorders>
              <w:top w:val="single" w:sz="6" w:space="0" w:color="auto"/>
              <w:left w:val="single" w:sz="6" w:space="0" w:color="auto"/>
              <w:bottom w:val="single" w:sz="6" w:space="0" w:color="auto"/>
              <w:right w:val="single" w:sz="6" w:space="0" w:color="auto"/>
            </w:tcBorders>
            <w:shd w:val="clear" w:color="auto" w:fill="auto"/>
            <w:noWrap/>
            <w:vAlign w:val="bottom"/>
            <w:hideMark/>
          </w:tcPr>
          <w:p w:rsidR="006F7B30" w:rsidRPr="005051AC" w:rsidRDefault="006F7B30" w:rsidP="005051AC">
            <w:pPr>
              <w:spacing w:before="60" w:after="60" w:line="240" w:lineRule="auto"/>
              <w:jc w:val="center"/>
              <w:rPr>
                <w:rFonts w:asciiTheme="minorHAnsi" w:hAnsiTheme="minorHAnsi" w:cstheme="minorHAnsi"/>
                <w:color w:val="000000"/>
                <w:sz w:val="20"/>
                <w:szCs w:val="20"/>
              </w:rPr>
            </w:pPr>
            <w:r w:rsidRPr="005051AC">
              <w:rPr>
                <w:rFonts w:asciiTheme="minorHAnsi" w:hAnsiTheme="minorHAnsi" w:cstheme="minorHAnsi"/>
                <w:color w:val="000000"/>
                <w:sz w:val="20"/>
                <w:szCs w:val="20"/>
              </w:rPr>
              <w:t>0.05</w:t>
            </w:r>
          </w:p>
        </w:tc>
        <w:tc>
          <w:tcPr>
            <w:tcW w:w="630" w:type="dxa"/>
            <w:tcBorders>
              <w:top w:val="single" w:sz="6" w:space="0" w:color="auto"/>
              <w:left w:val="single" w:sz="6" w:space="0" w:color="auto"/>
              <w:bottom w:val="single" w:sz="6" w:space="0" w:color="auto"/>
              <w:right w:val="single" w:sz="6" w:space="0" w:color="auto"/>
            </w:tcBorders>
            <w:shd w:val="clear" w:color="auto" w:fill="auto"/>
            <w:noWrap/>
            <w:vAlign w:val="bottom"/>
            <w:hideMark/>
          </w:tcPr>
          <w:p w:rsidR="006F7B30" w:rsidRPr="005051AC" w:rsidRDefault="006F7B30" w:rsidP="005051AC">
            <w:pPr>
              <w:spacing w:before="60" w:after="60" w:line="240" w:lineRule="auto"/>
              <w:jc w:val="center"/>
              <w:rPr>
                <w:rFonts w:asciiTheme="minorHAnsi" w:hAnsiTheme="minorHAnsi" w:cstheme="minorHAnsi"/>
                <w:color w:val="000000"/>
                <w:sz w:val="20"/>
                <w:szCs w:val="20"/>
              </w:rPr>
            </w:pPr>
            <w:r w:rsidRPr="005051AC">
              <w:rPr>
                <w:rFonts w:asciiTheme="minorHAnsi" w:hAnsiTheme="minorHAnsi" w:cstheme="minorHAnsi"/>
                <w:color w:val="000000"/>
                <w:sz w:val="20"/>
                <w:szCs w:val="20"/>
              </w:rPr>
              <w:t>0.60</w:t>
            </w:r>
          </w:p>
        </w:tc>
        <w:tc>
          <w:tcPr>
            <w:tcW w:w="571" w:type="dxa"/>
            <w:tcBorders>
              <w:top w:val="single" w:sz="6" w:space="0" w:color="auto"/>
              <w:left w:val="single" w:sz="6" w:space="0" w:color="auto"/>
              <w:bottom w:val="single" w:sz="6" w:space="0" w:color="auto"/>
              <w:right w:val="single" w:sz="6" w:space="0" w:color="auto"/>
            </w:tcBorders>
            <w:shd w:val="clear" w:color="auto" w:fill="auto"/>
            <w:noWrap/>
            <w:vAlign w:val="bottom"/>
            <w:hideMark/>
          </w:tcPr>
          <w:p w:rsidR="006F7B30" w:rsidRPr="005051AC" w:rsidRDefault="006F7B30" w:rsidP="005051AC">
            <w:pPr>
              <w:spacing w:before="60" w:after="60" w:line="240" w:lineRule="auto"/>
              <w:jc w:val="center"/>
              <w:rPr>
                <w:rFonts w:asciiTheme="minorHAnsi" w:hAnsiTheme="minorHAnsi" w:cstheme="minorHAnsi"/>
                <w:color w:val="000000"/>
                <w:sz w:val="20"/>
                <w:szCs w:val="20"/>
              </w:rPr>
            </w:pPr>
            <w:r w:rsidRPr="005051AC">
              <w:rPr>
                <w:rFonts w:asciiTheme="minorHAnsi" w:hAnsiTheme="minorHAnsi" w:cstheme="minorHAnsi"/>
                <w:color w:val="000000"/>
                <w:sz w:val="20"/>
                <w:szCs w:val="20"/>
              </w:rPr>
              <w:t>0.14</w:t>
            </w:r>
          </w:p>
        </w:tc>
        <w:tc>
          <w:tcPr>
            <w:tcW w:w="759" w:type="dxa"/>
            <w:tcBorders>
              <w:top w:val="single" w:sz="6" w:space="0" w:color="auto"/>
              <w:left w:val="single" w:sz="6" w:space="0" w:color="auto"/>
              <w:bottom w:val="single" w:sz="6" w:space="0" w:color="auto"/>
              <w:right w:val="single" w:sz="6" w:space="0" w:color="auto"/>
            </w:tcBorders>
            <w:shd w:val="clear" w:color="auto" w:fill="auto"/>
            <w:noWrap/>
            <w:vAlign w:val="bottom"/>
            <w:hideMark/>
          </w:tcPr>
          <w:p w:rsidR="006F7B30" w:rsidRPr="005051AC" w:rsidRDefault="006F7B30" w:rsidP="005051AC">
            <w:pPr>
              <w:spacing w:before="60" w:after="60" w:line="240" w:lineRule="auto"/>
              <w:jc w:val="center"/>
              <w:rPr>
                <w:rFonts w:asciiTheme="minorHAnsi" w:hAnsiTheme="minorHAnsi" w:cstheme="minorHAnsi"/>
                <w:color w:val="000000"/>
                <w:sz w:val="20"/>
                <w:szCs w:val="20"/>
              </w:rPr>
            </w:pPr>
            <w:r w:rsidRPr="005051AC">
              <w:rPr>
                <w:rFonts w:asciiTheme="minorHAnsi" w:hAnsiTheme="minorHAnsi" w:cstheme="minorHAnsi"/>
                <w:color w:val="000000"/>
                <w:sz w:val="20"/>
                <w:szCs w:val="20"/>
              </w:rPr>
              <w:t>0.00</w:t>
            </w:r>
          </w:p>
        </w:tc>
        <w:tc>
          <w:tcPr>
            <w:tcW w:w="744" w:type="dxa"/>
            <w:tcBorders>
              <w:top w:val="single" w:sz="6" w:space="0" w:color="auto"/>
              <w:left w:val="single" w:sz="6" w:space="0" w:color="auto"/>
              <w:bottom w:val="single" w:sz="6" w:space="0" w:color="auto"/>
              <w:right w:val="dotted" w:sz="4" w:space="0" w:color="auto"/>
            </w:tcBorders>
            <w:shd w:val="clear" w:color="auto" w:fill="auto"/>
            <w:noWrap/>
            <w:vAlign w:val="bottom"/>
            <w:hideMark/>
          </w:tcPr>
          <w:p w:rsidR="006F7B30" w:rsidRPr="005051AC" w:rsidRDefault="006F7B30" w:rsidP="005051AC">
            <w:pPr>
              <w:spacing w:before="60" w:after="60" w:line="240" w:lineRule="auto"/>
              <w:jc w:val="center"/>
              <w:rPr>
                <w:rFonts w:asciiTheme="minorHAnsi" w:hAnsiTheme="minorHAnsi" w:cstheme="minorHAnsi"/>
                <w:color w:val="000000"/>
                <w:sz w:val="20"/>
                <w:szCs w:val="20"/>
              </w:rPr>
            </w:pPr>
            <w:r w:rsidRPr="005051AC">
              <w:rPr>
                <w:rFonts w:asciiTheme="minorHAnsi" w:hAnsiTheme="minorHAnsi" w:cstheme="minorHAnsi"/>
                <w:color w:val="000000"/>
                <w:sz w:val="20"/>
                <w:szCs w:val="20"/>
              </w:rPr>
              <w:t>0.21</w:t>
            </w:r>
          </w:p>
        </w:tc>
      </w:tr>
      <w:tr w:rsidR="006F7B30" w:rsidRPr="005051AC" w:rsidTr="005051AC">
        <w:trPr>
          <w:trHeight w:val="300"/>
        </w:trPr>
        <w:tc>
          <w:tcPr>
            <w:tcW w:w="2212" w:type="dxa"/>
            <w:tcBorders>
              <w:top w:val="single" w:sz="6" w:space="0" w:color="auto"/>
              <w:left w:val="dotted" w:sz="4" w:space="0" w:color="auto"/>
              <w:bottom w:val="dotted" w:sz="4" w:space="0" w:color="auto"/>
              <w:right w:val="single" w:sz="6" w:space="0" w:color="auto"/>
            </w:tcBorders>
            <w:shd w:val="clear" w:color="auto" w:fill="auto"/>
            <w:noWrap/>
            <w:vAlign w:val="bottom"/>
            <w:hideMark/>
          </w:tcPr>
          <w:p w:rsidR="006F7B30" w:rsidRPr="005051AC" w:rsidRDefault="006F7B30" w:rsidP="005051AC">
            <w:pPr>
              <w:spacing w:before="60" w:after="60" w:line="240" w:lineRule="auto"/>
              <w:rPr>
                <w:rFonts w:asciiTheme="minorHAnsi" w:hAnsiTheme="minorHAnsi" w:cstheme="minorHAnsi"/>
                <w:color w:val="000000"/>
                <w:sz w:val="20"/>
                <w:szCs w:val="20"/>
              </w:rPr>
            </w:pPr>
            <w:r w:rsidRPr="005051AC">
              <w:rPr>
                <w:rFonts w:asciiTheme="minorHAnsi" w:hAnsiTheme="minorHAnsi" w:cstheme="minorHAnsi"/>
                <w:color w:val="000000"/>
                <w:sz w:val="20"/>
                <w:szCs w:val="20"/>
              </w:rPr>
              <w:t>USA</w:t>
            </w:r>
          </w:p>
        </w:tc>
        <w:tc>
          <w:tcPr>
            <w:tcW w:w="630" w:type="dxa"/>
            <w:tcBorders>
              <w:top w:val="single" w:sz="6" w:space="0" w:color="auto"/>
              <w:left w:val="single" w:sz="6" w:space="0" w:color="auto"/>
              <w:bottom w:val="dotted" w:sz="4" w:space="0" w:color="auto"/>
              <w:right w:val="single" w:sz="6" w:space="0" w:color="auto"/>
            </w:tcBorders>
            <w:shd w:val="clear" w:color="auto" w:fill="auto"/>
            <w:noWrap/>
            <w:vAlign w:val="bottom"/>
            <w:hideMark/>
          </w:tcPr>
          <w:p w:rsidR="006F7B30" w:rsidRPr="005051AC" w:rsidRDefault="006F7B30" w:rsidP="005051AC">
            <w:pPr>
              <w:spacing w:before="60" w:after="60" w:line="240" w:lineRule="auto"/>
              <w:jc w:val="center"/>
              <w:rPr>
                <w:rFonts w:asciiTheme="minorHAnsi" w:hAnsiTheme="minorHAnsi" w:cstheme="minorHAnsi"/>
                <w:color w:val="000000"/>
                <w:sz w:val="20"/>
                <w:szCs w:val="20"/>
              </w:rPr>
            </w:pPr>
            <w:r w:rsidRPr="005051AC">
              <w:rPr>
                <w:rFonts w:asciiTheme="minorHAnsi" w:hAnsiTheme="minorHAnsi" w:cstheme="minorHAnsi"/>
                <w:color w:val="000000"/>
                <w:sz w:val="20"/>
                <w:szCs w:val="20"/>
              </w:rPr>
              <w:t>0.03</w:t>
            </w:r>
          </w:p>
        </w:tc>
        <w:tc>
          <w:tcPr>
            <w:tcW w:w="627" w:type="dxa"/>
            <w:tcBorders>
              <w:top w:val="single" w:sz="6" w:space="0" w:color="auto"/>
              <w:left w:val="single" w:sz="6" w:space="0" w:color="auto"/>
              <w:bottom w:val="dotted" w:sz="4" w:space="0" w:color="auto"/>
              <w:right w:val="single" w:sz="6" w:space="0" w:color="auto"/>
            </w:tcBorders>
            <w:shd w:val="clear" w:color="auto" w:fill="auto"/>
            <w:noWrap/>
            <w:vAlign w:val="bottom"/>
            <w:hideMark/>
          </w:tcPr>
          <w:p w:rsidR="006F7B30" w:rsidRPr="005051AC" w:rsidRDefault="006F7B30" w:rsidP="005051AC">
            <w:pPr>
              <w:spacing w:before="60" w:after="60" w:line="240" w:lineRule="auto"/>
              <w:jc w:val="center"/>
              <w:rPr>
                <w:rFonts w:asciiTheme="minorHAnsi" w:hAnsiTheme="minorHAnsi" w:cstheme="minorHAnsi"/>
                <w:color w:val="000000"/>
                <w:sz w:val="20"/>
                <w:szCs w:val="20"/>
              </w:rPr>
            </w:pPr>
            <w:r w:rsidRPr="005051AC">
              <w:rPr>
                <w:rFonts w:asciiTheme="minorHAnsi" w:hAnsiTheme="minorHAnsi" w:cstheme="minorHAnsi"/>
                <w:color w:val="000000"/>
                <w:sz w:val="20"/>
                <w:szCs w:val="20"/>
              </w:rPr>
              <w:t>0.08</w:t>
            </w:r>
          </w:p>
        </w:tc>
        <w:tc>
          <w:tcPr>
            <w:tcW w:w="630" w:type="dxa"/>
            <w:tcBorders>
              <w:top w:val="single" w:sz="6" w:space="0" w:color="auto"/>
              <w:left w:val="single" w:sz="6" w:space="0" w:color="auto"/>
              <w:bottom w:val="dotted" w:sz="4" w:space="0" w:color="auto"/>
              <w:right w:val="single" w:sz="6" w:space="0" w:color="auto"/>
            </w:tcBorders>
            <w:shd w:val="clear" w:color="auto" w:fill="auto"/>
            <w:noWrap/>
            <w:vAlign w:val="bottom"/>
            <w:hideMark/>
          </w:tcPr>
          <w:p w:rsidR="006F7B30" w:rsidRPr="005051AC" w:rsidRDefault="006F7B30" w:rsidP="005051AC">
            <w:pPr>
              <w:spacing w:before="60" w:after="60" w:line="240" w:lineRule="auto"/>
              <w:jc w:val="center"/>
              <w:rPr>
                <w:rFonts w:asciiTheme="minorHAnsi" w:hAnsiTheme="minorHAnsi" w:cstheme="minorHAnsi"/>
                <w:color w:val="000000"/>
                <w:sz w:val="20"/>
                <w:szCs w:val="20"/>
              </w:rPr>
            </w:pPr>
            <w:r w:rsidRPr="005051AC">
              <w:rPr>
                <w:rFonts w:asciiTheme="minorHAnsi" w:hAnsiTheme="minorHAnsi" w:cstheme="minorHAnsi"/>
                <w:color w:val="000000"/>
                <w:sz w:val="20"/>
                <w:szCs w:val="20"/>
              </w:rPr>
              <w:t>0.05</w:t>
            </w:r>
          </w:p>
        </w:tc>
        <w:tc>
          <w:tcPr>
            <w:tcW w:w="759" w:type="dxa"/>
            <w:tcBorders>
              <w:top w:val="single" w:sz="6" w:space="0" w:color="auto"/>
              <w:left w:val="single" w:sz="6" w:space="0" w:color="auto"/>
              <w:bottom w:val="dotted" w:sz="4" w:space="0" w:color="auto"/>
              <w:right w:val="single" w:sz="6" w:space="0" w:color="auto"/>
            </w:tcBorders>
            <w:shd w:val="clear" w:color="auto" w:fill="auto"/>
            <w:noWrap/>
            <w:vAlign w:val="bottom"/>
            <w:hideMark/>
          </w:tcPr>
          <w:p w:rsidR="006F7B30" w:rsidRPr="005051AC" w:rsidRDefault="006F7B30" w:rsidP="005051AC">
            <w:pPr>
              <w:spacing w:before="60" w:after="60" w:line="240" w:lineRule="auto"/>
              <w:jc w:val="center"/>
              <w:rPr>
                <w:rFonts w:asciiTheme="minorHAnsi" w:hAnsiTheme="minorHAnsi" w:cstheme="minorHAnsi"/>
                <w:color w:val="000000"/>
                <w:sz w:val="20"/>
                <w:szCs w:val="20"/>
              </w:rPr>
            </w:pPr>
            <w:r w:rsidRPr="005051AC">
              <w:rPr>
                <w:rFonts w:asciiTheme="minorHAnsi" w:hAnsiTheme="minorHAnsi" w:cstheme="minorHAnsi"/>
                <w:color w:val="000000"/>
                <w:sz w:val="20"/>
                <w:szCs w:val="20"/>
              </w:rPr>
              <w:t>0.02</w:t>
            </w:r>
          </w:p>
        </w:tc>
        <w:tc>
          <w:tcPr>
            <w:tcW w:w="744" w:type="dxa"/>
            <w:tcBorders>
              <w:top w:val="single" w:sz="6" w:space="0" w:color="auto"/>
              <w:left w:val="single" w:sz="6" w:space="0" w:color="auto"/>
              <w:bottom w:val="dotted" w:sz="4" w:space="0" w:color="auto"/>
              <w:right w:val="single" w:sz="6" w:space="0" w:color="auto"/>
            </w:tcBorders>
            <w:shd w:val="clear" w:color="auto" w:fill="auto"/>
            <w:noWrap/>
            <w:vAlign w:val="bottom"/>
            <w:hideMark/>
          </w:tcPr>
          <w:p w:rsidR="006F7B30" w:rsidRPr="005051AC" w:rsidRDefault="006F7B30" w:rsidP="005051AC">
            <w:pPr>
              <w:spacing w:before="60" w:after="60" w:line="240" w:lineRule="auto"/>
              <w:jc w:val="center"/>
              <w:rPr>
                <w:rFonts w:asciiTheme="minorHAnsi" w:hAnsiTheme="minorHAnsi" w:cstheme="minorHAnsi"/>
                <w:color w:val="000000"/>
                <w:sz w:val="20"/>
                <w:szCs w:val="20"/>
              </w:rPr>
            </w:pPr>
            <w:r w:rsidRPr="005051AC">
              <w:rPr>
                <w:rFonts w:asciiTheme="minorHAnsi" w:hAnsiTheme="minorHAnsi" w:cstheme="minorHAnsi"/>
                <w:color w:val="000000"/>
                <w:sz w:val="20"/>
                <w:szCs w:val="20"/>
              </w:rPr>
              <w:t>0.03</w:t>
            </w:r>
          </w:p>
        </w:tc>
        <w:tc>
          <w:tcPr>
            <w:tcW w:w="222" w:type="dxa"/>
            <w:tcBorders>
              <w:top w:val="single" w:sz="6" w:space="0" w:color="auto"/>
              <w:left w:val="single" w:sz="6" w:space="0" w:color="auto"/>
              <w:bottom w:val="dotted" w:sz="4" w:space="0" w:color="auto"/>
              <w:right w:val="single" w:sz="6" w:space="0" w:color="auto"/>
            </w:tcBorders>
          </w:tcPr>
          <w:p w:rsidR="006F7B30" w:rsidRPr="005051AC" w:rsidRDefault="006F7B30" w:rsidP="005051AC">
            <w:pPr>
              <w:spacing w:before="60" w:after="60" w:line="240" w:lineRule="auto"/>
              <w:jc w:val="center"/>
              <w:rPr>
                <w:rFonts w:asciiTheme="minorHAnsi" w:hAnsiTheme="minorHAnsi" w:cstheme="minorHAnsi"/>
                <w:color w:val="000000"/>
                <w:sz w:val="20"/>
                <w:szCs w:val="20"/>
              </w:rPr>
            </w:pPr>
          </w:p>
        </w:tc>
        <w:tc>
          <w:tcPr>
            <w:tcW w:w="630" w:type="dxa"/>
            <w:tcBorders>
              <w:top w:val="single" w:sz="6" w:space="0" w:color="auto"/>
              <w:left w:val="single" w:sz="6" w:space="0" w:color="auto"/>
              <w:bottom w:val="dotted" w:sz="4" w:space="0" w:color="auto"/>
              <w:right w:val="single" w:sz="6" w:space="0" w:color="auto"/>
            </w:tcBorders>
            <w:shd w:val="clear" w:color="auto" w:fill="auto"/>
            <w:noWrap/>
            <w:vAlign w:val="bottom"/>
            <w:hideMark/>
          </w:tcPr>
          <w:p w:rsidR="006F7B30" w:rsidRPr="005051AC" w:rsidRDefault="006F7B30" w:rsidP="005051AC">
            <w:pPr>
              <w:spacing w:before="60" w:after="60" w:line="240" w:lineRule="auto"/>
              <w:jc w:val="center"/>
              <w:rPr>
                <w:rFonts w:asciiTheme="minorHAnsi" w:hAnsiTheme="minorHAnsi" w:cstheme="minorHAnsi"/>
                <w:color w:val="000000"/>
                <w:sz w:val="20"/>
                <w:szCs w:val="20"/>
              </w:rPr>
            </w:pPr>
            <w:r w:rsidRPr="005051AC">
              <w:rPr>
                <w:rFonts w:asciiTheme="minorHAnsi" w:hAnsiTheme="minorHAnsi" w:cstheme="minorHAnsi"/>
                <w:color w:val="000000"/>
                <w:sz w:val="20"/>
                <w:szCs w:val="20"/>
              </w:rPr>
              <w:t>0.04</w:t>
            </w:r>
          </w:p>
        </w:tc>
        <w:tc>
          <w:tcPr>
            <w:tcW w:w="630" w:type="dxa"/>
            <w:tcBorders>
              <w:top w:val="single" w:sz="6" w:space="0" w:color="auto"/>
              <w:left w:val="single" w:sz="6" w:space="0" w:color="auto"/>
              <w:bottom w:val="dotted" w:sz="4" w:space="0" w:color="auto"/>
              <w:right w:val="single" w:sz="6" w:space="0" w:color="auto"/>
            </w:tcBorders>
            <w:shd w:val="clear" w:color="auto" w:fill="auto"/>
            <w:noWrap/>
            <w:vAlign w:val="bottom"/>
            <w:hideMark/>
          </w:tcPr>
          <w:p w:rsidR="006F7B30" w:rsidRPr="005051AC" w:rsidRDefault="006F7B30" w:rsidP="005051AC">
            <w:pPr>
              <w:spacing w:before="60" w:after="60" w:line="240" w:lineRule="auto"/>
              <w:jc w:val="center"/>
              <w:rPr>
                <w:rFonts w:asciiTheme="minorHAnsi" w:hAnsiTheme="minorHAnsi" w:cstheme="minorHAnsi"/>
                <w:color w:val="000000"/>
                <w:sz w:val="20"/>
                <w:szCs w:val="20"/>
              </w:rPr>
            </w:pPr>
            <w:r w:rsidRPr="005051AC">
              <w:rPr>
                <w:rFonts w:asciiTheme="minorHAnsi" w:hAnsiTheme="minorHAnsi" w:cstheme="minorHAnsi"/>
                <w:color w:val="000000"/>
                <w:sz w:val="20"/>
                <w:szCs w:val="20"/>
              </w:rPr>
              <w:t>0.30</w:t>
            </w:r>
          </w:p>
        </w:tc>
        <w:tc>
          <w:tcPr>
            <w:tcW w:w="571" w:type="dxa"/>
            <w:tcBorders>
              <w:top w:val="single" w:sz="6" w:space="0" w:color="auto"/>
              <w:left w:val="single" w:sz="6" w:space="0" w:color="auto"/>
              <w:bottom w:val="dotted" w:sz="4" w:space="0" w:color="auto"/>
              <w:right w:val="single" w:sz="6" w:space="0" w:color="auto"/>
            </w:tcBorders>
            <w:shd w:val="clear" w:color="auto" w:fill="auto"/>
            <w:noWrap/>
            <w:vAlign w:val="bottom"/>
            <w:hideMark/>
          </w:tcPr>
          <w:p w:rsidR="006F7B30" w:rsidRPr="005051AC" w:rsidRDefault="006F7B30" w:rsidP="005051AC">
            <w:pPr>
              <w:spacing w:before="60" w:after="60" w:line="240" w:lineRule="auto"/>
              <w:jc w:val="center"/>
              <w:rPr>
                <w:rFonts w:asciiTheme="minorHAnsi" w:hAnsiTheme="minorHAnsi" w:cstheme="minorHAnsi"/>
                <w:color w:val="000000"/>
                <w:sz w:val="20"/>
                <w:szCs w:val="20"/>
              </w:rPr>
            </w:pPr>
            <w:r w:rsidRPr="005051AC">
              <w:rPr>
                <w:rFonts w:asciiTheme="minorHAnsi" w:hAnsiTheme="minorHAnsi" w:cstheme="minorHAnsi"/>
                <w:color w:val="000000"/>
                <w:sz w:val="20"/>
                <w:szCs w:val="20"/>
              </w:rPr>
              <w:t>0.08</w:t>
            </w:r>
          </w:p>
        </w:tc>
        <w:tc>
          <w:tcPr>
            <w:tcW w:w="759" w:type="dxa"/>
            <w:tcBorders>
              <w:top w:val="single" w:sz="6" w:space="0" w:color="auto"/>
              <w:left w:val="single" w:sz="6" w:space="0" w:color="auto"/>
              <w:bottom w:val="dotted" w:sz="4" w:space="0" w:color="auto"/>
              <w:right w:val="single" w:sz="6" w:space="0" w:color="auto"/>
            </w:tcBorders>
            <w:shd w:val="clear" w:color="auto" w:fill="auto"/>
            <w:noWrap/>
            <w:vAlign w:val="bottom"/>
            <w:hideMark/>
          </w:tcPr>
          <w:p w:rsidR="006F7B30" w:rsidRPr="005051AC" w:rsidRDefault="006F7B30" w:rsidP="005051AC">
            <w:pPr>
              <w:spacing w:before="60" w:after="60" w:line="240" w:lineRule="auto"/>
              <w:jc w:val="center"/>
              <w:rPr>
                <w:rFonts w:asciiTheme="minorHAnsi" w:hAnsiTheme="minorHAnsi" w:cstheme="minorHAnsi"/>
                <w:color w:val="000000"/>
                <w:sz w:val="20"/>
                <w:szCs w:val="20"/>
              </w:rPr>
            </w:pPr>
            <w:r w:rsidRPr="005051AC">
              <w:rPr>
                <w:rFonts w:asciiTheme="minorHAnsi" w:hAnsiTheme="minorHAnsi" w:cstheme="minorHAnsi"/>
                <w:color w:val="000000"/>
                <w:sz w:val="20"/>
                <w:szCs w:val="20"/>
              </w:rPr>
              <w:t>0.21</w:t>
            </w:r>
          </w:p>
        </w:tc>
        <w:tc>
          <w:tcPr>
            <w:tcW w:w="744" w:type="dxa"/>
            <w:tcBorders>
              <w:top w:val="single" w:sz="6" w:space="0" w:color="auto"/>
              <w:left w:val="single" w:sz="6" w:space="0" w:color="auto"/>
              <w:bottom w:val="dotted" w:sz="4" w:space="0" w:color="auto"/>
              <w:right w:val="dotted" w:sz="4" w:space="0" w:color="auto"/>
            </w:tcBorders>
            <w:shd w:val="clear" w:color="auto" w:fill="auto"/>
            <w:noWrap/>
            <w:vAlign w:val="bottom"/>
            <w:hideMark/>
          </w:tcPr>
          <w:p w:rsidR="006F7B30" w:rsidRPr="005051AC" w:rsidRDefault="006F7B30" w:rsidP="005051AC">
            <w:pPr>
              <w:spacing w:before="60" w:after="60" w:line="240" w:lineRule="auto"/>
              <w:jc w:val="center"/>
              <w:rPr>
                <w:rFonts w:asciiTheme="minorHAnsi" w:hAnsiTheme="minorHAnsi" w:cstheme="minorHAnsi"/>
                <w:color w:val="000000"/>
                <w:sz w:val="20"/>
                <w:szCs w:val="20"/>
              </w:rPr>
            </w:pPr>
            <w:r w:rsidRPr="005051AC">
              <w:rPr>
                <w:rFonts w:asciiTheme="minorHAnsi" w:hAnsiTheme="minorHAnsi" w:cstheme="minorHAnsi"/>
                <w:color w:val="000000"/>
                <w:sz w:val="20"/>
                <w:szCs w:val="20"/>
              </w:rPr>
              <w:t>0.11</w:t>
            </w:r>
          </w:p>
        </w:tc>
      </w:tr>
    </w:tbl>
    <w:p w:rsidR="006F7B30" w:rsidRPr="00F01196" w:rsidRDefault="006F7B30" w:rsidP="006F7B30">
      <w:pPr>
        <w:rPr>
          <w:rFonts w:asciiTheme="minorHAnsi" w:hAnsiTheme="minorHAnsi"/>
        </w:rPr>
      </w:pPr>
    </w:p>
    <w:p w:rsidR="006F7B30" w:rsidRPr="006F7B30" w:rsidRDefault="006F7B30" w:rsidP="00F346CC">
      <w:pPr>
        <w:pStyle w:val="Heading2"/>
      </w:pPr>
      <w:bookmarkStart w:id="10" w:name="_Toc332093021"/>
      <w:r w:rsidRPr="006F7B30">
        <w:t>B.2.2. Form EIA-826</w:t>
      </w:r>
      <w:bookmarkEnd w:id="10"/>
    </w:p>
    <w:p w:rsidR="006F7B30" w:rsidRDefault="006F7B30" w:rsidP="006F7B30">
      <w:pPr>
        <w:spacing w:before="100" w:beforeAutospacing="1"/>
        <w:rPr>
          <w:rFonts w:asciiTheme="minorHAnsi" w:hAnsiTheme="minorHAnsi"/>
        </w:rPr>
      </w:pPr>
      <w:r>
        <w:rPr>
          <w:rFonts w:asciiTheme="minorHAnsi" w:hAnsiTheme="minorHAnsi"/>
        </w:rPr>
        <w:t xml:space="preserve">Cutoff model-based estimation is used to estimate sales, revenue and number of customers by State and sector for out-of-sample respondents monthly for Form EIA-826 (Knaub, 1999). Previously, </w:t>
      </w:r>
      <w:r w:rsidR="00E20A35">
        <w:rPr>
          <w:rFonts w:asciiTheme="minorHAnsi" w:hAnsiTheme="minorHAnsi"/>
        </w:rPr>
        <w:t xml:space="preserve">Form </w:t>
      </w:r>
      <w:r>
        <w:rPr>
          <w:rFonts w:asciiTheme="minorHAnsi" w:hAnsiTheme="minorHAnsi"/>
        </w:rPr>
        <w:t xml:space="preserve">EIA-861 data has been used as regressor data to estimate for these monthly out-of-sample observations using a weighted least squares regression model. The sampling estimation methodology used to estimate for out-of-sample respondents for the </w:t>
      </w:r>
      <w:r w:rsidR="00E20A35">
        <w:rPr>
          <w:rFonts w:asciiTheme="minorHAnsi" w:hAnsiTheme="minorHAnsi"/>
        </w:rPr>
        <w:t xml:space="preserve">Form </w:t>
      </w:r>
      <w:r>
        <w:rPr>
          <w:rFonts w:asciiTheme="minorHAnsi" w:hAnsiTheme="minorHAnsi"/>
        </w:rPr>
        <w:t xml:space="preserve">EIA-826 will remain un-changed in the first revisionary year, because EIA will retain a census of </w:t>
      </w:r>
      <w:r w:rsidR="00E20A35">
        <w:rPr>
          <w:rFonts w:asciiTheme="minorHAnsi" w:hAnsiTheme="minorHAnsi"/>
        </w:rPr>
        <w:t xml:space="preserve">Form </w:t>
      </w:r>
      <w:r>
        <w:rPr>
          <w:rFonts w:asciiTheme="minorHAnsi" w:hAnsiTheme="minorHAnsi"/>
        </w:rPr>
        <w:t xml:space="preserve">EIA-861 data. In subsequent years, EIA proposes to use one to five year old regressor data.  </w:t>
      </w:r>
      <w:r w:rsidR="00644765">
        <w:rPr>
          <w:rFonts w:asciiTheme="minorHAnsi" w:hAnsiTheme="minorHAnsi"/>
        </w:rPr>
        <w:t xml:space="preserve">As discussed above, </w:t>
      </w:r>
      <w:r>
        <w:rPr>
          <w:rFonts w:asciiTheme="minorHAnsi" w:hAnsiTheme="minorHAnsi"/>
        </w:rPr>
        <w:t xml:space="preserve">EIA has studied if it is possible to use older </w:t>
      </w:r>
      <w:r w:rsidR="00E20A35">
        <w:rPr>
          <w:rFonts w:asciiTheme="minorHAnsi" w:hAnsiTheme="minorHAnsi"/>
        </w:rPr>
        <w:t xml:space="preserve">Form </w:t>
      </w:r>
      <w:r>
        <w:rPr>
          <w:rFonts w:asciiTheme="minorHAnsi" w:hAnsiTheme="minorHAnsi"/>
        </w:rPr>
        <w:t xml:space="preserve">EIA-861 regressor data to estimate for current </w:t>
      </w:r>
      <w:r w:rsidR="00E20A35">
        <w:rPr>
          <w:rFonts w:asciiTheme="minorHAnsi" w:hAnsiTheme="minorHAnsi"/>
        </w:rPr>
        <w:t xml:space="preserve">Form </w:t>
      </w:r>
      <w:r>
        <w:rPr>
          <w:rFonts w:asciiTheme="minorHAnsi" w:hAnsiTheme="minorHAnsi"/>
        </w:rPr>
        <w:t xml:space="preserve">EIA-826 monthly data and </w:t>
      </w:r>
      <w:r w:rsidR="00644765">
        <w:rPr>
          <w:rFonts w:asciiTheme="minorHAnsi" w:hAnsiTheme="minorHAnsi"/>
        </w:rPr>
        <w:t>these</w:t>
      </w:r>
      <w:r>
        <w:rPr>
          <w:rFonts w:asciiTheme="minorHAnsi" w:hAnsiTheme="minorHAnsi"/>
        </w:rPr>
        <w:t xml:space="preserve"> efforts have proven to be effective. </w:t>
      </w:r>
    </w:p>
    <w:p w:rsidR="006F7B30" w:rsidRPr="006F7B30" w:rsidRDefault="006F7B30" w:rsidP="00F346CC">
      <w:pPr>
        <w:pStyle w:val="Heading2"/>
      </w:pPr>
      <w:bookmarkStart w:id="11" w:name="_Toc332093022"/>
      <w:r w:rsidRPr="006F7B30">
        <w:lastRenderedPageBreak/>
        <w:t>B.2.3. Form EIA-923</w:t>
      </w:r>
      <w:bookmarkEnd w:id="11"/>
    </w:p>
    <w:p w:rsidR="006F7B30" w:rsidRDefault="006F7B30" w:rsidP="006F7B30">
      <w:pPr>
        <w:spacing w:before="100" w:beforeAutospacing="1"/>
        <w:rPr>
          <w:rFonts w:asciiTheme="minorHAnsi" w:hAnsiTheme="minorHAnsi"/>
        </w:rPr>
      </w:pPr>
      <w:r>
        <w:rPr>
          <w:rFonts w:asciiTheme="minorHAnsi" w:hAnsiTheme="minorHAnsi"/>
        </w:rPr>
        <w:t xml:space="preserve">EIA is proposing to reduce </w:t>
      </w:r>
      <w:r w:rsidR="008608EE">
        <w:rPr>
          <w:rFonts w:asciiTheme="minorHAnsi" w:hAnsiTheme="minorHAnsi"/>
        </w:rPr>
        <w:t xml:space="preserve">the </w:t>
      </w:r>
      <w:r>
        <w:rPr>
          <w:rFonts w:asciiTheme="minorHAnsi" w:hAnsiTheme="minorHAnsi"/>
        </w:rPr>
        <w:t xml:space="preserve">respondent group that currently reports on “Schedule 2: Cost and Quality of Fuel Purchases.” Respondents will be required to provide this information for coal-fueled plants </w:t>
      </w:r>
      <w:r w:rsidR="008608EE">
        <w:rPr>
          <w:rFonts w:asciiTheme="minorHAnsi" w:hAnsiTheme="minorHAnsi"/>
        </w:rPr>
        <w:t xml:space="preserve">with as nameplate capacity of </w:t>
      </w:r>
      <w:r w:rsidR="00380430">
        <w:rPr>
          <w:rFonts w:asciiTheme="minorHAnsi" w:hAnsiTheme="minorHAnsi"/>
        </w:rPr>
        <w:t>5</w:t>
      </w:r>
      <w:r>
        <w:rPr>
          <w:rFonts w:asciiTheme="minorHAnsi" w:hAnsiTheme="minorHAnsi"/>
        </w:rPr>
        <w:t>0 megawatts and above</w:t>
      </w:r>
      <w:r w:rsidR="008608EE">
        <w:rPr>
          <w:rFonts w:asciiTheme="minorHAnsi" w:hAnsiTheme="minorHAnsi"/>
        </w:rPr>
        <w:t xml:space="preserve">, </w:t>
      </w:r>
      <w:r>
        <w:rPr>
          <w:rFonts w:asciiTheme="minorHAnsi" w:hAnsiTheme="minorHAnsi"/>
        </w:rPr>
        <w:t xml:space="preserve">and </w:t>
      </w:r>
      <w:r w:rsidR="008608EE">
        <w:rPr>
          <w:rFonts w:asciiTheme="minorHAnsi" w:hAnsiTheme="minorHAnsi"/>
        </w:rPr>
        <w:t xml:space="preserve">for </w:t>
      </w:r>
      <w:r>
        <w:rPr>
          <w:rFonts w:asciiTheme="minorHAnsi" w:hAnsiTheme="minorHAnsi"/>
        </w:rPr>
        <w:t xml:space="preserve">other power plants </w:t>
      </w:r>
      <w:r w:rsidR="008608EE">
        <w:rPr>
          <w:rFonts w:asciiTheme="minorHAnsi" w:hAnsiTheme="minorHAnsi"/>
        </w:rPr>
        <w:t xml:space="preserve">with a capacity of </w:t>
      </w:r>
      <w:r>
        <w:rPr>
          <w:rFonts w:asciiTheme="minorHAnsi" w:hAnsiTheme="minorHAnsi"/>
        </w:rPr>
        <w:t xml:space="preserve">200 megawatts and above. EIA will not estimate data on Schedule 2 for out-of-sample respondents. </w:t>
      </w:r>
      <w:r w:rsidR="00644765">
        <w:rPr>
          <w:rFonts w:asciiTheme="minorHAnsi" w:hAnsiTheme="minorHAnsi"/>
        </w:rPr>
        <w:t xml:space="preserve"> The data will be reported with this coverage limitation noted.</w:t>
      </w:r>
      <w:r>
        <w:rPr>
          <w:rFonts w:asciiTheme="minorHAnsi" w:hAnsiTheme="minorHAnsi"/>
        </w:rPr>
        <w:t xml:space="preserve">   </w:t>
      </w:r>
    </w:p>
    <w:p w:rsidR="006F7B30" w:rsidRDefault="006F7B30" w:rsidP="006F7B30"/>
    <w:p w:rsidR="006F7B30" w:rsidRDefault="006F7B30" w:rsidP="006F7B30">
      <w:pPr>
        <w:pStyle w:val="Heading2"/>
      </w:pPr>
      <w:bookmarkStart w:id="12" w:name="_Toc332093023"/>
      <w:r>
        <w:t>B.3. Methods to Maximize Response Rates</w:t>
      </w:r>
      <w:bookmarkEnd w:id="12"/>
    </w:p>
    <w:p w:rsidR="00644765" w:rsidRDefault="006F7B30" w:rsidP="006F7B30">
      <w:pPr>
        <w:spacing w:before="120" w:after="100" w:afterAutospacing="1"/>
        <w:jc w:val="both"/>
      </w:pPr>
      <w:r w:rsidRPr="008F76A3">
        <w:t xml:space="preserve">For all of the EIA electric power </w:t>
      </w:r>
      <w:r>
        <w:t>surveys</w:t>
      </w:r>
      <w:r w:rsidRPr="008F76A3">
        <w:t>, the response rates are close to or equal to 100 percent.  To maximize response rates, the EIA forms have been designed and the instructions have been written to be clear and concise to help the respondent complete the forms.  Data that are not expected to change from year-to-year or month-to-month are pre-populated on the forms.  Forms and/or notifications are emailed early to maximize the time that respondents have to complete the survey</w:t>
      </w:r>
      <w:r>
        <w:t xml:space="preserve">s.  </w:t>
      </w:r>
    </w:p>
    <w:p w:rsidR="006F7B30" w:rsidRPr="008F76A3" w:rsidRDefault="006F7B30" w:rsidP="006F7B30">
      <w:pPr>
        <w:spacing w:before="120" w:after="100" w:afterAutospacing="1"/>
        <w:jc w:val="both"/>
      </w:pPr>
      <w:r>
        <w:t>As noted</w:t>
      </w:r>
      <w:r w:rsidR="00644765">
        <w:t xml:space="preserve"> in Part A</w:t>
      </w:r>
      <w:r>
        <w:t>, EIA</w:t>
      </w:r>
      <w:r w:rsidR="00644765">
        <w:t>’s Internet data c</w:t>
      </w:r>
      <w:r w:rsidRPr="008F76A3">
        <w:t xml:space="preserve">ollection </w:t>
      </w:r>
      <w:r w:rsidR="00644765">
        <w:t>s</w:t>
      </w:r>
      <w:r w:rsidRPr="008F76A3">
        <w:t>ystem makes forms available on-line as soon as respondents obtain a secure ID and password.  Given the high I</w:t>
      </w:r>
      <w:r w:rsidR="00644765">
        <w:t>nternet u</w:t>
      </w:r>
      <w:r w:rsidRPr="008F76A3">
        <w:t>se rate (approximately 95 percent</w:t>
      </w:r>
      <w:r w:rsidR="008608EE">
        <w:t>)</w:t>
      </w:r>
      <w:r w:rsidRPr="008F76A3">
        <w:t xml:space="preserve">, most </w:t>
      </w:r>
      <w:r>
        <w:t>online</w:t>
      </w:r>
      <w:r w:rsidRPr="008F76A3">
        <w:t xml:space="preserve"> respondents will log on in the next data collection period and access their required forms.  Form due dates are the same each period so that respondents can schedule their completion activities</w:t>
      </w:r>
      <w:r>
        <w:t>.</w:t>
      </w:r>
    </w:p>
    <w:p w:rsidR="006F7B30" w:rsidRPr="008F76A3" w:rsidRDefault="00781442" w:rsidP="006F7B30">
      <w:pPr>
        <w:spacing w:before="100" w:beforeAutospacing="1" w:after="100" w:afterAutospacing="1"/>
        <w:jc w:val="both"/>
      </w:pPr>
      <w:r>
        <w:t>Any</w:t>
      </w:r>
      <w:r w:rsidR="006F7B30" w:rsidRPr="008F76A3">
        <w:t xml:space="preserve"> non-respondents are contacted by email, telephone, and letter to request data submission</w:t>
      </w:r>
      <w:r w:rsidR="006F7B30">
        <w:t>,</w:t>
      </w:r>
      <w:r w:rsidR="006F7B30" w:rsidRPr="008F76A3">
        <w:t xml:space="preserve"> until an insignificant </w:t>
      </w:r>
      <w:r>
        <w:t xml:space="preserve">or zero </w:t>
      </w:r>
      <w:r w:rsidR="006F7B30" w:rsidRPr="008F76A3">
        <w:t xml:space="preserve">non-response rate is obtained.  Follow-up emails citing failure to file the required form are </w:t>
      </w:r>
      <w:r w:rsidR="00644765">
        <w:t>sent</w:t>
      </w:r>
      <w:r w:rsidR="006F7B30" w:rsidRPr="008F76A3">
        <w:t xml:space="preserve"> to all non-respondents.  If the </w:t>
      </w:r>
      <w:r w:rsidR="006F7B30">
        <w:t xml:space="preserve">follow-up </w:t>
      </w:r>
      <w:r w:rsidR="00644765">
        <w:t>emails</w:t>
      </w:r>
      <w:r w:rsidR="006F7B30">
        <w:t xml:space="preserve"> do not result in a response</w:t>
      </w:r>
      <w:r w:rsidR="006F7B30" w:rsidRPr="008F76A3">
        <w:t>, additional correspondence requesting immediate submission is sent to the supervisor of the primary contact and, if necessary</w:t>
      </w:r>
      <w:r w:rsidR="006F7B30">
        <w:t>,</w:t>
      </w:r>
      <w:r w:rsidR="006F7B30" w:rsidRPr="008F76A3">
        <w:t xml:space="preserve"> to higher-level management officials at the non-respondent entity.  These letters are sent from the Office Director or, if necessar</w:t>
      </w:r>
      <w:r w:rsidR="00644765">
        <w:t>y, from the EIA Administrator.</w:t>
      </w:r>
    </w:p>
    <w:p w:rsidR="006F7B30" w:rsidRPr="008F76A3" w:rsidRDefault="006F7B30" w:rsidP="006F7B30">
      <w:pPr>
        <w:tabs>
          <w:tab w:val="left" w:pos="1152"/>
          <w:tab w:val="left" w:pos="2160"/>
          <w:tab w:val="left" w:pos="3024"/>
          <w:tab w:val="left" w:pos="4320"/>
          <w:tab w:val="left" w:pos="7776"/>
        </w:tabs>
        <w:spacing w:before="100" w:beforeAutospacing="1" w:after="100" w:afterAutospacing="1"/>
        <w:jc w:val="both"/>
      </w:pPr>
      <w:r w:rsidRPr="008F76A3">
        <w:t xml:space="preserve">Respondents who file via the </w:t>
      </w:r>
      <w:r w:rsidR="00644765">
        <w:t>Internet</w:t>
      </w:r>
      <w:r w:rsidRPr="008F76A3">
        <w:t xml:space="preserve"> </w:t>
      </w:r>
      <w:r w:rsidR="00644765">
        <w:t>s</w:t>
      </w:r>
      <w:r w:rsidRPr="008F76A3">
        <w:t xml:space="preserve">ystem are given the opportunity to either correct or explain unusual data during their submission.  The explanations are reviewed by the EIA staff.  Respondents are </w:t>
      </w:r>
      <w:r w:rsidR="00644765">
        <w:t>contacted</w:t>
      </w:r>
      <w:r w:rsidRPr="008F76A3">
        <w:t xml:space="preserve"> if further clarification is needed.  For those respondents that do not file via the </w:t>
      </w:r>
      <w:r w:rsidR="00644765">
        <w:t>Internet</w:t>
      </w:r>
      <w:r w:rsidRPr="008F76A3">
        <w:t>, but rather on a hard</w:t>
      </w:r>
      <w:r>
        <w:t xml:space="preserve"> </w:t>
      </w:r>
      <w:r w:rsidRPr="008F76A3">
        <w:t xml:space="preserve">copy of the form, </w:t>
      </w:r>
      <w:r w:rsidR="00644765">
        <w:t xml:space="preserve">email and/or </w:t>
      </w:r>
      <w:r w:rsidRPr="008F76A3">
        <w:t xml:space="preserve">telephone calls are made to confirm corrections or clarifications of any </w:t>
      </w:r>
      <w:r>
        <w:t>suspicious</w:t>
      </w:r>
      <w:r w:rsidRPr="008F76A3">
        <w:t xml:space="preserve"> data.</w:t>
      </w:r>
    </w:p>
    <w:p w:rsidR="006F7B30" w:rsidRPr="008F76A3" w:rsidRDefault="006F7B30" w:rsidP="006F7B30">
      <w:pPr>
        <w:tabs>
          <w:tab w:val="left" w:pos="1152"/>
          <w:tab w:val="left" w:pos="2160"/>
          <w:tab w:val="left" w:pos="3024"/>
          <w:tab w:val="left" w:pos="4320"/>
          <w:tab w:val="left" w:pos="7776"/>
        </w:tabs>
        <w:spacing w:before="100" w:beforeAutospacing="1" w:after="100" w:afterAutospacing="1"/>
        <w:jc w:val="both"/>
      </w:pPr>
      <w:r>
        <w:t xml:space="preserve">Changes in plant ownership and/or contacts have contributed in the past to non-response. </w:t>
      </w:r>
      <w:r w:rsidRPr="008F76A3">
        <w:t xml:space="preserve"> </w:t>
      </w:r>
      <w:r>
        <w:t xml:space="preserve">To address this issue, </w:t>
      </w:r>
      <w:r w:rsidRPr="008F76A3">
        <w:t>EIA has developed an improved centralized frame system</w:t>
      </w:r>
      <w:r w:rsidR="008608EE">
        <w:t xml:space="preserve"> for the electric power surveys</w:t>
      </w:r>
      <w:r>
        <w:t>,</w:t>
      </w:r>
      <w:r w:rsidRPr="008F76A3">
        <w:t xml:space="preserve"> which affords all survey staff almost immediate knowledge of changes in </w:t>
      </w:r>
      <w:r w:rsidR="00300165">
        <w:t>entity</w:t>
      </w:r>
      <w:r w:rsidRPr="008F76A3">
        <w:t xml:space="preserve"> ownership and/or contacts.  This </w:t>
      </w:r>
      <w:r>
        <w:t xml:space="preserve">frame </w:t>
      </w:r>
      <w:r w:rsidRPr="008F76A3">
        <w:t xml:space="preserve">system is integrated with the </w:t>
      </w:r>
      <w:r w:rsidR="00300165">
        <w:t>Internet</w:t>
      </w:r>
      <w:r w:rsidRPr="008F76A3">
        <w:t xml:space="preserve"> </w:t>
      </w:r>
      <w:r w:rsidR="00300165">
        <w:t>s</w:t>
      </w:r>
      <w:r w:rsidRPr="008F76A3">
        <w:t xml:space="preserve">ystem so that access can </w:t>
      </w:r>
      <w:r>
        <w:t xml:space="preserve">quickly </w:t>
      </w:r>
      <w:r w:rsidRPr="008F76A3">
        <w:t>be given to new owners and/or contacts.</w:t>
      </w:r>
    </w:p>
    <w:p w:rsidR="006F7B30" w:rsidRDefault="006F7B30" w:rsidP="006F7B30">
      <w:pPr>
        <w:pStyle w:val="Heading2"/>
      </w:pPr>
      <w:bookmarkStart w:id="13" w:name="_Toc261606925"/>
      <w:bookmarkStart w:id="14" w:name="_Toc332093024"/>
      <w:r>
        <w:lastRenderedPageBreak/>
        <w:t>B.4. Tests of Procedures</w:t>
      </w:r>
      <w:bookmarkEnd w:id="13"/>
      <w:bookmarkEnd w:id="14"/>
    </w:p>
    <w:p w:rsidR="00112620" w:rsidRDefault="00112620" w:rsidP="006F7B30">
      <w:pPr>
        <w:spacing w:before="120" w:after="100" w:afterAutospacing="1"/>
        <w:jc w:val="both"/>
      </w:pPr>
      <w:r>
        <w:t xml:space="preserve">The </w:t>
      </w:r>
      <w:r w:rsidR="00E20A35">
        <w:t xml:space="preserve">Forms </w:t>
      </w:r>
      <w:r>
        <w:t>EIA-861 and EIA-923 (including Schedule 2) were subject to full review when the surveys went through the regular three-year clearance process in 2010.</w:t>
      </w:r>
      <w:r w:rsidR="008608EE">
        <w:t xml:space="preserve">  </w:t>
      </w:r>
      <w:r w:rsidR="006F7B30" w:rsidRPr="00AE25B8">
        <w:t>The electric power surveys are established continuing surveys</w:t>
      </w:r>
      <w:r w:rsidR="006F7B30">
        <w:t>,</w:t>
      </w:r>
      <w:r w:rsidR="006F7B30" w:rsidRPr="00AE25B8">
        <w:t xml:space="preserve"> and testing was </w:t>
      </w:r>
      <w:r w:rsidR="006F7B30">
        <w:t>performed</w:t>
      </w:r>
      <w:r w:rsidR="006F7B30" w:rsidRPr="00AE25B8">
        <w:t xml:space="preserve"> at the time the</w:t>
      </w:r>
      <w:r w:rsidR="006F7B30">
        <w:t xml:space="preserve"> surve</w:t>
      </w:r>
      <w:r w:rsidR="006F7B30" w:rsidRPr="00AE25B8">
        <w:t>y</w:t>
      </w:r>
      <w:r w:rsidR="006F7B30">
        <w:t>s</w:t>
      </w:r>
      <w:r w:rsidR="006F7B30" w:rsidRPr="00AE25B8">
        <w:t xml:space="preserve"> were being established.</w:t>
      </w:r>
      <w:r>
        <w:rPr>
          <w:rStyle w:val="FootnoteReference"/>
        </w:rPr>
        <w:footnoteReference w:id="6"/>
      </w:r>
      <w:r>
        <w:t xml:space="preserve">  The proposed revisions to the surveys result in minimal changes to the survey forms, as illustrated by the markups </w:t>
      </w:r>
      <w:r w:rsidR="00277C25">
        <w:t>of the forms accompanying</w:t>
      </w:r>
      <w:r>
        <w:t xml:space="preserve"> this supporting statement.</w:t>
      </w:r>
      <w:r w:rsidR="006F7B30" w:rsidRPr="00AE25B8">
        <w:t xml:space="preserve"> </w:t>
      </w:r>
    </w:p>
    <w:p w:rsidR="006F7B30" w:rsidRPr="00AE25B8" w:rsidRDefault="00112620" w:rsidP="006F7B30">
      <w:pPr>
        <w:spacing w:before="120" w:after="100" w:afterAutospacing="1"/>
        <w:jc w:val="both"/>
      </w:pPr>
      <w:r>
        <w:t xml:space="preserve">The </w:t>
      </w:r>
      <w:r w:rsidR="00E20A35">
        <w:t xml:space="preserve">Form </w:t>
      </w:r>
      <w:r>
        <w:t xml:space="preserve">EIA-861S is a new short form based on the </w:t>
      </w:r>
      <w:r w:rsidR="00E20A35">
        <w:t xml:space="preserve">Form </w:t>
      </w:r>
      <w:r>
        <w:t xml:space="preserve">EIA-861.  The survey was developed with the assistance of EIA’s in-house design experts and also made available as part of the 60-day Federal Register Notice </w:t>
      </w:r>
      <w:r w:rsidR="00306937">
        <w:t>process for public review.</w:t>
      </w:r>
    </w:p>
    <w:p w:rsidR="006F7B30" w:rsidRDefault="006F7B30" w:rsidP="006F7B30">
      <w:pPr>
        <w:pStyle w:val="Heading2"/>
      </w:pPr>
      <w:bookmarkStart w:id="15" w:name="_Toc261606926"/>
      <w:bookmarkStart w:id="16" w:name="_Toc332093025"/>
      <w:r>
        <w:t>B.5. Forms Consultation</w:t>
      </w:r>
      <w:bookmarkEnd w:id="15"/>
      <w:bookmarkEnd w:id="16"/>
    </w:p>
    <w:p w:rsidR="006F7B30" w:rsidRPr="00C15751" w:rsidRDefault="006F7B30" w:rsidP="006F7B30">
      <w:pPr>
        <w:tabs>
          <w:tab w:val="left" w:pos="1152"/>
          <w:tab w:val="left" w:pos="2160"/>
          <w:tab w:val="left" w:pos="3024"/>
          <w:tab w:val="left" w:pos="4320"/>
          <w:tab w:val="left" w:pos="7776"/>
        </w:tabs>
        <w:spacing w:before="120"/>
        <w:jc w:val="both"/>
        <w:rPr>
          <w:bCs/>
        </w:rPr>
      </w:pPr>
      <w:r w:rsidRPr="00C15751">
        <w:rPr>
          <w:bCs/>
        </w:rPr>
        <w:t xml:space="preserve">EIA contacted a variety of electric power industry participants to make them aware of the proposals for the Forms EIA-861 and EIA-923 </w:t>
      </w:r>
      <w:r>
        <w:rPr>
          <w:bCs/>
        </w:rPr>
        <w:t xml:space="preserve">survey form </w:t>
      </w:r>
      <w:r w:rsidRPr="00C15751">
        <w:rPr>
          <w:bCs/>
        </w:rPr>
        <w:t xml:space="preserve">changes and to elicit their suggestions, concerns, and needs.  All of the current </w:t>
      </w:r>
      <w:r>
        <w:rPr>
          <w:bCs/>
        </w:rPr>
        <w:t>r</w:t>
      </w:r>
      <w:r w:rsidRPr="00C15751">
        <w:rPr>
          <w:bCs/>
        </w:rPr>
        <w:t>espondents were contacted along with the following stakeholders:</w:t>
      </w:r>
    </w:p>
    <w:p w:rsidR="006F7B30" w:rsidRPr="00C15751" w:rsidRDefault="006F7B30" w:rsidP="006F7B30">
      <w:pPr>
        <w:numPr>
          <w:ilvl w:val="0"/>
          <w:numId w:val="2"/>
        </w:numPr>
        <w:tabs>
          <w:tab w:val="left" w:pos="1152"/>
          <w:tab w:val="left" w:pos="2160"/>
          <w:tab w:val="left" w:pos="3024"/>
          <w:tab w:val="left" w:pos="4320"/>
          <w:tab w:val="left" w:pos="7776"/>
        </w:tabs>
        <w:spacing w:before="60" w:after="100" w:afterAutospacing="1"/>
        <w:rPr>
          <w:bCs/>
        </w:rPr>
      </w:pPr>
      <w:r w:rsidRPr="00C15751">
        <w:rPr>
          <w:bCs/>
        </w:rPr>
        <w:t>American Council for an Energy Efficient Economy</w:t>
      </w:r>
    </w:p>
    <w:p w:rsidR="006F7B30" w:rsidRPr="00C15751" w:rsidRDefault="006F7B30" w:rsidP="006F7B30">
      <w:pPr>
        <w:numPr>
          <w:ilvl w:val="0"/>
          <w:numId w:val="2"/>
        </w:numPr>
        <w:tabs>
          <w:tab w:val="left" w:pos="1152"/>
          <w:tab w:val="left" w:pos="2160"/>
          <w:tab w:val="left" w:pos="3024"/>
          <w:tab w:val="left" w:pos="4320"/>
          <w:tab w:val="left" w:pos="7776"/>
        </w:tabs>
        <w:spacing w:before="100" w:beforeAutospacing="1" w:after="100" w:afterAutospacing="1"/>
        <w:rPr>
          <w:bCs/>
        </w:rPr>
      </w:pPr>
      <w:r w:rsidRPr="00C15751">
        <w:rPr>
          <w:bCs/>
        </w:rPr>
        <w:t>American Public Power Association</w:t>
      </w:r>
    </w:p>
    <w:p w:rsidR="006F7B30" w:rsidRPr="00C15751" w:rsidRDefault="006F7B30" w:rsidP="006F7B30">
      <w:pPr>
        <w:numPr>
          <w:ilvl w:val="0"/>
          <w:numId w:val="2"/>
        </w:numPr>
        <w:tabs>
          <w:tab w:val="left" w:pos="1152"/>
          <w:tab w:val="left" w:pos="2160"/>
          <w:tab w:val="left" w:pos="3024"/>
          <w:tab w:val="left" w:pos="4320"/>
          <w:tab w:val="left" w:pos="7776"/>
        </w:tabs>
        <w:spacing w:before="100" w:beforeAutospacing="1" w:after="100" w:afterAutospacing="1"/>
        <w:rPr>
          <w:bCs/>
        </w:rPr>
      </w:pPr>
      <w:r w:rsidRPr="00C15751">
        <w:rPr>
          <w:bCs/>
        </w:rPr>
        <w:t>American Statistic Association</w:t>
      </w:r>
    </w:p>
    <w:p w:rsidR="006F7B30" w:rsidRPr="00C15751" w:rsidRDefault="006F7B30" w:rsidP="006F7B30">
      <w:pPr>
        <w:numPr>
          <w:ilvl w:val="0"/>
          <w:numId w:val="2"/>
        </w:numPr>
        <w:tabs>
          <w:tab w:val="left" w:pos="1152"/>
          <w:tab w:val="left" w:pos="2160"/>
          <w:tab w:val="left" w:pos="3024"/>
          <w:tab w:val="left" w:pos="4320"/>
          <w:tab w:val="left" w:pos="7776"/>
        </w:tabs>
        <w:spacing w:before="100" w:beforeAutospacing="1" w:after="100" w:afterAutospacing="1"/>
        <w:rPr>
          <w:bCs/>
        </w:rPr>
      </w:pPr>
      <w:r w:rsidRPr="00C15751">
        <w:rPr>
          <w:bCs/>
        </w:rPr>
        <w:t>American Wind Energy Association</w:t>
      </w:r>
    </w:p>
    <w:p w:rsidR="006F7B30" w:rsidRPr="00C15751" w:rsidRDefault="006F7B30" w:rsidP="006F7B30">
      <w:pPr>
        <w:numPr>
          <w:ilvl w:val="0"/>
          <w:numId w:val="2"/>
        </w:numPr>
        <w:tabs>
          <w:tab w:val="left" w:pos="1152"/>
          <w:tab w:val="left" w:pos="2160"/>
          <w:tab w:val="left" w:pos="3024"/>
          <w:tab w:val="left" w:pos="4320"/>
          <w:tab w:val="left" w:pos="7776"/>
        </w:tabs>
        <w:spacing w:before="100" w:beforeAutospacing="1" w:after="100" w:afterAutospacing="1"/>
        <w:rPr>
          <w:bCs/>
        </w:rPr>
      </w:pPr>
      <w:r w:rsidRPr="00C15751">
        <w:rPr>
          <w:bCs/>
        </w:rPr>
        <w:t>DOE, Office of Electricity Delivery and Energy Reliability</w:t>
      </w:r>
    </w:p>
    <w:p w:rsidR="006F7B30" w:rsidRPr="00C15751" w:rsidRDefault="006F7B30" w:rsidP="006F7B30">
      <w:pPr>
        <w:numPr>
          <w:ilvl w:val="0"/>
          <w:numId w:val="2"/>
        </w:numPr>
        <w:tabs>
          <w:tab w:val="left" w:pos="1152"/>
          <w:tab w:val="left" w:pos="2160"/>
          <w:tab w:val="left" w:pos="3024"/>
          <w:tab w:val="left" w:pos="4320"/>
          <w:tab w:val="left" w:pos="7776"/>
        </w:tabs>
        <w:spacing w:before="100" w:beforeAutospacing="1" w:after="100" w:afterAutospacing="1"/>
        <w:rPr>
          <w:bCs/>
        </w:rPr>
      </w:pPr>
      <w:r w:rsidRPr="00C15751">
        <w:rPr>
          <w:bCs/>
        </w:rPr>
        <w:t>DOE, Office of Fossil Energy</w:t>
      </w:r>
    </w:p>
    <w:p w:rsidR="006F7B30" w:rsidRPr="00C15751" w:rsidRDefault="006F7B30" w:rsidP="006F7B30">
      <w:pPr>
        <w:numPr>
          <w:ilvl w:val="0"/>
          <w:numId w:val="2"/>
        </w:numPr>
        <w:tabs>
          <w:tab w:val="left" w:pos="1152"/>
          <w:tab w:val="left" w:pos="2160"/>
          <w:tab w:val="left" w:pos="3024"/>
          <w:tab w:val="left" w:pos="4320"/>
          <w:tab w:val="left" w:pos="7776"/>
        </w:tabs>
        <w:spacing w:before="100" w:beforeAutospacing="1" w:after="100" w:afterAutospacing="1"/>
        <w:rPr>
          <w:bCs/>
        </w:rPr>
      </w:pPr>
      <w:r w:rsidRPr="00C15751">
        <w:rPr>
          <w:bCs/>
        </w:rPr>
        <w:t>Edison Electric Institute</w:t>
      </w:r>
    </w:p>
    <w:p w:rsidR="006F7B30" w:rsidRPr="00C15751" w:rsidRDefault="006F7B30" w:rsidP="006F7B30">
      <w:pPr>
        <w:numPr>
          <w:ilvl w:val="0"/>
          <w:numId w:val="2"/>
        </w:numPr>
        <w:tabs>
          <w:tab w:val="left" w:pos="1152"/>
          <w:tab w:val="left" w:pos="2160"/>
          <w:tab w:val="left" w:pos="3024"/>
          <w:tab w:val="left" w:pos="4320"/>
          <w:tab w:val="left" w:pos="7776"/>
        </w:tabs>
        <w:spacing w:before="100" w:beforeAutospacing="1" w:after="100" w:afterAutospacing="1"/>
        <w:rPr>
          <w:bCs/>
        </w:rPr>
      </w:pPr>
      <w:r w:rsidRPr="00C15751">
        <w:rPr>
          <w:bCs/>
        </w:rPr>
        <w:t>Electricity Consumers Resource Council</w:t>
      </w:r>
    </w:p>
    <w:p w:rsidR="006F7B30" w:rsidRPr="00C15751" w:rsidRDefault="006F7B30" w:rsidP="006F7B30">
      <w:pPr>
        <w:numPr>
          <w:ilvl w:val="0"/>
          <w:numId w:val="2"/>
        </w:numPr>
        <w:tabs>
          <w:tab w:val="left" w:pos="1152"/>
          <w:tab w:val="left" w:pos="2160"/>
          <w:tab w:val="left" w:pos="3024"/>
          <w:tab w:val="left" w:pos="4320"/>
          <w:tab w:val="left" w:pos="7776"/>
        </w:tabs>
        <w:spacing w:before="100" w:beforeAutospacing="1" w:after="100" w:afterAutospacing="1"/>
        <w:rPr>
          <w:bCs/>
        </w:rPr>
      </w:pPr>
      <w:r w:rsidRPr="00C15751">
        <w:rPr>
          <w:bCs/>
        </w:rPr>
        <w:t>Electricity Storage Association</w:t>
      </w:r>
    </w:p>
    <w:p w:rsidR="006F7B30" w:rsidRDefault="006F7B30" w:rsidP="006F7B30">
      <w:pPr>
        <w:numPr>
          <w:ilvl w:val="0"/>
          <w:numId w:val="2"/>
        </w:numPr>
        <w:tabs>
          <w:tab w:val="left" w:pos="1152"/>
          <w:tab w:val="left" w:pos="2160"/>
          <w:tab w:val="left" w:pos="3024"/>
          <w:tab w:val="left" w:pos="4320"/>
          <w:tab w:val="left" w:pos="7776"/>
        </w:tabs>
        <w:spacing w:before="100" w:beforeAutospacing="1" w:after="100" w:afterAutospacing="1"/>
        <w:rPr>
          <w:bCs/>
        </w:rPr>
      </w:pPr>
      <w:r w:rsidRPr="00C15751">
        <w:rPr>
          <w:bCs/>
        </w:rPr>
        <w:t>Electric Power Supply Association</w:t>
      </w:r>
    </w:p>
    <w:p w:rsidR="00B4069B" w:rsidRPr="00B4069B" w:rsidRDefault="00B4069B" w:rsidP="00B4069B">
      <w:pPr>
        <w:numPr>
          <w:ilvl w:val="0"/>
          <w:numId w:val="2"/>
        </w:numPr>
        <w:tabs>
          <w:tab w:val="left" w:pos="1152"/>
          <w:tab w:val="left" w:pos="2160"/>
          <w:tab w:val="left" w:pos="3024"/>
          <w:tab w:val="left" w:pos="4320"/>
          <w:tab w:val="left" w:pos="7776"/>
        </w:tabs>
        <w:spacing w:before="100" w:beforeAutospacing="1" w:after="100" w:afterAutospacing="1"/>
        <w:rPr>
          <w:bCs/>
        </w:rPr>
      </w:pPr>
      <w:r w:rsidRPr="00C15751">
        <w:rPr>
          <w:bCs/>
        </w:rPr>
        <w:t>U. S. Environmental Protection Agency</w:t>
      </w:r>
    </w:p>
    <w:p w:rsidR="006F7B30" w:rsidRPr="00C15751" w:rsidRDefault="006F7B30" w:rsidP="006F7B30">
      <w:pPr>
        <w:numPr>
          <w:ilvl w:val="0"/>
          <w:numId w:val="2"/>
        </w:numPr>
        <w:tabs>
          <w:tab w:val="left" w:pos="1152"/>
          <w:tab w:val="left" w:pos="2160"/>
          <w:tab w:val="left" w:pos="3024"/>
          <w:tab w:val="left" w:pos="4320"/>
          <w:tab w:val="left" w:pos="7776"/>
        </w:tabs>
        <w:spacing w:before="100" w:beforeAutospacing="1" w:after="100" w:afterAutospacing="1"/>
        <w:rPr>
          <w:bCs/>
        </w:rPr>
      </w:pPr>
      <w:r w:rsidRPr="00C15751">
        <w:rPr>
          <w:bCs/>
        </w:rPr>
        <w:t>Federal Energy Regulatory Commission</w:t>
      </w:r>
    </w:p>
    <w:p w:rsidR="006F7B30" w:rsidRPr="00C15751" w:rsidRDefault="006F7B30" w:rsidP="006F7B30">
      <w:pPr>
        <w:numPr>
          <w:ilvl w:val="0"/>
          <w:numId w:val="2"/>
        </w:numPr>
        <w:tabs>
          <w:tab w:val="left" w:pos="1152"/>
          <w:tab w:val="left" w:pos="2160"/>
          <w:tab w:val="left" w:pos="3024"/>
          <w:tab w:val="left" w:pos="4320"/>
          <w:tab w:val="left" w:pos="7776"/>
        </w:tabs>
        <w:spacing w:before="100" w:beforeAutospacing="1" w:after="100" w:afterAutospacing="1"/>
        <w:rPr>
          <w:bCs/>
        </w:rPr>
      </w:pPr>
      <w:r w:rsidRPr="00C15751">
        <w:rPr>
          <w:bCs/>
        </w:rPr>
        <w:t>National Association of Regulatory Utility Commissioners</w:t>
      </w:r>
    </w:p>
    <w:p w:rsidR="006F7B30" w:rsidRPr="00C15751" w:rsidRDefault="006F7B30" w:rsidP="006F7B30">
      <w:pPr>
        <w:numPr>
          <w:ilvl w:val="0"/>
          <w:numId w:val="2"/>
        </w:numPr>
        <w:tabs>
          <w:tab w:val="left" w:pos="1152"/>
          <w:tab w:val="left" w:pos="2160"/>
          <w:tab w:val="left" w:pos="3024"/>
          <w:tab w:val="left" w:pos="4320"/>
          <w:tab w:val="left" w:pos="7776"/>
        </w:tabs>
        <w:spacing w:before="100" w:beforeAutospacing="1" w:after="100" w:afterAutospacing="1"/>
        <w:rPr>
          <w:bCs/>
        </w:rPr>
      </w:pPr>
      <w:r w:rsidRPr="00C15751">
        <w:rPr>
          <w:bCs/>
        </w:rPr>
        <w:t>National Association of State Utility Consumer Advocates</w:t>
      </w:r>
    </w:p>
    <w:p w:rsidR="006F7B30" w:rsidRPr="00C15751" w:rsidRDefault="006F7B30" w:rsidP="006F7B30">
      <w:pPr>
        <w:numPr>
          <w:ilvl w:val="0"/>
          <w:numId w:val="2"/>
        </w:numPr>
        <w:tabs>
          <w:tab w:val="left" w:pos="1152"/>
          <w:tab w:val="left" w:pos="2160"/>
          <w:tab w:val="left" w:pos="3024"/>
          <w:tab w:val="left" w:pos="4320"/>
          <w:tab w:val="left" w:pos="7776"/>
        </w:tabs>
        <w:spacing w:before="100" w:beforeAutospacing="1" w:after="100" w:afterAutospacing="1"/>
        <w:rPr>
          <w:bCs/>
        </w:rPr>
      </w:pPr>
      <w:r w:rsidRPr="00C15751">
        <w:rPr>
          <w:bCs/>
        </w:rPr>
        <w:t>National Hydropower Association</w:t>
      </w:r>
    </w:p>
    <w:p w:rsidR="006F7B30" w:rsidRPr="00C15751" w:rsidRDefault="006F7B30" w:rsidP="006F7B30">
      <w:pPr>
        <w:numPr>
          <w:ilvl w:val="0"/>
          <w:numId w:val="2"/>
        </w:numPr>
        <w:tabs>
          <w:tab w:val="left" w:pos="1152"/>
          <w:tab w:val="left" w:pos="2160"/>
          <w:tab w:val="left" w:pos="3024"/>
          <w:tab w:val="left" w:pos="4320"/>
          <w:tab w:val="left" w:pos="7776"/>
        </w:tabs>
        <w:spacing w:before="100" w:beforeAutospacing="1" w:after="100" w:afterAutospacing="1"/>
        <w:rPr>
          <w:bCs/>
        </w:rPr>
      </w:pPr>
      <w:r w:rsidRPr="00C15751">
        <w:rPr>
          <w:bCs/>
        </w:rPr>
        <w:t>National Mining Association</w:t>
      </w:r>
    </w:p>
    <w:p w:rsidR="006F7B30" w:rsidRPr="00C15751" w:rsidRDefault="006F7B30" w:rsidP="006F7B30">
      <w:pPr>
        <w:numPr>
          <w:ilvl w:val="0"/>
          <w:numId w:val="2"/>
        </w:numPr>
        <w:tabs>
          <w:tab w:val="left" w:pos="1152"/>
          <w:tab w:val="left" w:pos="2160"/>
          <w:tab w:val="left" w:pos="3024"/>
          <w:tab w:val="left" w:pos="4320"/>
          <w:tab w:val="left" w:pos="7776"/>
        </w:tabs>
        <w:spacing w:before="100" w:beforeAutospacing="1" w:after="100" w:afterAutospacing="1"/>
        <w:rPr>
          <w:bCs/>
        </w:rPr>
      </w:pPr>
      <w:r w:rsidRPr="00C15751">
        <w:rPr>
          <w:bCs/>
        </w:rPr>
        <w:t>National Rural Electric Cooperative Association</w:t>
      </w:r>
    </w:p>
    <w:p w:rsidR="006F7B30" w:rsidRPr="00C15751" w:rsidRDefault="006F7B30" w:rsidP="006F7B30">
      <w:pPr>
        <w:numPr>
          <w:ilvl w:val="0"/>
          <w:numId w:val="2"/>
        </w:numPr>
        <w:tabs>
          <w:tab w:val="left" w:pos="1152"/>
          <w:tab w:val="left" w:pos="2160"/>
          <w:tab w:val="left" w:pos="3024"/>
          <w:tab w:val="left" w:pos="4320"/>
          <w:tab w:val="left" w:pos="7776"/>
        </w:tabs>
        <w:spacing w:before="100" w:beforeAutospacing="1" w:after="100" w:afterAutospacing="1"/>
        <w:rPr>
          <w:bCs/>
        </w:rPr>
      </w:pPr>
      <w:r w:rsidRPr="00C15751">
        <w:rPr>
          <w:bCs/>
        </w:rPr>
        <w:t>Natural Resources Defense Council</w:t>
      </w:r>
    </w:p>
    <w:p w:rsidR="006F7B30" w:rsidRPr="00C15751" w:rsidRDefault="006F7B30" w:rsidP="006F7B30">
      <w:pPr>
        <w:numPr>
          <w:ilvl w:val="0"/>
          <w:numId w:val="2"/>
        </w:numPr>
        <w:tabs>
          <w:tab w:val="left" w:pos="1152"/>
          <w:tab w:val="left" w:pos="2160"/>
          <w:tab w:val="left" w:pos="3024"/>
          <w:tab w:val="left" w:pos="4320"/>
          <w:tab w:val="left" w:pos="7776"/>
        </w:tabs>
        <w:spacing w:before="100" w:beforeAutospacing="1" w:after="100" w:afterAutospacing="1"/>
        <w:rPr>
          <w:bCs/>
        </w:rPr>
      </w:pPr>
      <w:r w:rsidRPr="00C15751">
        <w:rPr>
          <w:bCs/>
        </w:rPr>
        <w:t>North American Electric Reliability Corporation</w:t>
      </w:r>
    </w:p>
    <w:p w:rsidR="006F7B30" w:rsidRPr="00C15751" w:rsidRDefault="006F7B30" w:rsidP="006F7B30">
      <w:pPr>
        <w:numPr>
          <w:ilvl w:val="0"/>
          <w:numId w:val="2"/>
        </w:numPr>
        <w:tabs>
          <w:tab w:val="left" w:pos="1152"/>
          <w:tab w:val="left" w:pos="2160"/>
          <w:tab w:val="left" w:pos="3024"/>
          <w:tab w:val="left" w:pos="4320"/>
          <w:tab w:val="left" w:pos="7776"/>
        </w:tabs>
        <w:spacing w:before="100" w:beforeAutospacing="1" w:after="100" w:afterAutospacing="1"/>
        <w:rPr>
          <w:bCs/>
        </w:rPr>
      </w:pPr>
      <w:r w:rsidRPr="00C15751">
        <w:rPr>
          <w:bCs/>
        </w:rPr>
        <w:lastRenderedPageBreak/>
        <w:t>Ocean Renewable Power Company</w:t>
      </w:r>
    </w:p>
    <w:p w:rsidR="006F7B30" w:rsidRPr="00C15751" w:rsidRDefault="006F7B30" w:rsidP="006F7B30">
      <w:pPr>
        <w:numPr>
          <w:ilvl w:val="0"/>
          <w:numId w:val="2"/>
        </w:numPr>
        <w:tabs>
          <w:tab w:val="left" w:pos="1152"/>
          <w:tab w:val="left" w:pos="2160"/>
          <w:tab w:val="left" w:pos="3024"/>
          <w:tab w:val="left" w:pos="4320"/>
          <w:tab w:val="left" w:pos="7776"/>
        </w:tabs>
        <w:spacing w:before="100" w:beforeAutospacing="1" w:after="100" w:afterAutospacing="1"/>
        <w:rPr>
          <w:bCs/>
        </w:rPr>
      </w:pPr>
      <w:r w:rsidRPr="00C15751">
        <w:rPr>
          <w:bCs/>
        </w:rPr>
        <w:t>Ozone Transportation Commission</w:t>
      </w:r>
    </w:p>
    <w:p w:rsidR="006F7B30" w:rsidRPr="00C15751" w:rsidRDefault="006F7B30" w:rsidP="006F7B30">
      <w:pPr>
        <w:numPr>
          <w:ilvl w:val="0"/>
          <w:numId w:val="2"/>
        </w:numPr>
        <w:tabs>
          <w:tab w:val="left" w:pos="1152"/>
          <w:tab w:val="left" w:pos="2160"/>
          <w:tab w:val="left" w:pos="3024"/>
          <w:tab w:val="left" w:pos="4320"/>
          <w:tab w:val="left" w:pos="7776"/>
        </w:tabs>
        <w:spacing w:before="100" w:beforeAutospacing="1" w:after="100" w:afterAutospacing="1"/>
        <w:rPr>
          <w:bCs/>
        </w:rPr>
      </w:pPr>
      <w:r w:rsidRPr="00C15751">
        <w:rPr>
          <w:bCs/>
        </w:rPr>
        <w:t>Platts</w:t>
      </w:r>
    </w:p>
    <w:p w:rsidR="006F7B30" w:rsidRPr="00C15751" w:rsidRDefault="006F7B30" w:rsidP="006F7B30">
      <w:pPr>
        <w:numPr>
          <w:ilvl w:val="0"/>
          <w:numId w:val="2"/>
        </w:numPr>
        <w:tabs>
          <w:tab w:val="left" w:pos="1152"/>
          <w:tab w:val="left" w:pos="2160"/>
          <w:tab w:val="left" w:pos="3024"/>
          <w:tab w:val="left" w:pos="4320"/>
          <w:tab w:val="left" w:pos="7776"/>
        </w:tabs>
        <w:spacing w:before="100" w:beforeAutospacing="1" w:after="100" w:afterAutospacing="1"/>
        <w:rPr>
          <w:bCs/>
        </w:rPr>
      </w:pPr>
      <w:r w:rsidRPr="00C15751">
        <w:rPr>
          <w:bCs/>
        </w:rPr>
        <w:t>Science and Technology Policy Institute</w:t>
      </w:r>
    </w:p>
    <w:p w:rsidR="006F7B30" w:rsidRPr="00C15751" w:rsidRDefault="006F7B30" w:rsidP="006F7B30">
      <w:pPr>
        <w:numPr>
          <w:ilvl w:val="0"/>
          <w:numId w:val="2"/>
        </w:numPr>
        <w:tabs>
          <w:tab w:val="left" w:pos="1152"/>
          <w:tab w:val="left" w:pos="2160"/>
          <w:tab w:val="left" w:pos="3024"/>
          <w:tab w:val="left" w:pos="4320"/>
          <w:tab w:val="left" w:pos="7776"/>
        </w:tabs>
        <w:spacing w:before="100" w:beforeAutospacing="1" w:after="100" w:afterAutospacing="1"/>
        <w:rPr>
          <w:bCs/>
        </w:rPr>
      </w:pPr>
      <w:r w:rsidRPr="00C15751">
        <w:rPr>
          <w:bCs/>
        </w:rPr>
        <w:t>Solar Energy Industries Association</w:t>
      </w:r>
    </w:p>
    <w:p w:rsidR="00300165" w:rsidRDefault="00300165" w:rsidP="006F7B30">
      <w:pPr>
        <w:pStyle w:val="BodyText"/>
      </w:pPr>
      <w:r>
        <w:t xml:space="preserve">Interested parties were also notified of the proposed changes via the 60-day Federal Register Notice (FR Vol. 77, No. 51, pg. 15362, </w:t>
      </w:r>
      <w:r w:rsidRPr="000D6A2A">
        <w:t xml:space="preserve">published on </w:t>
      </w:r>
      <w:r>
        <w:t>March 15, 2012) and a press release on April 9, 2012 sent to an</w:t>
      </w:r>
      <w:r w:rsidRPr="000906EB">
        <w:t xml:space="preserve"> email list</w:t>
      </w:r>
      <w:r>
        <w:t xml:space="preserve"> of</w:t>
      </w:r>
      <w:r w:rsidRPr="000906EB">
        <w:t xml:space="preserve"> over 10,000 subscribers</w:t>
      </w:r>
      <w:r w:rsidR="008608EE">
        <w:t>.  For a summary of the comments received and EIA’s response see Part A, Appendix A-1.</w:t>
      </w:r>
    </w:p>
    <w:p w:rsidR="006F7B30" w:rsidRDefault="006F7B30" w:rsidP="006F7B30">
      <w:pPr>
        <w:pStyle w:val="BodyText"/>
      </w:pPr>
      <w:r w:rsidRPr="009825EA">
        <w:t>As discussed in Part A of this supporting statement, based on comments received the following changes were made to the original proposal:</w:t>
      </w:r>
    </w:p>
    <w:p w:rsidR="006F7B30" w:rsidRPr="00BC15D6" w:rsidRDefault="006F7B30" w:rsidP="006F7B30">
      <w:pPr>
        <w:pStyle w:val="BodyText"/>
        <w:numPr>
          <w:ilvl w:val="0"/>
          <w:numId w:val="3"/>
        </w:numPr>
        <w:spacing w:after="200"/>
      </w:pPr>
      <w:r w:rsidRPr="009825EA">
        <w:t xml:space="preserve">The </w:t>
      </w:r>
      <w:r w:rsidR="00E20A35">
        <w:t xml:space="preserve">Form </w:t>
      </w:r>
      <w:r w:rsidRPr="009825EA">
        <w:t xml:space="preserve">EIA-861S </w:t>
      </w:r>
      <w:r w:rsidR="00300165">
        <w:t>will</w:t>
      </w:r>
      <w:r w:rsidRPr="009825EA">
        <w:t xml:space="preserve"> collect retail </w:t>
      </w:r>
      <w:r w:rsidRPr="00B4069B">
        <w:t xml:space="preserve">revenues </w:t>
      </w:r>
      <w:r w:rsidR="00380430" w:rsidRPr="00B4069B">
        <w:t>and customer</w:t>
      </w:r>
      <w:r w:rsidRPr="00B4069B">
        <w:t xml:space="preserve"> </w:t>
      </w:r>
      <w:r w:rsidR="00380430" w:rsidRPr="00B4069B">
        <w:t xml:space="preserve">counts in </w:t>
      </w:r>
      <w:r w:rsidRPr="00B4069B">
        <w:t>addition</w:t>
      </w:r>
      <w:r w:rsidRPr="009825EA">
        <w:t xml:space="preserve"> to retail sales (MWh</w:t>
      </w:r>
      <w:r w:rsidR="00380430">
        <w:t>)</w:t>
      </w:r>
      <w:r w:rsidRPr="009825EA">
        <w:t>.</w:t>
      </w:r>
    </w:p>
    <w:p w:rsidR="006F7B30" w:rsidRPr="00BC15D6" w:rsidRDefault="006F7B30" w:rsidP="006F7B30">
      <w:pPr>
        <w:pStyle w:val="BodyText"/>
        <w:numPr>
          <w:ilvl w:val="0"/>
          <w:numId w:val="3"/>
        </w:numPr>
        <w:spacing w:after="200"/>
      </w:pPr>
      <w:r w:rsidRPr="009825EA">
        <w:t>On Schedule 2 of the</w:t>
      </w:r>
      <w:r w:rsidR="003A46AD">
        <w:t xml:space="preserve"> Form </w:t>
      </w:r>
      <w:r w:rsidRPr="009825EA">
        <w:t>EIA-923, the 50 M</w:t>
      </w:r>
      <w:r w:rsidR="003F3D56">
        <w:t>W</w:t>
      </w:r>
      <w:r w:rsidRPr="009825EA">
        <w:t xml:space="preserve"> reporting threshold will not be raised for plants where the primary fuel is coal.</w:t>
      </w:r>
    </w:p>
    <w:p w:rsidR="006F7B30" w:rsidRPr="001556FF" w:rsidRDefault="006F7B30" w:rsidP="006F7B30">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spacing w:before="100" w:beforeAutospacing="1" w:after="100" w:afterAutospacing="1"/>
      </w:pPr>
      <w:r w:rsidRPr="001556FF">
        <w:t xml:space="preserve">For additional information concerning these surveys, please contact Rebecca A. Peterson at 202-586-4509 or at </w:t>
      </w:r>
      <w:hyperlink r:id="rId9" w:history="1">
        <w:r w:rsidRPr="001556FF">
          <w:t>ERUS2013@eia.gov</w:t>
        </w:r>
      </w:hyperlink>
      <w:r w:rsidRPr="001556FF">
        <w:t>.</w:t>
      </w:r>
    </w:p>
    <w:p w:rsidR="006F7B30" w:rsidRDefault="001F0686" w:rsidP="006F7B30">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spacing w:before="100" w:beforeAutospacing="1" w:after="100" w:afterAutospacing="1"/>
      </w:pPr>
      <w:r w:rsidRPr="001556FF">
        <w:t xml:space="preserve">For information concerning this request for OMB approval, please contact the agency Clearance Officer, </w:t>
      </w:r>
      <w:r>
        <w:t>Alethea Jennings</w:t>
      </w:r>
      <w:r w:rsidRPr="001556FF">
        <w:t>, at (202) 586-</w:t>
      </w:r>
      <w:r>
        <w:t>587</w:t>
      </w:r>
      <w:r w:rsidRPr="001556FF">
        <w:t>9</w:t>
      </w:r>
      <w:r>
        <w:t>,</w:t>
      </w:r>
      <w:r w:rsidRPr="001556FF">
        <w:t xml:space="preserve"> or </w:t>
      </w:r>
      <w:hyperlink r:id="rId10" w:history="1">
        <w:r w:rsidRPr="00431EFD">
          <w:rPr>
            <w:rStyle w:val="Hyperlink"/>
          </w:rPr>
          <w:t>alethea.jennings@eia.gov</w:t>
        </w:r>
      </w:hyperlink>
      <w:r w:rsidRPr="001556FF">
        <w:t>.</w:t>
      </w:r>
    </w:p>
    <w:p w:rsidR="00DD6EEC" w:rsidRDefault="00DD6EEC">
      <w:pPr>
        <w:rPr>
          <w:rFonts w:ascii="Arial Black" w:eastAsiaTheme="majorEastAsia" w:hAnsi="Arial Black" w:cstheme="majorBidi"/>
          <w:bCs/>
          <w:sz w:val="24"/>
          <w:szCs w:val="28"/>
        </w:rPr>
      </w:pPr>
      <w:r>
        <w:br w:type="page"/>
      </w:r>
    </w:p>
    <w:p w:rsidR="00DD6EEC" w:rsidRDefault="00DD6EEC" w:rsidP="00DD6EEC">
      <w:pPr>
        <w:pStyle w:val="Heading1"/>
      </w:pPr>
      <w:r>
        <w:lastRenderedPageBreak/>
        <w:t>Appendix B-1:  Part B of the Original Clearance Package Supporting Statement, September 2010</w:t>
      </w:r>
    </w:p>
    <w:p w:rsidR="00DD6EEC" w:rsidRDefault="00DD6EEC" w:rsidP="00DD6EEC"/>
    <w:p w:rsidR="00DD6EEC" w:rsidRPr="00561F04" w:rsidRDefault="00DD6EEC" w:rsidP="00DD6EEC">
      <w:pPr>
        <w:jc w:val="center"/>
        <w:rPr>
          <w:b/>
          <w:bCs/>
          <w:sz w:val="28"/>
          <w:szCs w:val="28"/>
        </w:rPr>
      </w:pPr>
      <w:r w:rsidRPr="00561F04">
        <w:rPr>
          <w:b/>
          <w:bCs/>
          <w:sz w:val="28"/>
          <w:szCs w:val="28"/>
        </w:rPr>
        <w:t xml:space="preserve">Part </w:t>
      </w:r>
      <w:r>
        <w:rPr>
          <w:b/>
          <w:bCs/>
          <w:sz w:val="28"/>
          <w:szCs w:val="28"/>
        </w:rPr>
        <w:t>B</w:t>
      </w:r>
    </w:p>
    <w:p w:rsidR="00DD6EEC" w:rsidRPr="006D74EB" w:rsidRDefault="00DD6EEC" w:rsidP="00DD6EEC">
      <w:pPr>
        <w:jc w:val="center"/>
        <w:rPr>
          <w:b/>
          <w:bCs/>
          <w:sz w:val="24"/>
          <w:szCs w:val="24"/>
        </w:rPr>
      </w:pPr>
    </w:p>
    <w:p w:rsidR="00DD6EEC" w:rsidRPr="00561F04" w:rsidRDefault="00DD6EEC" w:rsidP="00DD6EEC">
      <w:pPr>
        <w:jc w:val="center"/>
        <w:rPr>
          <w:b/>
          <w:bCs/>
          <w:sz w:val="28"/>
          <w:szCs w:val="28"/>
        </w:rPr>
      </w:pPr>
      <w:r>
        <w:rPr>
          <w:b/>
          <w:bCs/>
          <w:sz w:val="28"/>
          <w:szCs w:val="28"/>
        </w:rPr>
        <w:t>Collection of Information Employing Statistical Methods</w:t>
      </w:r>
    </w:p>
    <w:p w:rsidR="00DD6EEC" w:rsidRDefault="00DD6EEC" w:rsidP="00DD6EEC">
      <w:pPr>
        <w:pStyle w:val="Heading3"/>
        <w:tabs>
          <w:tab w:val="left" w:pos="720"/>
        </w:tabs>
      </w:pPr>
      <w:bookmarkStart w:id="17" w:name="_Toc261606921"/>
      <w:r>
        <w:t>B.1. Respondent</w:t>
      </w:r>
      <w:r>
        <w:rPr>
          <w:rStyle w:val="FootnoteReference"/>
        </w:rPr>
        <w:footnoteReference w:id="7"/>
      </w:r>
      <w:r>
        <w:t xml:space="preserve"> Universe</w:t>
      </w:r>
      <w:bookmarkEnd w:id="17"/>
    </w:p>
    <w:p w:rsidR="00DD6EEC" w:rsidRDefault="00DD6EEC" w:rsidP="00DD6EEC">
      <w:pPr>
        <w:tabs>
          <w:tab w:val="left" w:pos="1152"/>
          <w:tab w:val="left" w:pos="2160"/>
          <w:tab w:val="left" w:pos="3024"/>
          <w:tab w:val="left" w:pos="4320"/>
          <w:tab w:val="left" w:pos="7776"/>
        </w:tabs>
        <w:rPr>
          <w:b/>
          <w:bCs/>
          <w:sz w:val="24"/>
        </w:rPr>
      </w:pPr>
    </w:p>
    <w:p w:rsidR="00DD6EEC" w:rsidRPr="00A32102" w:rsidRDefault="00DD6EEC" w:rsidP="00DD6EEC">
      <w:pPr>
        <w:pStyle w:val="BodyText"/>
        <w:tabs>
          <w:tab w:val="left" w:pos="1152"/>
          <w:tab w:val="left" w:pos="2160"/>
          <w:tab w:val="left" w:pos="3024"/>
          <w:tab w:val="left" w:pos="4320"/>
          <w:tab w:val="left" w:pos="7776"/>
        </w:tabs>
        <w:rPr>
          <w:szCs w:val="24"/>
        </w:rPr>
      </w:pPr>
      <w:r w:rsidRPr="00A32102">
        <w:rPr>
          <w:szCs w:val="24"/>
        </w:rPr>
        <w:t xml:space="preserve">The electric power surveys collectively cover the entire range of companies involved in the generation, transmission, distribution, and sales of electricity.  Of the six surveys in this package, three surveys are of the entire universe (or nearly the entire universe) based on more exacting filing requirements given in those surveys; a fourth survey is for additional information as it becomes available.   A fifth survey has both an annual census and a monthly sample component; and a sixth survey is a monthly sample survey corresponding to one of the annual census surveys.  The respondent frame for each survey is: </w:t>
      </w:r>
    </w:p>
    <w:p w:rsidR="00DD6EEC" w:rsidRDefault="00DD6EEC" w:rsidP="00DD6EEC">
      <w:pPr>
        <w:tabs>
          <w:tab w:val="left" w:pos="1152"/>
          <w:tab w:val="left" w:pos="2160"/>
          <w:tab w:val="left" w:pos="3024"/>
          <w:tab w:val="left" w:pos="4320"/>
          <w:tab w:val="left" w:pos="7776"/>
        </w:tabs>
        <w:rPr>
          <w:sz w:val="24"/>
        </w:rPr>
      </w:pPr>
    </w:p>
    <w:p w:rsidR="00DD6EEC" w:rsidRPr="00BD0633" w:rsidRDefault="00DD6EEC" w:rsidP="00DD6EEC">
      <w:pPr>
        <w:numPr>
          <w:ilvl w:val="0"/>
          <w:numId w:val="7"/>
        </w:numPr>
        <w:tabs>
          <w:tab w:val="left" w:pos="1152"/>
          <w:tab w:val="left" w:pos="2160"/>
          <w:tab w:val="left" w:pos="3024"/>
          <w:tab w:val="left" w:pos="4320"/>
          <w:tab w:val="left" w:pos="7776"/>
        </w:tabs>
        <w:spacing w:after="0" w:line="240" w:lineRule="auto"/>
        <w:rPr>
          <w:sz w:val="24"/>
        </w:rPr>
      </w:pPr>
      <w:r>
        <w:rPr>
          <w:b/>
          <w:bCs/>
          <w:sz w:val="24"/>
        </w:rPr>
        <w:t xml:space="preserve">Form </w:t>
      </w:r>
      <w:r w:rsidRPr="00BD0633">
        <w:rPr>
          <w:b/>
          <w:bCs/>
          <w:sz w:val="24"/>
        </w:rPr>
        <w:t>EIA-411</w:t>
      </w:r>
      <w:r w:rsidRPr="00BD0633">
        <w:rPr>
          <w:sz w:val="24"/>
        </w:rPr>
        <w:t xml:space="preserve"> – The </w:t>
      </w:r>
      <w:r>
        <w:rPr>
          <w:sz w:val="24"/>
        </w:rPr>
        <w:t xml:space="preserve">target population for this annual census comprises all electricity generators and electric utilities in the </w:t>
      </w:r>
      <w:smartTag w:uri="urn:schemas-microsoft-com:office:smarttags" w:element="country-region">
        <w:smartTag w:uri="urn:schemas-microsoft-com:office:smarttags" w:element="place">
          <w:r>
            <w:rPr>
              <w:sz w:val="24"/>
            </w:rPr>
            <w:t>United States</w:t>
          </w:r>
        </w:smartTag>
      </w:smartTag>
      <w:r>
        <w:rPr>
          <w:sz w:val="24"/>
        </w:rPr>
        <w:t xml:space="preserve">.  The </w:t>
      </w:r>
      <w:r w:rsidRPr="00BD0633">
        <w:rPr>
          <w:sz w:val="24"/>
        </w:rPr>
        <w:t xml:space="preserve">eight </w:t>
      </w:r>
      <w:r>
        <w:rPr>
          <w:sz w:val="24"/>
        </w:rPr>
        <w:t xml:space="preserve">Regions of the </w:t>
      </w:r>
      <w:r w:rsidRPr="00BD0633">
        <w:rPr>
          <w:sz w:val="24"/>
        </w:rPr>
        <w:t>North American Electric Reliability Co</w:t>
      </w:r>
      <w:r>
        <w:rPr>
          <w:sz w:val="24"/>
        </w:rPr>
        <w:t xml:space="preserve">rporation (NERC) collect the data from the target population units.  Each Region </w:t>
      </w:r>
      <w:r w:rsidRPr="00BD0633">
        <w:rPr>
          <w:sz w:val="24"/>
        </w:rPr>
        <w:t>assemble</w:t>
      </w:r>
      <w:r>
        <w:rPr>
          <w:sz w:val="24"/>
        </w:rPr>
        <w:t>s</w:t>
      </w:r>
      <w:r w:rsidRPr="00BD0633">
        <w:rPr>
          <w:sz w:val="24"/>
        </w:rPr>
        <w:t xml:space="preserve"> the </w:t>
      </w:r>
      <w:r>
        <w:rPr>
          <w:sz w:val="24"/>
        </w:rPr>
        <w:t xml:space="preserve">required </w:t>
      </w:r>
      <w:r w:rsidRPr="00BD0633">
        <w:rPr>
          <w:sz w:val="24"/>
        </w:rPr>
        <w:t>information using input from the</w:t>
      </w:r>
      <w:r>
        <w:rPr>
          <w:sz w:val="24"/>
        </w:rPr>
        <w:t xml:space="preserve"> member electricity generators and electric utilities in its geographic area</w:t>
      </w:r>
      <w:r w:rsidRPr="00BD0633">
        <w:rPr>
          <w:sz w:val="24"/>
        </w:rPr>
        <w:t xml:space="preserve">.  The </w:t>
      </w:r>
      <w:r>
        <w:rPr>
          <w:sz w:val="24"/>
        </w:rPr>
        <w:t>Regions</w:t>
      </w:r>
      <w:r w:rsidRPr="00BD0633">
        <w:rPr>
          <w:sz w:val="24"/>
        </w:rPr>
        <w:t xml:space="preserve"> </w:t>
      </w:r>
      <w:r>
        <w:rPr>
          <w:sz w:val="24"/>
        </w:rPr>
        <w:t xml:space="preserve">submit </w:t>
      </w:r>
      <w:r w:rsidRPr="00BD0633">
        <w:rPr>
          <w:sz w:val="24"/>
        </w:rPr>
        <w:t>the compile</w:t>
      </w:r>
      <w:r>
        <w:rPr>
          <w:sz w:val="24"/>
        </w:rPr>
        <w:t>d</w:t>
      </w:r>
      <w:r w:rsidRPr="00BD0633">
        <w:rPr>
          <w:sz w:val="24"/>
        </w:rPr>
        <w:t xml:space="preserve"> data to the NERC headquarters</w:t>
      </w:r>
      <w:r>
        <w:rPr>
          <w:sz w:val="24"/>
        </w:rPr>
        <w:t>,</w:t>
      </w:r>
      <w:r w:rsidRPr="00BD0633">
        <w:rPr>
          <w:sz w:val="24"/>
        </w:rPr>
        <w:t xml:space="preserve"> where it is consolidated and forwarded to </w:t>
      </w:r>
      <w:r>
        <w:rPr>
          <w:sz w:val="24"/>
        </w:rPr>
        <w:t xml:space="preserve">the </w:t>
      </w:r>
      <w:r w:rsidRPr="00BD0633">
        <w:rPr>
          <w:sz w:val="24"/>
        </w:rPr>
        <w:t>EIA.</w:t>
      </w:r>
    </w:p>
    <w:p w:rsidR="00DD6EEC" w:rsidRDefault="00DD6EEC" w:rsidP="00DD6EEC">
      <w:pPr>
        <w:tabs>
          <w:tab w:val="left" w:pos="1152"/>
          <w:tab w:val="left" w:pos="2160"/>
          <w:tab w:val="left" w:pos="3024"/>
          <w:tab w:val="left" w:pos="4320"/>
          <w:tab w:val="left" w:pos="7776"/>
        </w:tabs>
        <w:ind w:left="360"/>
        <w:rPr>
          <w:sz w:val="24"/>
        </w:rPr>
      </w:pPr>
    </w:p>
    <w:p w:rsidR="00DD6EEC" w:rsidRDefault="00DD6EEC" w:rsidP="00DD6EEC">
      <w:pPr>
        <w:numPr>
          <w:ilvl w:val="0"/>
          <w:numId w:val="7"/>
        </w:numPr>
        <w:tabs>
          <w:tab w:val="left" w:pos="1152"/>
          <w:tab w:val="left" w:pos="2160"/>
          <w:tab w:val="left" w:pos="3024"/>
          <w:tab w:val="left" w:pos="4320"/>
          <w:tab w:val="left" w:pos="7776"/>
        </w:tabs>
        <w:spacing w:after="0" w:line="240" w:lineRule="auto"/>
        <w:rPr>
          <w:sz w:val="24"/>
        </w:rPr>
      </w:pPr>
      <w:r>
        <w:rPr>
          <w:b/>
          <w:bCs/>
          <w:sz w:val="24"/>
        </w:rPr>
        <w:t>Form EIA-826</w:t>
      </w:r>
      <w:r>
        <w:rPr>
          <w:sz w:val="24"/>
        </w:rPr>
        <w:t xml:space="preserve"> – The target population for this monthly survey comprises all </w:t>
      </w:r>
      <w:smartTag w:uri="urn:schemas-microsoft-com:office:smarttags" w:element="place">
        <w:smartTag w:uri="urn:schemas-microsoft-com:office:smarttags" w:element="country-region">
          <w:r>
            <w:rPr>
              <w:sz w:val="24"/>
            </w:rPr>
            <w:t>U.S.</w:t>
          </w:r>
        </w:smartTag>
      </w:smartTag>
      <w:r>
        <w:rPr>
          <w:sz w:val="24"/>
        </w:rPr>
        <w:t xml:space="preserve"> electric utilities, electric service providers, and distribution companies.  Cutoff sampling is used to select the sample for the Form EIA-826, which includes most of the investor-owned utilities (188), 4 Federal utilities, all electric service providers (92), all distribution companies, and a sample of approximately 164</w:t>
      </w:r>
      <w:r>
        <w:rPr>
          <w:color w:val="FF0000"/>
          <w:sz w:val="24"/>
        </w:rPr>
        <w:t xml:space="preserve"> </w:t>
      </w:r>
      <w:r>
        <w:rPr>
          <w:sz w:val="24"/>
        </w:rPr>
        <w:t>municipal, cooperative, State and political subdivision utilities</w:t>
      </w:r>
      <w:r>
        <w:rPr>
          <w:color w:val="FF0000"/>
          <w:sz w:val="24"/>
        </w:rPr>
        <w:t xml:space="preserve"> </w:t>
      </w:r>
      <w:r>
        <w:rPr>
          <w:sz w:val="24"/>
        </w:rPr>
        <w:t>that have sales to end-use customers.</w:t>
      </w:r>
    </w:p>
    <w:p w:rsidR="00DD6EEC" w:rsidRDefault="00DD6EEC" w:rsidP="00DD6EEC">
      <w:pPr>
        <w:tabs>
          <w:tab w:val="left" w:pos="1152"/>
          <w:tab w:val="left" w:pos="2160"/>
          <w:tab w:val="left" w:pos="3024"/>
          <w:tab w:val="left" w:pos="4320"/>
          <w:tab w:val="left" w:pos="7776"/>
        </w:tabs>
        <w:rPr>
          <w:sz w:val="24"/>
        </w:rPr>
      </w:pPr>
    </w:p>
    <w:p w:rsidR="00DD6EEC" w:rsidRDefault="00DD6EEC" w:rsidP="00DD6EEC">
      <w:pPr>
        <w:numPr>
          <w:ilvl w:val="0"/>
          <w:numId w:val="7"/>
        </w:numPr>
        <w:tabs>
          <w:tab w:val="left" w:pos="1152"/>
          <w:tab w:val="left" w:pos="2160"/>
          <w:tab w:val="left" w:pos="3024"/>
          <w:tab w:val="left" w:pos="4320"/>
          <w:tab w:val="left" w:pos="7776"/>
        </w:tabs>
        <w:spacing w:after="0" w:line="240" w:lineRule="auto"/>
        <w:rPr>
          <w:sz w:val="24"/>
        </w:rPr>
      </w:pPr>
      <w:r>
        <w:rPr>
          <w:b/>
          <w:bCs/>
          <w:sz w:val="24"/>
        </w:rPr>
        <w:t>Form EIA-860</w:t>
      </w:r>
      <w:r>
        <w:rPr>
          <w:sz w:val="24"/>
        </w:rPr>
        <w:t xml:space="preserve"> – The target population for this annual census comprises all existing and proposed (for operation within 5 years) electric power plants that have a total generator nameplate capacity of 1 megawatt or greater.  Companies complete the form for all the </w:t>
      </w:r>
      <w:r>
        <w:rPr>
          <w:sz w:val="24"/>
        </w:rPr>
        <w:lastRenderedPageBreak/>
        <w:t>plants they operate.  There are approximately 2,700 entities that operate and/or propose to operate about 5,800 facilities, containing over 19,000 generators, who are required to file the Form EIA-860.  The respondents to this survey form the basis of the EIA electric power entity frame, from which samples for other surveys are drawn.</w:t>
      </w:r>
    </w:p>
    <w:p w:rsidR="00DD6EEC" w:rsidRDefault="00DD6EEC" w:rsidP="00DD6EEC">
      <w:pPr>
        <w:tabs>
          <w:tab w:val="left" w:pos="1152"/>
          <w:tab w:val="left" w:pos="2160"/>
          <w:tab w:val="left" w:pos="3024"/>
          <w:tab w:val="left" w:pos="4320"/>
          <w:tab w:val="left" w:pos="7776"/>
        </w:tabs>
        <w:ind w:left="360"/>
        <w:rPr>
          <w:sz w:val="24"/>
        </w:rPr>
      </w:pPr>
    </w:p>
    <w:p w:rsidR="00DD6EEC" w:rsidRDefault="00DD6EEC" w:rsidP="00DD6EEC">
      <w:pPr>
        <w:numPr>
          <w:ilvl w:val="0"/>
          <w:numId w:val="7"/>
        </w:numPr>
        <w:tabs>
          <w:tab w:val="left" w:pos="1152"/>
          <w:tab w:val="left" w:pos="2160"/>
          <w:tab w:val="left" w:pos="3024"/>
          <w:tab w:val="left" w:pos="4320"/>
          <w:tab w:val="left" w:pos="7776"/>
        </w:tabs>
        <w:spacing w:after="0" w:line="240" w:lineRule="auto"/>
        <w:rPr>
          <w:sz w:val="24"/>
        </w:rPr>
      </w:pPr>
      <w:r>
        <w:rPr>
          <w:b/>
          <w:bCs/>
          <w:sz w:val="24"/>
        </w:rPr>
        <w:t xml:space="preserve">Form EIA-860M – </w:t>
      </w:r>
      <w:r>
        <w:rPr>
          <w:sz w:val="24"/>
        </w:rPr>
        <w:t xml:space="preserve">The target population for this monthly census comprises power plants within the EIA-860 target population that have either (a) a new generator scheduled to begin commercial operations within the next 12 months, </w:t>
      </w:r>
      <w:r w:rsidRPr="00BC13BD">
        <w:rPr>
          <w:sz w:val="24"/>
        </w:rPr>
        <w:t>or</w:t>
      </w:r>
      <w:r>
        <w:rPr>
          <w:sz w:val="24"/>
        </w:rPr>
        <w:t xml:space="preserve"> (b) an existing generator scheduled for retirement within the next 12 months, or (c) an existing generator undergoing modifications resulting in changes in capacity or other major modifications that are scheduled to be completed within 1 month.  Respondents are the operators of the power plants where these new generators and existing generators are located.  Based on the number of plants putting new generators into service in 2008 and 2009, the EIA estimates that in a typical month the Form EIA-860M will be used to collect data from approximately 124 respondent entities.</w:t>
      </w:r>
    </w:p>
    <w:p w:rsidR="00DD6EEC" w:rsidRDefault="00DD6EEC" w:rsidP="00DD6EEC">
      <w:pPr>
        <w:pStyle w:val="z-TopofForm"/>
        <w:tabs>
          <w:tab w:val="left" w:pos="1152"/>
          <w:tab w:val="left" w:pos="2160"/>
          <w:tab w:val="left" w:pos="3024"/>
          <w:tab w:val="left" w:pos="4320"/>
          <w:tab w:val="left" w:pos="7776"/>
        </w:tabs>
      </w:pPr>
    </w:p>
    <w:p w:rsidR="00DD6EEC" w:rsidRDefault="00DD6EEC" w:rsidP="00DD6EEC">
      <w:pPr>
        <w:numPr>
          <w:ilvl w:val="0"/>
          <w:numId w:val="7"/>
        </w:numPr>
        <w:tabs>
          <w:tab w:val="left" w:pos="1152"/>
          <w:tab w:val="left" w:pos="2160"/>
          <w:tab w:val="left" w:pos="3024"/>
          <w:tab w:val="left" w:pos="4320"/>
          <w:tab w:val="left" w:pos="7776"/>
        </w:tabs>
        <w:spacing w:after="0" w:line="240" w:lineRule="auto"/>
        <w:rPr>
          <w:sz w:val="24"/>
        </w:rPr>
      </w:pPr>
      <w:r>
        <w:rPr>
          <w:b/>
          <w:bCs/>
          <w:sz w:val="24"/>
        </w:rPr>
        <w:t>Form EIA-861</w:t>
      </w:r>
      <w:r>
        <w:rPr>
          <w:sz w:val="24"/>
        </w:rPr>
        <w:t xml:space="preserve"> – The target population for this annual census comprises participants in the electric power industry involved in the generation, transmission, or distribution of electricity in the </w:t>
      </w:r>
      <w:smartTag w:uri="urn:schemas-microsoft-com:office:smarttags" w:element="place">
        <w:smartTag w:uri="urn:schemas-microsoft-com:office:smarttags" w:element="country-region">
          <w:r>
            <w:rPr>
              <w:sz w:val="24"/>
            </w:rPr>
            <w:t>United States</w:t>
          </w:r>
        </w:smartTag>
      </w:smartTag>
      <w:r>
        <w:rPr>
          <w:sz w:val="24"/>
        </w:rPr>
        <w:t xml:space="preserve"> and its territories.  Target population members include electric utilities, wholesale power marketers (registered with the Federal Energy Regulatory Commission), energy service providers (registered with the States), and electric power producers.  There are approximately 3,300 entities in the </w:t>
      </w:r>
      <w:smartTag w:uri="urn:schemas-microsoft-com:office:smarttags" w:element="place">
        <w:smartTag w:uri="urn:schemas-microsoft-com:office:smarttags" w:element="country-region">
          <w:r>
            <w:rPr>
              <w:sz w:val="24"/>
            </w:rPr>
            <w:t>United States</w:t>
          </w:r>
        </w:smartTag>
      </w:smartTag>
      <w:r>
        <w:rPr>
          <w:sz w:val="24"/>
        </w:rPr>
        <w:t xml:space="preserve"> </w:t>
      </w:r>
      <w:r>
        <w:rPr>
          <w:color w:val="000000"/>
          <w:sz w:val="24"/>
        </w:rPr>
        <w:t>involved in the generation, transmission, and distribution of electric energy.</w:t>
      </w:r>
      <w:r>
        <w:rPr>
          <w:sz w:val="24"/>
        </w:rPr>
        <w:t xml:space="preserve">  This survey serves as the universe from which the sample for the Form EIA-826 is drawn.</w:t>
      </w:r>
    </w:p>
    <w:p w:rsidR="00DD6EEC" w:rsidRDefault="00DD6EEC" w:rsidP="00DD6EEC">
      <w:pPr>
        <w:tabs>
          <w:tab w:val="left" w:pos="1152"/>
          <w:tab w:val="left" w:pos="2160"/>
          <w:tab w:val="left" w:pos="3024"/>
          <w:tab w:val="left" w:pos="4320"/>
          <w:tab w:val="left" w:pos="7776"/>
        </w:tabs>
        <w:rPr>
          <w:sz w:val="24"/>
        </w:rPr>
      </w:pPr>
    </w:p>
    <w:p w:rsidR="00DD6EEC" w:rsidRPr="00524FB3" w:rsidRDefault="00DD6EEC" w:rsidP="00DD6EEC">
      <w:pPr>
        <w:ind w:left="720" w:hanging="360"/>
        <w:rPr>
          <w:sz w:val="24"/>
          <w:szCs w:val="24"/>
        </w:rPr>
      </w:pPr>
      <w:r w:rsidRPr="001D32F6">
        <w:rPr>
          <w:b/>
          <w:sz w:val="32"/>
          <w:szCs w:val="32"/>
        </w:rPr>
        <w:t>•</w:t>
      </w:r>
      <w:r w:rsidRPr="001D32F6">
        <w:rPr>
          <w:b/>
          <w:sz w:val="24"/>
        </w:rPr>
        <w:tab/>
        <w:t xml:space="preserve">Form EIA-923 – </w:t>
      </w:r>
      <w:r w:rsidRPr="001D32F6">
        <w:rPr>
          <w:sz w:val="24"/>
        </w:rPr>
        <w:t xml:space="preserve">The target population for this annual census comprises all electric plants in the </w:t>
      </w:r>
      <w:smartTag w:uri="urn:schemas-microsoft-com:office:smarttags" w:element="place">
        <w:smartTag w:uri="urn:schemas-microsoft-com:office:smarttags" w:element="country-region">
          <w:r w:rsidRPr="001D32F6">
            <w:rPr>
              <w:sz w:val="24"/>
            </w:rPr>
            <w:t>United States</w:t>
          </w:r>
        </w:smartTag>
      </w:smartTag>
      <w:r w:rsidRPr="001D32F6">
        <w:rPr>
          <w:sz w:val="24"/>
        </w:rPr>
        <w:t xml:space="preserve"> that are connected to the electric power grid and have a generating capacity of 1 megawatt or greater.  While the target population is defined in terms of plants, the respondents for the </w:t>
      </w:r>
      <w:r>
        <w:rPr>
          <w:sz w:val="24"/>
        </w:rPr>
        <w:t xml:space="preserve">Form </w:t>
      </w:r>
      <w:r w:rsidRPr="001D32F6">
        <w:rPr>
          <w:sz w:val="24"/>
        </w:rPr>
        <w:t xml:space="preserve">EIA-923 are companies, which report data for the eligible plants they operate.  </w:t>
      </w:r>
      <w:r w:rsidRPr="001D32F6">
        <w:rPr>
          <w:sz w:val="24"/>
          <w:szCs w:val="24"/>
        </w:rPr>
        <w:t>There are approximately 5,</w:t>
      </w:r>
      <w:r>
        <w:rPr>
          <w:sz w:val="24"/>
          <w:szCs w:val="24"/>
        </w:rPr>
        <w:t>573</w:t>
      </w:r>
      <w:r w:rsidRPr="001D32F6">
        <w:rPr>
          <w:sz w:val="24"/>
          <w:szCs w:val="24"/>
        </w:rPr>
        <w:t xml:space="preserve"> operating power plants (being reported by 2,800 respondents) for which data will be collected through Form EIA-923.  Data will be reported monthly for a sample of approximately 1,</w:t>
      </w:r>
      <w:r>
        <w:rPr>
          <w:sz w:val="24"/>
          <w:szCs w:val="24"/>
        </w:rPr>
        <w:t>781</w:t>
      </w:r>
      <w:r w:rsidRPr="001D32F6">
        <w:rPr>
          <w:sz w:val="24"/>
          <w:szCs w:val="24"/>
        </w:rPr>
        <w:t xml:space="preserve"> plants, although this may be adjusted as the data are evaluated</w:t>
      </w:r>
      <w:r>
        <w:rPr>
          <w:sz w:val="24"/>
          <w:szCs w:val="24"/>
        </w:rPr>
        <w:t xml:space="preserve">.  </w:t>
      </w:r>
      <w:r w:rsidRPr="00B9472F">
        <w:rPr>
          <w:sz w:val="24"/>
          <w:szCs w:val="24"/>
        </w:rPr>
        <w:t xml:space="preserve"> </w:t>
      </w:r>
      <w:r>
        <w:rPr>
          <w:sz w:val="24"/>
          <w:szCs w:val="24"/>
        </w:rPr>
        <w:t>Monthly respondents will report on Schedules 1, 3, 4, and 5, plus Schedule 2 if they have a fossil-fueled capacity of 50 megawatts or greater.  At the end of the year, the monthly respondents will report on Schedules 6 and 7, plus Schedule 8, if they have a steam-electric organic-fueled capacity of 10 megawatts or greater. Those respondents who are not in the monthly frame will file annually.  They will file Schedules 1, 3, 4, 5, 6, and 7, plus Schedule 2 if they have a</w:t>
      </w:r>
      <w:r w:rsidRPr="0047090B">
        <w:rPr>
          <w:sz w:val="24"/>
          <w:szCs w:val="24"/>
        </w:rPr>
        <w:t xml:space="preserve"> </w:t>
      </w:r>
      <w:r>
        <w:rPr>
          <w:sz w:val="24"/>
          <w:szCs w:val="24"/>
        </w:rPr>
        <w:t>fossil-fueled capacity of 50 megawatts or greater and Schedule 8, if they have a steam-electric organic-fueled capacity of 10 megawatts or greater.</w:t>
      </w:r>
    </w:p>
    <w:p w:rsidR="00DD6EEC" w:rsidRPr="00C5517D" w:rsidRDefault="00DD6EEC" w:rsidP="00DD6EEC">
      <w:pPr>
        <w:ind w:left="720" w:hanging="360"/>
        <w:rPr>
          <w:rFonts w:ascii="Arial" w:hAnsi="Arial" w:cs="Arial"/>
          <w:color w:val="000080"/>
        </w:rPr>
      </w:pPr>
    </w:p>
    <w:p w:rsidR="00DD6EEC" w:rsidRDefault="00DD6EEC" w:rsidP="00DD6EEC">
      <w:pPr>
        <w:pStyle w:val="Heading3"/>
        <w:tabs>
          <w:tab w:val="left" w:pos="450"/>
          <w:tab w:val="left" w:pos="630"/>
        </w:tabs>
      </w:pPr>
      <w:r>
        <w:t xml:space="preserve">B.2. Statistical Methodology  </w:t>
      </w:r>
    </w:p>
    <w:p w:rsidR="00DD6EEC" w:rsidRPr="008236FA" w:rsidRDefault="00DD6EEC" w:rsidP="00DD6EEC"/>
    <w:p w:rsidR="00DD6EEC" w:rsidRPr="00655559" w:rsidRDefault="00DD6EEC" w:rsidP="00DD6EEC">
      <w:pPr>
        <w:pStyle w:val="BodyText"/>
        <w:tabs>
          <w:tab w:val="left" w:pos="1152"/>
          <w:tab w:val="left" w:pos="2160"/>
          <w:tab w:val="left" w:pos="3024"/>
          <w:tab w:val="left" w:pos="4320"/>
          <w:tab w:val="left" w:pos="7776"/>
        </w:tabs>
        <w:rPr>
          <w:szCs w:val="24"/>
        </w:rPr>
      </w:pPr>
      <w:r w:rsidRPr="006A20FA">
        <w:rPr>
          <w:szCs w:val="24"/>
        </w:rPr>
        <w:t xml:space="preserve">To limit the burden on industry respondents, two of the monthly surveys, the Form EIA-826 and the Form EIA-923, </w:t>
      </w:r>
      <w:r>
        <w:rPr>
          <w:szCs w:val="24"/>
        </w:rPr>
        <w:t>are</w:t>
      </w:r>
      <w:r w:rsidRPr="006A20FA">
        <w:rPr>
          <w:szCs w:val="24"/>
        </w:rPr>
        <w:t xml:space="preserve"> sent to only a sample of units in the target populations.  The samples </w:t>
      </w:r>
      <w:r>
        <w:rPr>
          <w:szCs w:val="24"/>
        </w:rPr>
        <w:t>are</w:t>
      </w:r>
      <w:r w:rsidRPr="006A20FA">
        <w:rPr>
          <w:szCs w:val="24"/>
        </w:rPr>
        <w:t xml:space="preserve"> </w:t>
      </w:r>
      <w:r w:rsidRPr="006A20FA">
        <w:rPr>
          <w:i/>
          <w:iCs/>
          <w:szCs w:val="24"/>
        </w:rPr>
        <w:t>cutoff</w:t>
      </w:r>
      <w:r w:rsidRPr="006A20FA">
        <w:rPr>
          <w:szCs w:val="24"/>
        </w:rPr>
        <w:t xml:space="preserve"> samples, i.e., they </w:t>
      </w:r>
      <w:r>
        <w:rPr>
          <w:szCs w:val="24"/>
        </w:rPr>
        <w:t>are</w:t>
      </w:r>
      <w:r w:rsidRPr="006A20FA">
        <w:rPr>
          <w:szCs w:val="24"/>
        </w:rPr>
        <w:t xml:space="preserve"> basically comprised of all units with measures of size larger than a predefined threshold.  This is complicated by compromises due to the need for data on multiple variables of interest.  The cutoff sampling eliminates the monthly reporting burden</w:t>
      </w:r>
      <w:r>
        <w:t xml:space="preserve"> for smaller industry participants.</w:t>
      </w:r>
      <w:r w:rsidRPr="00655559">
        <w:rPr>
          <w:szCs w:val="24"/>
        </w:rPr>
        <w:t xml:space="preserve"> </w:t>
      </w:r>
      <w:r>
        <w:rPr>
          <w:szCs w:val="24"/>
        </w:rPr>
        <w:t xml:space="preserve"> Because smaller units have, in the past, been responsible for a high percentage of </w:t>
      </w:r>
      <w:r w:rsidRPr="006A20FA">
        <w:rPr>
          <w:szCs w:val="24"/>
        </w:rPr>
        <w:t xml:space="preserve">reporting errors, the cutoff sampling may also reduce the levels of non-sampling error affecting the published estimates. </w:t>
      </w:r>
      <w:proofErr w:type="gramStart"/>
      <w:r w:rsidRPr="006A20FA">
        <w:rPr>
          <w:szCs w:val="24"/>
        </w:rPr>
        <w:t>(See Knaub (2007, 2008) on cutoff sampling in general, Royall (1970) on model variance, and Knaub (2001) on model bias and variance.)</w:t>
      </w:r>
      <w:proofErr w:type="gramEnd"/>
      <w:r w:rsidRPr="006A20FA">
        <w:rPr>
          <w:szCs w:val="24"/>
        </w:rPr>
        <w:t xml:space="preserve">  The remainder of this section provides detail on the sampling and estimation methods used for the two sample surveys.</w:t>
      </w:r>
    </w:p>
    <w:p w:rsidR="00DD6EEC" w:rsidRDefault="00DD6EEC" w:rsidP="00DD6EEC">
      <w:pPr>
        <w:tabs>
          <w:tab w:val="left" w:pos="1152"/>
          <w:tab w:val="left" w:pos="2160"/>
          <w:tab w:val="left" w:pos="3024"/>
          <w:tab w:val="left" w:pos="4320"/>
          <w:tab w:val="left" w:pos="7776"/>
        </w:tabs>
        <w:rPr>
          <w:b/>
          <w:bCs/>
          <w:sz w:val="24"/>
          <w:szCs w:val="24"/>
        </w:rPr>
      </w:pPr>
    </w:p>
    <w:p w:rsidR="00DD6EEC" w:rsidRPr="00146193" w:rsidRDefault="00DD6EEC" w:rsidP="00DD6EEC">
      <w:pPr>
        <w:tabs>
          <w:tab w:val="left" w:pos="1152"/>
          <w:tab w:val="left" w:pos="2160"/>
          <w:tab w:val="left" w:pos="3024"/>
          <w:tab w:val="left" w:pos="4320"/>
          <w:tab w:val="left" w:pos="7776"/>
        </w:tabs>
        <w:rPr>
          <w:b/>
          <w:bCs/>
          <w:sz w:val="24"/>
          <w:szCs w:val="24"/>
          <w:u w:val="single"/>
        </w:rPr>
      </w:pPr>
      <w:r w:rsidRPr="00146193">
        <w:rPr>
          <w:b/>
          <w:bCs/>
          <w:sz w:val="24"/>
          <w:szCs w:val="24"/>
          <w:u w:val="single"/>
        </w:rPr>
        <w:t xml:space="preserve">Form EIA-826 Sampling </w:t>
      </w:r>
    </w:p>
    <w:p w:rsidR="00DD6EEC" w:rsidRPr="00655559" w:rsidRDefault="00DD6EEC" w:rsidP="00DD6EEC">
      <w:pPr>
        <w:tabs>
          <w:tab w:val="left" w:pos="1152"/>
          <w:tab w:val="left" w:pos="2160"/>
          <w:tab w:val="left" w:pos="3024"/>
          <w:tab w:val="left" w:pos="4320"/>
          <w:tab w:val="left" w:pos="7776"/>
        </w:tabs>
        <w:rPr>
          <w:b/>
          <w:bCs/>
          <w:sz w:val="24"/>
          <w:szCs w:val="24"/>
        </w:rPr>
      </w:pPr>
    </w:p>
    <w:p w:rsidR="00DD6EEC" w:rsidRDefault="00DD6EEC" w:rsidP="00DD6EEC">
      <w:pPr>
        <w:tabs>
          <w:tab w:val="left" w:pos="1152"/>
          <w:tab w:val="left" w:pos="2160"/>
          <w:tab w:val="left" w:pos="3024"/>
          <w:tab w:val="left" w:pos="4320"/>
          <w:tab w:val="left" w:pos="7776"/>
        </w:tabs>
        <w:rPr>
          <w:sz w:val="24"/>
          <w:szCs w:val="24"/>
        </w:rPr>
      </w:pPr>
      <w:r w:rsidRPr="00655559">
        <w:rPr>
          <w:sz w:val="24"/>
          <w:szCs w:val="24"/>
        </w:rPr>
        <w:t>For the Form EIA-826, the sample</w:t>
      </w:r>
      <w:r>
        <w:rPr>
          <w:sz w:val="24"/>
          <w:szCs w:val="24"/>
        </w:rPr>
        <w:t xml:space="preserve"> </w:t>
      </w:r>
      <w:r w:rsidRPr="00655559">
        <w:rPr>
          <w:sz w:val="24"/>
          <w:szCs w:val="24"/>
        </w:rPr>
        <w:t>is composed of those utilities that typically sell most of the el</w:t>
      </w:r>
      <w:r>
        <w:rPr>
          <w:sz w:val="24"/>
          <w:szCs w:val="24"/>
        </w:rPr>
        <w:t xml:space="preserve">ectricity in each category (or </w:t>
      </w:r>
      <w:r w:rsidRPr="00655559">
        <w:rPr>
          <w:sz w:val="24"/>
          <w:szCs w:val="24"/>
        </w:rPr>
        <w:t xml:space="preserve">end-use sector) in each State.  </w:t>
      </w:r>
      <w:r>
        <w:rPr>
          <w:sz w:val="24"/>
          <w:szCs w:val="24"/>
        </w:rPr>
        <w:t>The sample is made up of:</w:t>
      </w:r>
    </w:p>
    <w:p w:rsidR="00DD6EEC" w:rsidRDefault="00DD6EEC" w:rsidP="00DD6EEC">
      <w:pPr>
        <w:numPr>
          <w:ilvl w:val="0"/>
          <w:numId w:val="8"/>
        </w:numPr>
        <w:tabs>
          <w:tab w:val="left" w:pos="1152"/>
          <w:tab w:val="left" w:pos="2160"/>
          <w:tab w:val="left" w:pos="3024"/>
          <w:tab w:val="left" w:pos="4320"/>
          <w:tab w:val="left" w:pos="7776"/>
        </w:tabs>
        <w:spacing w:after="0" w:line="240" w:lineRule="auto"/>
        <w:rPr>
          <w:sz w:val="24"/>
          <w:szCs w:val="24"/>
        </w:rPr>
      </w:pPr>
      <w:r>
        <w:rPr>
          <w:sz w:val="24"/>
          <w:szCs w:val="24"/>
        </w:rPr>
        <w:t>A</w:t>
      </w:r>
      <w:r w:rsidRPr="00655559">
        <w:rPr>
          <w:sz w:val="24"/>
          <w:szCs w:val="24"/>
        </w:rPr>
        <w:t>ll i</w:t>
      </w:r>
      <w:r>
        <w:rPr>
          <w:sz w:val="24"/>
          <w:szCs w:val="24"/>
        </w:rPr>
        <w:t>nvestor-owned utilities (IOUs), e</w:t>
      </w:r>
      <w:r w:rsidRPr="00655559">
        <w:rPr>
          <w:sz w:val="24"/>
          <w:szCs w:val="24"/>
        </w:rPr>
        <w:t>xcept</w:t>
      </w:r>
      <w:r>
        <w:rPr>
          <w:sz w:val="24"/>
          <w:szCs w:val="24"/>
        </w:rPr>
        <w:t xml:space="preserve"> for</w:t>
      </w:r>
      <w:r w:rsidRPr="00655559">
        <w:rPr>
          <w:sz w:val="24"/>
          <w:szCs w:val="24"/>
        </w:rPr>
        <w:t xml:space="preserve"> a few </w:t>
      </w:r>
      <w:r>
        <w:rPr>
          <w:sz w:val="24"/>
          <w:szCs w:val="24"/>
        </w:rPr>
        <w:t xml:space="preserve">small </w:t>
      </w:r>
      <w:r w:rsidRPr="00655559">
        <w:rPr>
          <w:sz w:val="24"/>
          <w:szCs w:val="24"/>
        </w:rPr>
        <w:t xml:space="preserve">IOUs in </w:t>
      </w:r>
      <w:smartTag w:uri="urn:schemas-microsoft-com:office:smarttags" w:element="State">
        <w:smartTag w:uri="urn:schemas-microsoft-com:office:smarttags" w:element="place">
          <w:r w:rsidRPr="00655559">
            <w:rPr>
              <w:sz w:val="24"/>
              <w:szCs w:val="24"/>
            </w:rPr>
            <w:t>Alaska</w:t>
          </w:r>
        </w:smartTag>
      </w:smartTag>
    </w:p>
    <w:p w:rsidR="00DD6EEC" w:rsidRDefault="00DD6EEC" w:rsidP="00DD6EEC">
      <w:pPr>
        <w:numPr>
          <w:ilvl w:val="0"/>
          <w:numId w:val="8"/>
        </w:numPr>
        <w:tabs>
          <w:tab w:val="left" w:pos="1152"/>
          <w:tab w:val="left" w:pos="2160"/>
          <w:tab w:val="left" w:pos="3024"/>
          <w:tab w:val="left" w:pos="4320"/>
          <w:tab w:val="left" w:pos="7776"/>
        </w:tabs>
        <w:spacing w:after="0" w:line="240" w:lineRule="auto"/>
        <w:rPr>
          <w:sz w:val="24"/>
          <w:szCs w:val="24"/>
        </w:rPr>
      </w:pPr>
      <w:r>
        <w:rPr>
          <w:sz w:val="24"/>
          <w:szCs w:val="24"/>
        </w:rPr>
        <w:t>A</w:t>
      </w:r>
      <w:r w:rsidRPr="00655559">
        <w:rPr>
          <w:sz w:val="24"/>
          <w:szCs w:val="24"/>
        </w:rPr>
        <w:t xml:space="preserve">ll </w:t>
      </w:r>
      <w:r>
        <w:rPr>
          <w:sz w:val="24"/>
          <w:szCs w:val="24"/>
        </w:rPr>
        <w:t>energy service providers</w:t>
      </w:r>
      <w:r w:rsidRPr="00655559">
        <w:rPr>
          <w:sz w:val="24"/>
          <w:szCs w:val="24"/>
        </w:rPr>
        <w:t xml:space="preserve"> </w:t>
      </w:r>
    </w:p>
    <w:p w:rsidR="00DD6EEC" w:rsidRDefault="00DD6EEC" w:rsidP="00DD6EEC">
      <w:pPr>
        <w:numPr>
          <w:ilvl w:val="0"/>
          <w:numId w:val="8"/>
        </w:numPr>
        <w:tabs>
          <w:tab w:val="left" w:pos="1152"/>
          <w:tab w:val="left" w:pos="2160"/>
          <w:tab w:val="left" w:pos="3024"/>
          <w:tab w:val="left" w:pos="4320"/>
          <w:tab w:val="left" w:pos="7776"/>
        </w:tabs>
        <w:spacing w:after="0" w:line="240" w:lineRule="auto"/>
        <w:rPr>
          <w:sz w:val="24"/>
          <w:szCs w:val="24"/>
        </w:rPr>
      </w:pPr>
      <w:r>
        <w:rPr>
          <w:sz w:val="24"/>
          <w:szCs w:val="24"/>
        </w:rPr>
        <w:t>A</w:t>
      </w:r>
      <w:r w:rsidRPr="00655559">
        <w:rPr>
          <w:sz w:val="24"/>
          <w:szCs w:val="24"/>
        </w:rPr>
        <w:t>ll Federal utilities</w:t>
      </w:r>
    </w:p>
    <w:p w:rsidR="00DD6EEC" w:rsidRDefault="00DD6EEC" w:rsidP="00DD6EEC">
      <w:pPr>
        <w:numPr>
          <w:ilvl w:val="0"/>
          <w:numId w:val="8"/>
        </w:numPr>
        <w:tabs>
          <w:tab w:val="left" w:pos="1152"/>
          <w:tab w:val="left" w:pos="2160"/>
          <w:tab w:val="left" w:pos="3024"/>
          <w:tab w:val="left" w:pos="4320"/>
          <w:tab w:val="left" w:pos="7776"/>
        </w:tabs>
        <w:spacing w:after="0" w:line="240" w:lineRule="auto"/>
        <w:rPr>
          <w:sz w:val="24"/>
          <w:szCs w:val="24"/>
        </w:rPr>
      </w:pPr>
      <w:r>
        <w:rPr>
          <w:sz w:val="24"/>
          <w:szCs w:val="24"/>
        </w:rPr>
        <w:t>A</w:t>
      </w:r>
      <w:r w:rsidRPr="00655559">
        <w:rPr>
          <w:sz w:val="24"/>
          <w:szCs w:val="24"/>
        </w:rPr>
        <w:t>ll entities selling in the publi</w:t>
      </w:r>
      <w:r>
        <w:rPr>
          <w:sz w:val="24"/>
          <w:szCs w:val="24"/>
        </w:rPr>
        <w:t>c transportation sector</w:t>
      </w:r>
    </w:p>
    <w:p w:rsidR="00DD6EEC" w:rsidRDefault="00DD6EEC" w:rsidP="00DD6EEC">
      <w:pPr>
        <w:numPr>
          <w:ilvl w:val="0"/>
          <w:numId w:val="8"/>
        </w:numPr>
        <w:tabs>
          <w:tab w:val="left" w:pos="1152"/>
          <w:tab w:val="left" w:pos="2160"/>
          <w:tab w:val="left" w:pos="3024"/>
          <w:tab w:val="left" w:pos="4320"/>
          <w:tab w:val="left" w:pos="7776"/>
        </w:tabs>
        <w:spacing w:after="0" w:line="240" w:lineRule="auto"/>
        <w:rPr>
          <w:sz w:val="24"/>
          <w:szCs w:val="24"/>
        </w:rPr>
      </w:pPr>
      <w:r>
        <w:rPr>
          <w:sz w:val="24"/>
          <w:szCs w:val="24"/>
        </w:rPr>
        <w:t>A sample of t</w:t>
      </w:r>
      <w:r w:rsidRPr="00655559">
        <w:rPr>
          <w:sz w:val="24"/>
          <w:szCs w:val="24"/>
        </w:rPr>
        <w:t>he municipal and cooperative utilities</w:t>
      </w:r>
      <w:r>
        <w:rPr>
          <w:sz w:val="24"/>
          <w:szCs w:val="24"/>
        </w:rPr>
        <w:t>.</w:t>
      </w:r>
    </w:p>
    <w:p w:rsidR="00DD6EEC" w:rsidRDefault="00DD6EEC" w:rsidP="00DD6EEC">
      <w:pPr>
        <w:tabs>
          <w:tab w:val="left" w:pos="1152"/>
          <w:tab w:val="left" w:pos="2160"/>
          <w:tab w:val="left" w:pos="3024"/>
          <w:tab w:val="left" w:pos="4320"/>
          <w:tab w:val="left" w:pos="7776"/>
        </w:tabs>
        <w:rPr>
          <w:sz w:val="24"/>
          <w:szCs w:val="24"/>
        </w:rPr>
      </w:pPr>
    </w:p>
    <w:p w:rsidR="00DD6EEC" w:rsidRPr="00655559" w:rsidRDefault="00DD6EEC" w:rsidP="00DD6EEC">
      <w:pPr>
        <w:tabs>
          <w:tab w:val="left" w:pos="1152"/>
          <w:tab w:val="left" w:pos="2160"/>
          <w:tab w:val="left" w:pos="3024"/>
          <w:tab w:val="left" w:pos="4320"/>
          <w:tab w:val="left" w:pos="7776"/>
        </w:tabs>
        <w:rPr>
          <w:sz w:val="24"/>
          <w:szCs w:val="24"/>
        </w:rPr>
      </w:pPr>
      <w:r>
        <w:rPr>
          <w:color w:val="000000"/>
          <w:sz w:val="24"/>
          <w:szCs w:val="24"/>
        </w:rPr>
        <w:t>The</w:t>
      </w:r>
      <w:r w:rsidRPr="008A2EDB">
        <w:rPr>
          <w:color w:val="000000"/>
          <w:sz w:val="24"/>
          <w:szCs w:val="24"/>
        </w:rPr>
        <w:t xml:space="preserve"> frames for Schedule B (energy service providers) and Schedule C (distribution companies) are not always complete</w:t>
      </w:r>
      <w:r>
        <w:rPr>
          <w:color w:val="000000"/>
          <w:sz w:val="24"/>
          <w:szCs w:val="24"/>
        </w:rPr>
        <w:t>, as information from the States on these entities is not always available in a timely manner.</w:t>
      </w:r>
      <w:r>
        <w:rPr>
          <w:sz w:val="24"/>
          <w:szCs w:val="24"/>
        </w:rPr>
        <w:t xml:space="preserve">  In these cases</w:t>
      </w:r>
      <w:r w:rsidRPr="00655559">
        <w:rPr>
          <w:sz w:val="24"/>
          <w:szCs w:val="24"/>
        </w:rPr>
        <w:t>,</w:t>
      </w:r>
      <w:r>
        <w:rPr>
          <w:sz w:val="24"/>
          <w:szCs w:val="24"/>
        </w:rPr>
        <w:t xml:space="preserve"> the two types of respondents are reconciled at the State level and added to the State totals.  </w:t>
      </w:r>
      <w:r w:rsidRPr="00655559">
        <w:rPr>
          <w:sz w:val="24"/>
          <w:szCs w:val="24"/>
        </w:rPr>
        <w:t xml:space="preserve">(Classical ratio estimation can be used for variance estimation.  See Knaub (1991), pages 776 and 777, “Incompletely Specified Auxiliary Data.”)  A zero-intercept, ratio model (see Royall and </w:t>
      </w:r>
      <w:smartTag w:uri="urn:schemas-microsoft-com:office:smarttags" w:element="place">
        <w:smartTag w:uri="urn:schemas-microsoft-com:office:smarttags" w:element="City">
          <w:r w:rsidRPr="00655559">
            <w:rPr>
              <w:sz w:val="24"/>
              <w:szCs w:val="24"/>
            </w:rPr>
            <w:t>Cumberland</w:t>
          </w:r>
        </w:smartTag>
      </w:smartTag>
      <w:r w:rsidRPr="00655559">
        <w:rPr>
          <w:sz w:val="24"/>
          <w:szCs w:val="24"/>
        </w:rPr>
        <w:t xml:space="preserve">, 1978) is used to estimate total sales and revenue by end-use sector and State.  The sample eliminates the smaller respondents, thus reducing burden and reducing the source of non-sampling errors. </w:t>
      </w:r>
    </w:p>
    <w:p w:rsidR="00DD6EEC" w:rsidRPr="00655559" w:rsidRDefault="00DD6EEC" w:rsidP="00DD6EEC">
      <w:pPr>
        <w:tabs>
          <w:tab w:val="left" w:pos="1152"/>
          <w:tab w:val="left" w:pos="2160"/>
          <w:tab w:val="left" w:pos="3024"/>
          <w:tab w:val="left" w:pos="4320"/>
          <w:tab w:val="left" w:pos="7776"/>
        </w:tabs>
        <w:rPr>
          <w:sz w:val="24"/>
          <w:szCs w:val="24"/>
        </w:rPr>
      </w:pPr>
      <w:r w:rsidRPr="00655559">
        <w:rPr>
          <w:sz w:val="24"/>
          <w:szCs w:val="24"/>
        </w:rPr>
        <w:t xml:space="preserve">  </w:t>
      </w:r>
    </w:p>
    <w:p w:rsidR="00DD6EEC" w:rsidRPr="00655559" w:rsidRDefault="00DD6EEC" w:rsidP="00DD6EEC">
      <w:pPr>
        <w:pStyle w:val="BodyText"/>
        <w:tabs>
          <w:tab w:val="left" w:pos="1152"/>
          <w:tab w:val="left" w:pos="2160"/>
          <w:tab w:val="left" w:pos="3024"/>
          <w:tab w:val="left" w:pos="4320"/>
          <w:tab w:val="left" w:pos="7776"/>
        </w:tabs>
        <w:rPr>
          <w:szCs w:val="24"/>
        </w:rPr>
      </w:pPr>
      <w:r w:rsidRPr="00655559">
        <w:rPr>
          <w:szCs w:val="24"/>
        </w:rPr>
        <w:lastRenderedPageBreak/>
        <w:t>The Form EIA-826 sample design and estimation procedure</w:t>
      </w:r>
      <w:r>
        <w:rPr>
          <w:szCs w:val="24"/>
        </w:rPr>
        <w:t>s employ</w:t>
      </w:r>
      <w:r w:rsidRPr="00655559">
        <w:rPr>
          <w:szCs w:val="24"/>
        </w:rPr>
        <w:t xml:space="preserve"> a linear regression </w:t>
      </w:r>
      <w:r>
        <w:rPr>
          <w:szCs w:val="24"/>
        </w:rPr>
        <w:t>model to represent the relationship between the respondent’s annual data value (e.g., sales) from the prior year and the corresponding monthly value for the current month.</w:t>
      </w:r>
      <w:r w:rsidRPr="00655559">
        <w:rPr>
          <w:szCs w:val="24"/>
        </w:rPr>
        <w:t xml:space="preserve">  The </w:t>
      </w:r>
      <w:r>
        <w:rPr>
          <w:szCs w:val="24"/>
        </w:rPr>
        <w:t xml:space="preserve">prior year’s annual </w:t>
      </w:r>
      <w:r w:rsidRPr="00655559">
        <w:rPr>
          <w:szCs w:val="24"/>
        </w:rPr>
        <w:t xml:space="preserve">data come from the Form EIA-861.  </w:t>
      </w:r>
      <w:r>
        <w:rPr>
          <w:szCs w:val="24"/>
        </w:rPr>
        <w:t>Data values for units not in the sample are estimated from the prior year’s annual data and the estimated parameters of the regression model.  Data from sample units</w:t>
      </w:r>
      <w:r w:rsidRPr="00655559">
        <w:rPr>
          <w:szCs w:val="24"/>
        </w:rPr>
        <w:t xml:space="preserve"> for which there is no historical Form EIA-861 data </w:t>
      </w:r>
      <w:r>
        <w:rPr>
          <w:szCs w:val="24"/>
        </w:rPr>
        <w:t xml:space="preserve">(e.g., units new to the target population) </w:t>
      </w:r>
      <w:r w:rsidRPr="00655559">
        <w:rPr>
          <w:szCs w:val="24"/>
        </w:rPr>
        <w:t xml:space="preserve">are </w:t>
      </w:r>
      <w:r>
        <w:rPr>
          <w:szCs w:val="24"/>
        </w:rPr>
        <w:t xml:space="preserve">not used to estimate the relationship between the prior year’s annual value and the current monthly value.  The reported current monthly data are, however, used in estimating totals for publication groups. </w:t>
      </w:r>
      <w:proofErr w:type="gramStart"/>
      <w:r w:rsidRPr="00655559">
        <w:rPr>
          <w:szCs w:val="24"/>
        </w:rPr>
        <w:t>(</w:t>
      </w:r>
      <w:r>
        <w:rPr>
          <w:szCs w:val="24"/>
        </w:rPr>
        <w:t>S</w:t>
      </w:r>
      <w:r w:rsidRPr="00655559">
        <w:rPr>
          <w:szCs w:val="24"/>
        </w:rPr>
        <w:t>ee Knaub (2002)</w:t>
      </w:r>
      <w:r>
        <w:rPr>
          <w:szCs w:val="24"/>
        </w:rPr>
        <w:t>.)</w:t>
      </w:r>
      <w:proofErr w:type="gramEnd"/>
      <w:r w:rsidRPr="00655559">
        <w:rPr>
          <w:szCs w:val="24"/>
        </w:rPr>
        <w:t xml:space="preserve">  </w:t>
      </w:r>
      <w:r>
        <w:rPr>
          <w:szCs w:val="24"/>
        </w:rPr>
        <w:t>I</w:t>
      </w:r>
      <w:r w:rsidRPr="00655559">
        <w:rPr>
          <w:szCs w:val="24"/>
        </w:rPr>
        <w:t xml:space="preserve">f </w:t>
      </w:r>
      <w:r>
        <w:rPr>
          <w:szCs w:val="24"/>
        </w:rPr>
        <w:t>a sample unit’s annual data are deemed</w:t>
      </w:r>
      <w:r w:rsidRPr="00655559">
        <w:rPr>
          <w:szCs w:val="24"/>
        </w:rPr>
        <w:t xml:space="preserve"> reliable, and </w:t>
      </w:r>
      <w:r>
        <w:rPr>
          <w:szCs w:val="24"/>
        </w:rPr>
        <w:t xml:space="preserve">its </w:t>
      </w:r>
      <w:r w:rsidRPr="00655559">
        <w:rPr>
          <w:szCs w:val="24"/>
        </w:rPr>
        <w:t xml:space="preserve">Form EIA-826 </w:t>
      </w:r>
      <w:r>
        <w:rPr>
          <w:szCs w:val="24"/>
        </w:rPr>
        <w:t xml:space="preserve">(monthly) </w:t>
      </w:r>
      <w:r w:rsidRPr="00655559">
        <w:rPr>
          <w:szCs w:val="24"/>
        </w:rPr>
        <w:t xml:space="preserve">data are </w:t>
      </w:r>
      <w:r>
        <w:rPr>
          <w:szCs w:val="24"/>
        </w:rPr>
        <w:t>considered</w:t>
      </w:r>
      <w:r w:rsidRPr="00655559">
        <w:rPr>
          <w:szCs w:val="24"/>
        </w:rPr>
        <w:t xml:space="preserve"> unreliable, the </w:t>
      </w:r>
      <w:r>
        <w:rPr>
          <w:szCs w:val="24"/>
        </w:rPr>
        <w:t xml:space="preserve">annual data are used (as for the non-sampled units) to impute the monthly </w:t>
      </w:r>
      <w:r w:rsidRPr="00655559">
        <w:rPr>
          <w:szCs w:val="24"/>
        </w:rPr>
        <w:t xml:space="preserve">Form EIA-826 data.  As mentioned above, a census is performed within the Form EIA-826 for the power marketers or energy service providers (ESP) data, and their totals are added to the estimated (imputed) entities to obtain the </w:t>
      </w:r>
      <w:r>
        <w:rPr>
          <w:szCs w:val="24"/>
        </w:rPr>
        <w:t xml:space="preserve">estimates for the </w:t>
      </w:r>
      <w:r w:rsidRPr="00655559">
        <w:rPr>
          <w:szCs w:val="24"/>
        </w:rPr>
        <w:t xml:space="preserve">entire universe.  </w:t>
      </w:r>
    </w:p>
    <w:p w:rsidR="00DD6EEC" w:rsidRDefault="00DD6EEC" w:rsidP="00DD6EEC">
      <w:pPr>
        <w:pStyle w:val="BodyText"/>
        <w:tabs>
          <w:tab w:val="left" w:pos="1152"/>
          <w:tab w:val="left" w:pos="2160"/>
          <w:tab w:val="left" w:pos="3024"/>
          <w:tab w:val="left" w:pos="4320"/>
          <w:tab w:val="left" w:pos="7776"/>
        </w:tabs>
        <w:rPr>
          <w:szCs w:val="24"/>
        </w:rPr>
      </w:pPr>
    </w:p>
    <w:p w:rsidR="00DD6EEC" w:rsidRPr="004C2C43" w:rsidRDefault="00DD6EEC" w:rsidP="00DD6EEC">
      <w:pPr>
        <w:rPr>
          <w:b/>
          <w:sz w:val="24"/>
          <w:szCs w:val="24"/>
          <w:u w:val="single"/>
        </w:rPr>
      </w:pPr>
      <w:r w:rsidRPr="004C2C43">
        <w:rPr>
          <w:b/>
          <w:sz w:val="24"/>
          <w:szCs w:val="24"/>
          <w:u w:val="single"/>
        </w:rPr>
        <w:t>Form EIA-826 Monthly Sample Selection from the Form EIA-861 Annual Frame</w:t>
      </w:r>
    </w:p>
    <w:p w:rsidR="00DD6EEC" w:rsidRPr="00655559" w:rsidRDefault="00DD6EEC" w:rsidP="00DD6EEC">
      <w:pPr>
        <w:rPr>
          <w:sz w:val="24"/>
          <w:szCs w:val="24"/>
        </w:rPr>
      </w:pPr>
    </w:p>
    <w:p w:rsidR="00DD6EEC" w:rsidRPr="006A20FA" w:rsidRDefault="00DD6EEC" w:rsidP="00DD6EEC">
      <w:pPr>
        <w:rPr>
          <w:sz w:val="24"/>
          <w:szCs w:val="24"/>
        </w:rPr>
      </w:pPr>
      <w:r w:rsidRPr="006A20FA">
        <w:rPr>
          <w:sz w:val="24"/>
          <w:szCs w:val="24"/>
        </w:rPr>
        <w:t xml:space="preserve">The monthly cutoff sample thresholds for the Form EIA-826 were originally selected based on the criterion of having estimated relative standard error (RSE) values less than 1 percent for all publication groups.  The RSE is a percentage measure of the precision of a survey statistic and is used in part as one way to measure sampling error induced by sampling.  RSEs are estimated to account for using model-based predicted monthly values in place of missing </w:t>
      </w:r>
      <w:r>
        <w:rPr>
          <w:sz w:val="24"/>
          <w:szCs w:val="24"/>
        </w:rPr>
        <w:t xml:space="preserve">and non-sampled </w:t>
      </w:r>
      <w:r w:rsidRPr="006A20FA">
        <w:rPr>
          <w:sz w:val="24"/>
          <w:szCs w:val="24"/>
        </w:rPr>
        <w:t>data for the quantities of interest (revenues, sales, etc.), based on monthly sampled data from the Form EIA-826, and the corresponding annual (Form EIA-861) data for the units not in the monthly sample.  Threshold values for the cutoff sampling have been adjusted over time to maintain low RSEs for the published estimates.</w:t>
      </w:r>
    </w:p>
    <w:p w:rsidR="00DD6EEC" w:rsidRDefault="00DD6EEC" w:rsidP="00DD6EEC">
      <w:pPr>
        <w:rPr>
          <w:sz w:val="24"/>
          <w:szCs w:val="24"/>
        </w:rPr>
      </w:pPr>
    </w:p>
    <w:p w:rsidR="00DD6EEC" w:rsidRPr="00655559" w:rsidRDefault="00DD6EEC" w:rsidP="00DD6EEC">
      <w:pPr>
        <w:ind w:right="-540"/>
        <w:rPr>
          <w:sz w:val="24"/>
          <w:szCs w:val="24"/>
        </w:rPr>
      </w:pPr>
      <w:r>
        <w:rPr>
          <w:b/>
          <w:sz w:val="24"/>
          <w:szCs w:val="24"/>
          <w:u w:val="single"/>
        </w:rPr>
        <w:t xml:space="preserve">Form </w:t>
      </w:r>
      <w:r w:rsidRPr="00655559">
        <w:rPr>
          <w:b/>
          <w:sz w:val="24"/>
          <w:szCs w:val="24"/>
          <w:u w:val="single"/>
        </w:rPr>
        <w:t>EIA-923 Sampl</w:t>
      </w:r>
      <w:r>
        <w:rPr>
          <w:b/>
          <w:sz w:val="24"/>
          <w:szCs w:val="24"/>
          <w:u w:val="single"/>
        </w:rPr>
        <w:t>ing</w:t>
      </w:r>
    </w:p>
    <w:p w:rsidR="00DD6EEC" w:rsidRPr="00655559" w:rsidRDefault="00DD6EEC" w:rsidP="00DD6EEC">
      <w:pPr>
        <w:ind w:right="-540"/>
        <w:rPr>
          <w:sz w:val="24"/>
          <w:szCs w:val="24"/>
        </w:rPr>
      </w:pPr>
    </w:p>
    <w:p w:rsidR="00DD6EEC" w:rsidRPr="00655559" w:rsidRDefault="00DD6EEC" w:rsidP="00DD6EEC">
      <w:pPr>
        <w:ind w:right="-540"/>
        <w:rPr>
          <w:sz w:val="24"/>
          <w:szCs w:val="24"/>
        </w:rPr>
      </w:pPr>
      <w:r w:rsidRPr="00655559">
        <w:rPr>
          <w:sz w:val="24"/>
          <w:szCs w:val="24"/>
        </w:rPr>
        <w:t>One of the</w:t>
      </w:r>
      <w:r>
        <w:rPr>
          <w:sz w:val="24"/>
          <w:szCs w:val="24"/>
        </w:rPr>
        <w:t xml:space="preserve"> goals</w:t>
      </w:r>
      <w:r w:rsidRPr="00655559">
        <w:rPr>
          <w:sz w:val="24"/>
          <w:szCs w:val="24"/>
        </w:rPr>
        <w:t xml:space="preserve"> of the </w:t>
      </w:r>
      <w:r>
        <w:rPr>
          <w:sz w:val="24"/>
          <w:szCs w:val="24"/>
        </w:rPr>
        <w:t xml:space="preserve">original Form </w:t>
      </w:r>
      <w:r w:rsidRPr="00655559">
        <w:rPr>
          <w:sz w:val="24"/>
          <w:szCs w:val="24"/>
        </w:rPr>
        <w:t xml:space="preserve">EIA-923 sample selection process </w:t>
      </w:r>
      <w:r>
        <w:rPr>
          <w:sz w:val="24"/>
          <w:szCs w:val="24"/>
        </w:rPr>
        <w:t>was</w:t>
      </w:r>
      <w:r w:rsidRPr="00655559">
        <w:rPr>
          <w:sz w:val="24"/>
          <w:szCs w:val="24"/>
        </w:rPr>
        <w:t xml:space="preserve"> to </w:t>
      </w:r>
      <w:r>
        <w:rPr>
          <w:sz w:val="24"/>
          <w:szCs w:val="24"/>
        </w:rPr>
        <w:t>reduce</w:t>
      </w:r>
      <w:r w:rsidRPr="00655559">
        <w:rPr>
          <w:sz w:val="24"/>
          <w:szCs w:val="24"/>
        </w:rPr>
        <w:t xml:space="preserve"> the sample size from the </w:t>
      </w:r>
      <w:r>
        <w:rPr>
          <w:sz w:val="24"/>
          <w:szCs w:val="24"/>
        </w:rPr>
        <w:t>separate</w:t>
      </w:r>
      <w:r w:rsidRPr="00655559">
        <w:rPr>
          <w:sz w:val="24"/>
          <w:szCs w:val="24"/>
        </w:rPr>
        <w:t xml:space="preserve"> </w:t>
      </w:r>
      <w:r>
        <w:rPr>
          <w:sz w:val="24"/>
          <w:szCs w:val="24"/>
        </w:rPr>
        <w:t>predecessor Forms EIA-906 and EIA-920</w:t>
      </w:r>
      <w:r w:rsidRPr="00655559">
        <w:rPr>
          <w:sz w:val="24"/>
          <w:szCs w:val="24"/>
        </w:rPr>
        <w:t xml:space="preserve">.  Not only </w:t>
      </w:r>
      <w:r>
        <w:rPr>
          <w:sz w:val="24"/>
          <w:szCs w:val="24"/>
        </w:rPr>
        <w:t>did</w:t>
      </w:r>
      <w:r w:rsidRPr="00655559">
        <w:rPr>
          <w:sz w:val="24"/>
          <w:szCs w:val="24"/>
        </w:rPr>
        <w:t xml:space="preserve"> this </w:t>
      </w:r>
      <w:r>
        <w:rPr>
          <w:sz w:val="24"/>
          <w:szCs w:val="24"/>
        </w:rPr>
        <w:t>reduce</w:t>
      </w:r>
      <w:r w:rsidRPr="00655559">
        <w:rPr>
          <w:sz w:val="24"/>
          <w:szCs w:val="24"/>
        </w:rPr>
        <w:t xml:space="preserve"> respondent burden, but it also allow</w:t>
      </w:r>
      <w:r>
        <w:rPr>
          <w:sz w:val="24"/>
          <w:szCs w:val="24"/>
        </w:rPr>
        <w:t>ed</w:t>
      </w:r>
      <w:r w:rsidRPr="00655559">
        <w:rPr>
          <w:sz w:val="24"/>
          <w:szCs w:val="24"/>
        </w:rPr>
        <w:t xml:space="preserve"> </w:t>
      </w:r>
      <w:r>
        <w:rPr>
          <w:sz w:val="24"/>
          <w:szCs w:val="24"/>
        </w:rPr>
        <w:t xml:space="preserve">the EIA </w:t>
      </w:r>
      <w:r w:rsidRPr="00655559">
        <w:rPr>
          <w:sz w:val="24"/>
          <w:szCs w:val="24"/>
        </w:rPr>
        <w:t xml:space="preserve">survey staff to focus </w:t>
      </w:r>
      <w:r>
        <w:rPr>
          <w:sz w:val="24"/>
          <w:szCs w:val="24"/>
        </w:rPr>
        <w:t xml:space="preserve">its </w:t>
      </w:r>
      <w:r w:rsidRPr="00655559">
        <w:rPr>
          <w:sz w:val="24"/>
          <w:szCs w:val="24"/>
        </w:rPr>
        <w:t xml:space="preserve">resources on a smaller sample to ensure a higher quality of data.  </w:t>
      </w:r>
      <w:r>
        <w:rPr>
          <w:sz w:val="24"/>
          <w:szCs w:val="24"/>
        </w:rPr>
        <w:t>A reduction</w:t>
      </w:r>
      <w:r w:rsidRPr="00655559">
        <w:rPr>
          <w:sz w:val="24"/>
          <w:szCs w:val="24"/>
        </w:rPr>
        <w:t xml:space="preserve"> in sample size </w:t>
      </w:r>
      <w:r>
        <w:rPr>
          <w:sz w:val="24"/>
          <w:szCs w:val="24"/>
        </w:rPr>
        <w:t>was deemed</w:t>
      </w:r>
      <w:r w:rsidRPr="00655559">
        <w:rPr>
          <w:sz w:val="24"/>
          <w:szCs w:val="24"/>
        </w:rPr>
        <w:t xml:space="preserve"> especially important in the commercial and industrial sectors due to </w:t>
      </w:r>
      <w:r>
        <w:rPr>
          <w:sz w:val="24"/>
          <w:szCs w:val="24"/>
        </w:rPr>
        <w:t>sometimes</w:t>
      </w:r>
      <w:r w:rsidRPr="00655559">
        <w:rPr>
          <w:sz w:val="24"/>
          <w:szCs w:val="24"/>
        </w:rPr>
        <w:t xml:space="preserve"> questionable data quality and</w:t>
      </w:r>
      <w:r>
        <w:rPr>
          <w:sz w:val="24"/>
          <w:szCs w:val="24"/>
        </w:rPr>
        <w:t xml:space="preserve"> the</w:t>
      </w:r>
      <w:r w:rsidRPr="00655559">
        <w:rPr>
          <w:sz w:val="24"/>
          <w:szCs w:val="24"/>
        </w:rPr>
        <w:t xml:space="preserve"> difficulty in collecting </w:t>
      </w:r>
      <w:r>
        <w:rPr>
          <w:sz w:val="24"/>
          <w:szCs w:val="24"/>
        </w:rPr>
        <w:t>data from</w:t>
      </w:r>
      <w:r w:rsidRPr="00655559">
        <w:rPr>
          <w:sz w:val="24"/>
          <w:szCs w:val="24"/>
        </w:rPr>
        <w:t xml:space="preserve"> many of the smaller facilities. </w:t>
      </w:r>
      <w:r>
        <w:rPr>
          <w:sz w:val="24"/>
          <w:szCs w:val="24"/>
        </w:rPr>
        <w:t xml:space="preserve">This original goal continues to be an important focus of attention of the ongoing Form EIA-923 sampling strategy (See Douglas (2007)).  </w:t>
      </w:r>
    </w:p>
    <w:p w:rsidR="00DD6EEC" w:rsidRPr="00655559" w:rsidRDefault="00DD6EEC" w:rsidP="00DD6EEC">
      <w:pPr>
        <w:ind w:right="-540"/>
        <w:rPr>
          <w:sz w:val="24"/>
          <w:szCs w:val="24"/>
        </w:rPr>
      </w:pPr>
    </w:p>
    <w:p w:rsidR="00DD6EEC" w:rsidRDefault="00DD6EEC" w:rsidP="00DD6EEC">
      <w:pPr>
        <w:ind w:right="-540"/>
        <w:rPr>
          <w:sz w:val="24"/>
          <w:szCs w:val="24"/>
        </w:rPr>
      </w:pPr>
      <w:r>
        <w:rPr>
          <w:sz w:val="24"/>
          <w:szCs w:val="24"/>
        </w:rPr>
        <w:t xml:space="preserve">The cutoff sampling process for the Form EIA-923 sample is similar to the one described above for the monthly Form EIA-826 sample. Since the original Form EIA-923 sample was established with the 2008 data collection cycle, it is estimated that 261 plants will have been added to the monthly sample to maintain the targeted sample coverage ratios by the inception of the 2011 data collection cycle.  These sample additions are deemed necessary as large currently planned and under construction plants become operational. Ongoing sample validation studies may produce other necessary sample additions as needed. </w:t>
      </w:r>
    </w:p>
    <w:p w:rsidR="00DD6EEC" w:rsidRDefault="00DD6EEC" w:rsidP="00DD6EEC">
      <w:pPr>
        <w:ind w:right="-540"/>
        <w:rPr>
          <w:sz w:val="24"/>
          <w:szCs w:val="24"/>
        </w:rPr>
      </w:pPr>
    </w:p>
    <w:p w:rsidR="00DD6EEC" w:rsidRDefault="00DD6EEC" w:rsidP="00DD6EEC">
      <w:pPr>
        <w:ind w:right="-540"/>
        <w:rPr>
          <w:sz w:val="24"/>
          <w:szCs w:val="24"/>
        </w:rPr>
      </w:pPr>
      <w:r w:rsidRPr="00655559">
        <w:rPr>
          <w:sz w:val="24"/>
          <w:szCs w:val="24"/>
        </w:rPr>
        <w:t xml:space="preserve">Gross generation </w:t>
      </w:r>
      <w:r>
        <w:rPr>
          <w:sz w:val="24"/>
          <w:szCs w:val="24"/>
        </w:rPr>
        <w:t>was</w:t>
      </w:r>
      <w:r w:rsidRPr="00655559">
        <w:rPr>
          <w:sz w:val="24"/>
          <w:szCs w:val="24"/>
        </w:rPr>
        <w:t xml:space="preserve"> the main focus of the</w:t>
      </w:r>
      <w:r>
        <w:rPr>
          <w:sz w:val="24"/>
          <w:szCs w:val="24"/>
        </w:rPr>
        <w:t xml:space="preserve"> original</w:t>
      </w:r>
      <w:r w:rsidRPr="00655559">
        <w:rPr>
          <w:sz w:val="24"/>
          <w:szCs w:val="24"/>
        </w:rPr>
        <w:t xml:space="preserve"> sample selection process and its high correlation with other data elements on the </w:t>
      </w:r>
      <w:r>
        <w:rPr>
          <w:sz w:val="24"/>
          <w:szCs w:val="24"/>
        </w:rPr>
        <w:t xml:space="preserve">Form </w:t>
      </w:r>
      <w:r w:rsidRPr="00655559">
        <w:rPr>
          <w:sz w:val="24"/>
          <w:szCs w:val="24"/>
        </w:rPr>
        <w:t>EIA-923 ensure</w:t>
      </w:r>
      <w:r>
        <w:rPr>
          <w:sz w:val="24"/>
          <w:szCs w:val="24"/>
        </w:rPr>
        <w:t>d</w:t>
      </w:r>
      <w:r w:rsidRPr="00655559">
        <w:rPr>
          <w:sz w:val="24"/>
          <w:szCs w:val="24"/>
        </w:rPr>
        <w:t xml:space="preserve"> good</w:t>
      </w:r>
      <w:r>
        <w:rPr>
          <w:sz w:val="24"/>
          <w:szCs w:val="24"/>
        </w:rPr>
        <w:t xml:space="preserve"> coverage</w:t>
      </w:r>
      <w:r w:rsidRPr="00655559">
        <w:rPr>
          <w:sz w:val="24"/>
          <w:szCs w:val="24"/>
        </w:rPr>
        <w:t xml:space="preserve"> results for other reported values.</w:t>
      </w:r>
      <w:r>
        <w:rPr>
          <w:sz w:val="24"/>
          <w:szCs w:val="24"/>
        </w:rPr>
        <w:t xml:space="preserve">  Since then, sample validation studies were conducted on fuel consumption, receipts, costs and stocks and the sample was adjusted accordingly.</w:t>
      </w:r>
    </w:p>
    <w:p w:rsidR="00DD6EEC" w:rsidRPr="00655559" w:rsidRDefault="00DD6EEC" w:rsidP="00DD6EEC">
      <w:pPr>
        <w:ind w:right="-540"/>
        <w:rPr>
          <w:sz w:val="24"/>
          <w:szCs w:val="24"/>
        </w:rPr>
      </w:pPr>
    </w:p>
    <w:p w:rsidR="00DD6EEC" w:rsidRPr="00655559" w:rsidRDefault="00DD6EEC" w:rsidP="00DD6EEC">
      <w:pPr>
        <w:ind w:right="-540"/>
        <w:rPr>
          <w:sz w:val="24"/>
          <w:szCs w:val="24"/>
        </w:rPr>
      </w:pPr>
      <w:r w:rsidRPr="00655559">
        <w:rPr>
          <w:sz w:val="24"/>
          <w:szCs w:val="24"/>
        </w:rPr>
        <w:t xml:space="preserve">Sampling parameters are assigned to each sampling </w:t>
      </w:r>
      <w:r>
        <w:rPr>
          <w:sz w:val="24"/>
          <w:szCs w:val="24"/>
        </w:rPr>
        <w:t xml:space="preserve">stratum.  The strata </w:t>
      </w:r>
      <w:r w:rsidRPr="00655559">
        <w:rPr>
          <w:sz w:val="24"/>
          <w:szCs w:val="24"/>
        </w:rPr>
        <w:t>are defined by facility type, energy source, and geographic region</w:t>
      </w:r>
      <w:r>
        <w:rPr>
          <w:sz w:val="24"/>
          <w:szCs w:val="24"/>
        </w:rPr>
        <w:t xml:space="preserve">. </w:t>
      </w:r>
      <w:proofErr w:type="gramStart"/>
      <w:r>
        <w:rPr>
          <w:sz w:val="24"/>
          <w:szCs w:val="24"/>
        </w:rPr>
        <w:t>(See "</w:t>
      </w:r>
      <w:r w:rsidRPr="00655559">
        <w:rPr>
          <w:sz w:val="24"/>
          <w:szCs w:val="24"/>
        </w:rPr>
        <w:t>publication groups</w:t>
      </w:r>
      <w:r>
        <w:rPr>
          <w:sz w:val="24"/>
          <w:szCs w:val="24"/>
        </w:rPr>
        <w:t>"</w:t>
      </w:r>
      <w:r w:rsidRPr="00655559">
        <w:rPr>
          <w:sz w:val="24"/>
          <w:szCs w:val="24"/>
        </w:rPr>
        <w:t xml:space="preserve"> </w:t>
      </w:r>
      <w:r>
        <w:rPr>
          <w:sz w:val="24"/>
          <w:szCs w:val="24"/>
        </w:rPr>
        <w:t>i</w:t>
      </w:r>
      <w:r w:rsidRPr="00655559">
        <w:rPr>
          <w:sz w:val="24"/>
          <w:szCs w:val="24"/>
        </w:rPr>
        <w:t>n Knaub</w:t>
      </w:r>
      <w:r>
        <w:rPr>
          <w:sz w:val="24"/>
          <w:szCs w:val="24"/>
        </w:rPr>
        <w:t xml:space="preserve"> </w:t>
      </w:r>
      <w:r w:rsidRPr="00655559">
        <w:rPr>
          <w:sz w:val="24"/>
          <w:szCs w:val="24"/>
        </w:rPr>
        <w:t>(1999)</w:t>
      </w:r>
      <w:r>
        <w:rPr>
          <w:sz w:val="24"/>
          <w:szCs w:val="24"/>
        </w:rPr>
        <w:t>.)</w:t>
      </w:r>
      <w:proofErr w:type="gramEnd"/>
      <w:r>
        <w:rPr>
          <w:sz w:val="24"/>
          <w:szCs w:val="24"/>
        </w:rPr>
        <w:t xml:space="preserve"> </w:t>
      </w:r>
      <w:r w:rsidRPr="00655559">
        <w:rPr>
          <w:sz w:val="24"/>
          <w:szCs w:val="24"/>
        </w:rPr>
        <w:t xml:space="preserve"> For instance, </w:t>
      </w:r>
      <w:r>
        <w:rPr>
          <w:sz w:val="24"/>
          <w:szCs w:val="24"/>
        </w:rPr>
        <w:t>one</w:t>
      </w:r>
      <w:r w:rsidRPr="00655559">
        <w:rPr>
          <w:sz w:val="24"/>
          <w:szCs w:val="24"/>
        </w:rPr>
        <w:t xml:space="preserve"> </w:t>
      </w:r>
      <w:r>
        <w:rPr>
          <w:sz w:val="24"/>
          <w:szCs w:val="24"/>
        </w:rPr>
        <w:t>stratum</w:t>
      </w:r>
      <w:r w:rsidRPr="00655559">
        <w:rPr>
          <w:sz w:val="24"/>
          <w:szCs w:val="24"/>
        </w:rPr>
        <w:t xml:space="preserve"> is identified </w:t>
      </w:r>
      <w:r>
        <w:rPr>
          <w:sz w:val="24"/>
          <w:szCs w:val="24"/>
        </w:rPr>
        <w:t>as</w:t>
      </w:r>
      <w:r w:rsidRPr="00655559">
        <w:rPr>
          <w:sz w:val="24"/>
          <w:szCs w:val="24"/>
        </w:rPr>
        <w:t xml:space="preserve"> electric utilities burning coal in the South Atlantic Census </w:t>
      </w:r>
      <w:r>
        <w:rPr>
          <w:sz w:val="24"/>
          <w:szCs w:val="24"/>
        </w:rPr>
        <w:t>Division</w:t>
      </w:r>
      <w:r w:rsidRPr="00655559">
        <w:rPr>
          <w:sz w:val="24"/>
          <w:szCs w:val="24"/>
        </w:rPr>
        <w:t xml:space="preserve">.  </w:t>
      </w:r>
      <w:r>
        <w:rPr>
          <w:sz w:val="24"/>
          <w:szCs w:val="24"/>
        </w:rPr>
        <w:t>The types of stratification groups are briefly described below</w:t>
      </w:r>
      <w:r w:rsidRPr="00655559">
        <w:rPr>
          <w:sz w:val="24"/>
          <w:szCs w:val="24"/>
        </w:rPr>
        <w:t>.</w:t>
      </w:r>
    </w:p>
    <w:p w:rsidR="00DD6EEC" w:rsidRDefault="00DD6EEC" w:rsidP="00DD6EEC">
      <w:pPr>
        <w:ind w:right="-540"/>
        <w:rPr>
          <w:b/>
          <w:sz w:val="24"/>
          <w:szCs w:val="24"/>
          <w:u w:val="single"/>
        </w:rPr>
      </w:pPr>
    </w:p>
    <w:p w:rsidR="00DD6EEC" w:rsidRPr="00655559" w:rsidRDefault="00DD6EEC" w:rsidP="00DD6EEC">
      <w:pPr>
        <w:ind w:right="-540"/>
        <w:rPr>
          <w:b/>
          <w:sz w:val="24"/>
          <w:szCs w:val="24"/>
          <w:u w:val="single"/>
        </w:rPr>
      </w:pPr>
      <w:r w:rsidRPr="00655559">
        <w:rPr>
          <w:b/>
          <w:sz w:val="24"/>
          <w:szCs w:val="24"/>
          <w:u w:val="single"/>
        </w:rPr>
        <w:t>Facility Type</w:t>
      </w:r>
      <w:r>
        <w:rPr>
          <w:b/>
          <w:sz w:val="24"/>
          <w:szCs w:val="24"/>
          <w:u w:val="single"/>
        </w:rPr>
        <w:t xml:space="preserve"> Classification for Form EIA-923</w:t>
      </w:r>
    </w:p>
    <w:p w:rsidR="00DD6EEC" w:rsidRPr="00655559" w:rsidRDefault="00DD6EEC" w:rsidP="00DD6EEC">
      <w:pPr>
        <w:ind w:right="-540"/>
        <w:rPr>
          <w:sz w:val="24"/>
          <w:szCs w:val="24"/>
        </w:rPr>
      </w:pPr>
    </w:p>
    <w:p w:rsidR="00DD6EEC" w:rsidRPr="00A32102" w:rsidRDefault="00DD6EEC" w:rsidP="00DD6EEC">
      <w:pPr>
        <w:ind w:right="-540"/>
        <w:rPr>
          <w:sz w:val="24"/>
          <w:szCs w:val="24"/>
        </w:rPr>
      </w:pPr>
      <w:r w:rsidRPr="00655559">
        <w:rPr>
          <w:sz w:val="24"/>
          <w:szCs w:val="24"/>
        </w:rPr>
        <w:t xml:space="preserve">The four facility type </w:t>
      </w:r>
      <w:r>
        <w:rPr>
          <w:sz w:val="24"/>
          <w:szCs w:val="24"/>
        </w:rPr>
        <w:t>categories comprise seven sectors for which data are collected.  These four categories, which</w:t>
      </w:r>
      <w:r w:rsidRPr="00655559">
        <w:rPr>
          <w:sz w:val="24"/>
          <w:szCs w:val="24"/>
        </w:rPr>
        <w:t xml:space="preserve"> correspond to the facility type classifications published in the </w:t>
      </w:r>
      <w:r>
        <w:rPr>
          <w:sz w:val="24"/>
          <w:szCs w:val="24"/>
        </w:rPr>
        <w:t>Electric Power Monthly (</w:t>
      </w:r>
      <w:r w:rsidRPr="00655559">
        <w:rPr>
          <w:sz w:val="24"/>
          <w:szCs w:val="24"/>
        </w:rPr>
        <w:t>EPM</w:t>
      </w:r>
      <w:r>
        <w:rPr>
          <w:sz w:val="24"/>
          <w:szCs w:val="24"/>
        </w:rPr>
        <w:t>),</w:t>
      </w:r>
      <w:r w:rsidRPr="00655559">
        <w:rPr>
          <w:sz w:val="24"/>
          <w:szCs w:val="24"/>
        </w:rPr>
        <w:t xml:space="preserve"> are </w:t>
      </w:r>
      <w:r>
        <w:rPr>
          <w:sz w:val="24"/>
          <w:szCs w:val="24"/>
        </w:rPr>
        <w:t xml:space="preserve">(1) </w:t>
      </w:r>
      <w:r w:rsidRPr="00655559">
        <w:rPr>
          <w:sz w:val="24"/>
          <w:szCs w:val="24"/>
        </w:rPr>
        <w:t xml:space="preserve">electric utilities, </w:t>
      </w:r>
      <w:r>
        <w:rPr>
          <w:sz w:val="24"/>
          <w:szCs w:val="24"/>
        </w:rPr>
        <w:t xml:space="preserve">(2) </w:t>
      </w:r>
      <w:r w:rsidRPr="00655559">
        <w:rPr>
          <w:sz w:val="24"/>
          <w:szCs w:val="24"/>
        </w:rPr>
        <w:t xml:space="preserve">independent power producers, </w:t>
      </w:r>
      <w:r>
        <w:rPr>
          <w:sz w:val="24"/>
          <w:szCs w:val="24"/>
        </w:rPr>
        <w:t xml:space="preserve">(3) </w:t>
      </w:r>
      <w:r w:rsidRPr="00655559">
        <w:rPr>
          <w:sz w:val="24"/>
          <w:szCs w:val="24"/>
        </w:rPr>
        <w:t xml:space="preserve">commercial facilities, and </w:t>
      </w:r>
      <w:r>
        <w:rPr>
          <w:sz w:val="24"/>
          <w:szCs w:val="24"/>
        </w:rPr>
        <w:t xml:space="preserve">(4) </w:t>
      </w:r>
      <w:r w:rsidRPr="00655559">
        <w:rPr>
          <w:sz w:val="24"/>
          <w:szCs w:val="24"/>
        </w:rPr>
        <w:t>industrial facilities.</w:t>
      </w:r>
      <w:r>
        <w:rPr>
          <w:sz w:val="24"/>
          <w:szCs w:val="24"/>
        </w:rPr>
        <w:t xml:space="preserve">  Table 8 below shows the seven sectors.  (Combined Heat and Power Plant is abbreviated CHP.)</w:t>
      </w:r>
    </w:p>
    <w:p w:rsidR="00DD6EEC" w:rsidRDefault="00DD6EEC" w:rsidP="00DD6EEC">
      <w:pPr>
        <w:ind w:right="-540"/>
        <w:rPr>
          <w:b/>
          <w:sz w:val="24"/>
          <w:szCs w:val="24"/>
        </w:rPr>
      </w:pPr>
    </w:p>
    <w:p w:rsidR="00DD6EEC" w:rsidRDefault="00DD6EEC" w:rsidP="00DD6EEC">
      <w:pPr>
        <w:ind w:right="-540"/>
        <w:rPr>
          <w:b/>
          <w:sz w:val="24"/>
          <w:szCs w:val="24"/>
        </w:rPr>
      </w:pPr>
    </w:p>
    <w:p w:rsidR="00DD6EEC" w:rsidRPr="00190564" w:rsidRDefault="00DD6EEC" w:rsidP="00DD6EEC">
      <w:pPr>
        <w:ind w:right="-540"/>
        <w:rPr>
          <w:b/>
          <w:sz w:val="24"/>
          <w:szCs w:val="24"/>
        </w:rPr>
      </w:pPr>
      <w:proofErr w:type="gramStart"/>
      <w:r w:rsidRPr="00190564">
        <w:rPr>
          <w:b/>
          <w:sz w:val="24"/>
          <w:szCs w:val="24"/>
        </w:rPr>
        <w:t>Table 8.</w:t>
      </w:r>
      <w:proofErr w:type="gramEnd"/>
      <w:r w:rsidRPr="00190564">
        <w:rPr>
          <w:b/>
          <w:sz w:val="24"/>
          <w:szCs w:val="24"/>
        </w:rPr>
        <w:t xml:space="preserve"> Facility Types</w:t>
      </w:r>
    </w:p>
    <w:tbl>
      <w:tblPr>
        <w:tblW w:w="9665" w:type="dxa"/>
        <w:tblLook w:val="01E0"/>
      </w:tblPr>
      <w:tblGrid>
        <w:gridCol w:w="9221"/>
        <w:gridCol w:w="222"/>
        <w:gridCol w:w="222"/>
      </w:tblGrid>
      <w:tr w:rsidR="00DD6EEC" w:rsidRPr="00C40370" w:rsidTr="00DD6EEC">
        <w:tc>
          <w:tcPr>
            <w:tcW w:w="9221" w:type="dxa"/>
            <w:shd w:val="clear" w:color="auto" w:fill="B3B3B3"/>
          </w:tcPr>
          <w:tbl>
            <w:tblPr>
              <w:tblW w:w="89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4A0"/>
            </w:tblPr>
            <w:tblGrid>
              <w:gridCol w:w="1603"/>
              <w:gridCol w:w="3702"/>
              <w:gridCol w:w="3690"/>
            </w:tblGrid>
            <w:tr w:rsidR="00DD6EEC" w:rsidRPr="00C40370" w:rsidTr="00DD6EEC">
              <w:tc>
                <w:tcPr>
                  <w:tcW w:w="1603" w:type="dxa"/>
                  <w:shd w:val="clear" w:color="auto" w:fill="C4BC96"/>
                  <w:vAlign w:val="center"/>
                </w:tcPr>
                <w:p w:rsidR="00DD6EEC" w:rsidRPr="00C40370" w:rsidRDefault="00DD6EEC" w:rsidP="00DD6EEC">
                  <w:pPr>
                    <w:jc w:val="center"/>
                    <w:rPr>
                      <w:b/>
                      <w:sz w:val="24"/>
                      <w:szCs w:val="24"/>
                    </w:rPr>
                  </w:pPr>
                  <w:r w:rsidRPr="00C40370">
                    <w:rPr>
                      <w:b/>
                      <w:sz w:val="24"/>
                      <w:szCs w:val="24"/>
                    </w:rPr>
                    <w:t xml:space="preserve">Sector </w:t>
                  </w:r>
                  <w:r w:rsidRPr="00C40370">
                    <w:rPr>
                      <w:b/>
                      <w:sz w:val="24"/>
                      <w:szCs w:val="24"/>
                    </w:rPr>
                    <w:lastRenderedPageBreak/>
                    <w:t>Classification Number</w:t>
                  </w:r>
                </w:p>
              </w:tc>
              <w:tc>
                <w:tcPr>
                  <w:tcW w:w="3702" w:type="dxa"/>
                  <w:shd w:val="clear" w:color="auto" w:fill="C4BC96"/>
                  <w:vAlign w:val="center"/>
                </w:tcPr>
                <w:p w:rsidR="00DD6EEC" w:rsidRPr="00C40370" w:rsidRDefault="00DD6EEC" w:rsidP="00DD6EEC">
                  <w:pPr>
                    <w:jc w:val="center"/>
                    <w:rPr>
                      <w:b/>
                      <w:sz w:val="24"/>
                      <w:szCs w:val="24"/>
                    </w:rPr>
                  </w:pPr>
                  <w:r w:rsidRPr="00C40370">
                    <w:rPr>
                      <w:b/>
                      <w:sz w:val="24"/>
                      <w:szCs w:val="24"/>
                    </w:rPr>
                    <w:lastRenderedPageBreak/>
                    <w:t>Sector Classification Description</w:t>
                  </w:r>
                </w:p>
              </w:tc>
              <w:tc>
                <w:tcPr>
                  <w:tcW w:w="3690" w:type="dxa"/>
                  <w:shd w:val="clear" w:color="auto" w:fill="C4BC96"/>
                  <w:vAlign w:val="center"/>
                </w:tcPr>
                <w:p w:rsidR="00DD6EEC" w:rsidRPr="00C40370" w:rsidRDefault="00DD6EEC" w:rsidP="00DD6EEC">
                  <w:pPr>
                    <w:jc w:val="center"/>
                    <w:rPr>
                      <w:b/>
                      <w:sz w:val="24"/>
                      <w:szCs w:val="24"/>
                    </w:rPr>
                  </w:pPr>
                  <w:r w:rsidRPr="00C40370">
                    <w:rPr>
                      <w:b/>
                      <w:sz w:val="24"/>
                      <w:szCs w:val="24"/>
                    </w:rPr>
                    <w:t>Facility Type Stratification Group</w:t>
                  </w:r>
                </w:p>
              </w:tc>
            </w:tr>
            <w:tr w:rsidR="00DD6EEC" w:rsidRPr="00C40370" w:rsidTr="00DD6EEC">
              <w:tc>
                <w:tcPr>
                  <w:tcW w:w="1603" w:type="dxa"/>
                  <w:shd w:val="clear" w:color="auto" w:fill="FFFFFF"/>
                </w:tcPr>
                <w:p w:rsidR="00DD6EEC" w:rsidRPr="00C40370" w:rsidRDefault="00DD6EEC" w:rsidP="00DD6EEC">
                  <w:pPr>
                    <w:jc w:val="center"/>
                    <w:rPr>
                      <w:sz w:val="24"/>
                      <w:szCs w:val="24"/>
                    </w:rPr>
                  </w:pPr>
                  <w:r w:rsidRPr="00C40370">
                    <w:rPr>
                      <w:sz w:val="24"/>
                      <w:szCs w:val="24"/>
                    </w:rPr>
                    <w:lastRenderedPageBreak/>
                    <w:t>1</w:t>
                  </w:r>
                </w:p>
              </w:tc>
              <w:tc>
                <w:tcPr>
                  <w:tcW w:w="3702" w:type="dxa"/>
                  <w:shd w:val="clear" w:color="auto" w:fill="FFFFFF"/>
                </w:tcPr>
                <w:p w:rsidR="00DD6EEC" w:rsidRPr="00C40370" w:rsidRDefault="00DD6EEC" w:rsidP="00DD6EEC">
                  <w:pPr>
                    <w:rPr>
                      <w:sz w:val="24"/>
                      <w:szCs w:val="24"/>
                    </w:rPr>
                  </w:pPr>
                  <w:r w:rsidRPr="00C40370">
                    <w:rPr>
                      <w:sz w:val="24"/>
                      <w:szCs w:val="24"/>
                    </w:rPr>
                    <w:t>Regulated Electric Utility</w:t>
                  </w:r>
                </w:p>
              </w:tc>
              <w:tc>
                <w:tcPr>
                  <w:tcW w:w="3690" w:type="dxa"/>
                  <w:shd w:val="clear" w:color="auto" w:fill="FFFFFF"/>
                </w:tcPr>
                <w:p w:rsidR="00DD6EEC" w:rsidRPr="00C40370" w:rsidRDefault="00DD6EEC" w:rsidP="00DD6EEC">
                  <w:pPr>
                    <w:rPr>
                      <w:sz w:val="24"/>
                      <w:szCs w:val="24"/>
                    </w:rPr>
                  </w:pPr>
                  <w:r w:rsidRPr="00C40370">
                    <w:rPr>
                      <w:sz w:val="24"/>
                      <w:szCs w:val="24"/>
                    </w:rPr>
                    <w:t>Electric Utilities</w:t>
                  </w:r>
                </w:p>
              </w:tc>
            </w:tr>
            <w:tr w:rsidR="00DD6EEC" w:rsidRPr="00C40370" w:rsidTr="00DD6EEC">
              <w:tc>
                <w:tcPr>
                  <w:tcW w:w="1603" w:type="dxa"/>
                  <w:shd w:val="clear" w:color="auto" w:fill="FFFFFF"/>
                </w:tcPr>
                <w:p w:rsidR="00DD6EEC" w:rsidRPr="00C40370" w:rsidRDefault="00DD6EEC" w:rsidP="00DD6EEC">
                  <w:pPr>
                    <w:jc w:val="center"/>
                    <w:rPr>
                      <w:sz w:val="24"/>
                      <w:szCs w:val="24"/>
                    </w:rPr>
                  </w:pPr>
                  <w:r w:rsidRPr="00C40370">
                    <w:rPr>
                      <w:sz w:val="24"/>
                      <w:szCs w:val="24"/>
                    </w:rPr>
                    <w:t>2</w:t>
                  </w:r>
                </w:p>
              </w:tc>
              <w:tc>
                <w:tcPr>
                  <w:tcW w:w="3702" w:type="dxa"/>
                  <w:shd w:val="clear" w:color="auto" w:fill="FFFFFF"/>
                </w:tcPr>
                <w:p w:rsidR="00DD6EEC" w:rsidRPr="00C40370" w:rsidRDefault="00DD6EEC" w:rsidP="00DD6EEC">
                  <w:pPr>
                    <w:rPr>
                      <w:sz w:val="24"/>
                      <w:szCs w:val="24"/>
                    </w:rPr>
                  </w:pPr>
                  <w:r w:rsidRPr="00C40370">
                    <w:rPr>
                      <w:sz w:val="24"/>
                      <w:szCs w:val="24"/>
                    </w:rPr>
                    <w:t>IPP (Non-CHP)</w:t>
                  </w:r>
                </w:p>
              </w:tc>
              <w:tc>
                <w:tcPr>
                  <w:tcW w:w="3690" w:type="dxa"/>
                  <w:shd w:val="clear" w:color="auto" w:fill="FFFFFF"/>
                </w:tcPr>
                <w:p w:rsidR="00DD6EEC" w:rsidRPr="00C40370" w:rsidRDefault="00DD6EEC" w:rsidP="00DD6EEC">
                  <w:pPr>
                    <w:rPr>
                      <w:sz w:val="24"/>
                      <w:szCs w:val="24"/>
                    </w:rPr>
                  </w:pPr>
                  <w:r w:rsidRPr="00C40370">
                    <w:rPr>
                      <w:sz w:val="24"/>
                      <w:szCs w:val="24"/>
                    </w:rPr>
                    <w:t>Independent Power Producers</w:t>
                  </w:r>
                </w:p>
              </w:tc>
            </w:tr>
            <w:tr w:rsidR="00DD6EEC" w:rsidRPr="00C40370" w:rsidTr="00DD6EEC">
              <w:tc>
                <w:tcPr>
                  <w:tcW w:w="1603" w:type="dxa"/>
                  <w:shd w:val="clear" w:color="auto" w:fill="FFFFFF"/>
                </w:tcPr>
                <w:p w:rsidR="00DD6EEC" w:rsidRPr="00C40370" w:rsidRDefault="00DD6EEC" w:rsidP="00DD6EEC">
                  <w:pPr>
                    <w:jc w:val="center"/>
                    <w:rPr>
                      <w:sz w:val="24"/>
                      <w:szCs w:val="24"/>
                    </w:rPr>
                  </w:pPr>
                  <w:r w:rsidRPr="00C40370">
                    <w:rPr>
                      <w:sz w:val="24"/>
                      <w:szCs w:val="24"/>
                    </w:rPr>
                    <w:t>3</w:t>
                  </w:r>
                </w:p>
              </w:tc>
              <w:tc>
                <w:tcPr>
                  <w:tcW w:w="3702" w:type="dxa"/>
                  <w:shd w:val="clear" w:color="auto" w:fill="FFFFFF"/>
                </w:tcPr>
                <w:p w:rsidR="00DD6EEC" w:rsidRPr="00C40370" w:rsidRDefault="00DD6EEC" w:rsidP="00DD6EEC">
                  <w:pPr>
                    <w:rPr>
                      <w:sz w:val="24"/>
                      <w:szCs w:val="24"/>
                    </w:rPr>
                  </w:pPr>
                  <w:r w:rsidRPr="00C40370">
                    <w:rPr>
                      <w:sz w:val="24"/>
                      <w:szCs w:val="24"/>
                    </w:rPr>
                    <w:t>IPP (CHP)</w:t>
                  </w:r>
                </w:p>
              </w:tc>
              <w:tc>
                <w:tcPr>
                  <w:tcW w:w="3690" w:type="dxa"/>
                  <w:shd w:val="clear" w:color="auto" w:fill="FFFFFF"/>
                </w:tcPr>
                <w:p w:rsidR="00DD6EEC" w:rsidRPr="00C40370" w:rsidRDefault="00DD6EEC" w:rsidP="00DD6EEC">
                  <w:pPr>
                    <w:rPr>
                      <w:sz w:val="24"/>
                      <w:szCs w:val="24"/>
                    </w:rPr>
                  </w:pPr>
                  <w:r w:rsidRPr="00C40370">
                    <w:rPr>
                      <w:sz w:val="24"/>
                      <w:szCs w:val="24"/>
                    </w:rPr>
                    <w:t>Independent Power Producers</w:t>
                  </w:r>
                </w:p>
              </w:tc>
            </w:tr>
            <w:tr w:rsidR="00DD6EEC" w:rsidRPr="00C40370" w:rsidTr="00DD6EEC">
              <w:tc>
                <w:tcPr>
                  <w:tcW w:w="1603" w:type="dxa"/>
                  <w:shd w:val="clear" w:color="auto" w:fill="FFFFFF"/>
                </w:tcPr>
                <w:p w:rsidR="00DD6EEC" w:rsidRPr="00C40370" w:rsidRDefault="00DD6EEC" w:rsidP="00DD6EEC">
                  <w:pPr>
                    <w:jc w:val="center"/>
                    <w:rPr>
                      <w:sz w:val="24"/>
                      <w:szCs w:val="24"/>
                    </w:rPr>
                  </w:pPr>
                  <w:r w:rsidRPr="00C40370">
                    <w:rPr>
                      <w:sz w:val="24"/>
                      <w:szCs w:val="24"/>
                    </w:rPr>
                    <w:t>4</w:t>
                  </w:r>
                </w:p>
              </w:tc>
              <w:tc>
                <w:tcPr>
                  <w:tcW w:w="3702" w:type="dxa"/>
                  <w:shd w:val="clear" w:color="auto" w:fill="FFFFFF"/>
                </w:tcPr>
                <w:p w:rsidR="00DD6EEC" w:rsidRPr="00C40370" w:rsidRDefault="00DD6EEC" w:rsidP="00DD6EEC">
                  <w:pPr>
                    <w:rPr>
                      <w:sz w:val="24"/>
                      <w:szCs w:val="24"/>
                    </w:rPr>
                  </w:pPr>
                  <w:r w:rsidRPr="00C40370">
                    <w:rPr>
                      <w:sz w:val="24"/>
                      <w:szCs w:val="24"/>
                    </w:rPr>
                    <w:t>Commercial (Non-CHP)</w:t>
                  </w:r>
                </w:p>
              </w:tc>
              <w:tc>
                <w:tcPr>
                  <w:tcW w:w="3690" w:type="dxa"/>
                  <w:shd w:val="clear" w:color="auto" w:fill="FFFFFF"/>
                </w:tcPr>
                <w:p w:rsidR="00DD6EEC" w:rsidRPr="00C40370" w:rsidRDefault="00DD6EEC" w:rsidP="00DD6EEC">
                  <w:pPr>
                    <w:rPr>
                      <w:sz w:val="24"/>
                      <w:szCs w:val="24"/>
                    </w:rPr>
                  </w:pPr>
                  <w:r w:rsidRPr="00C40370">
                    <w:rPr>
                      <w:sz w:val="24"/>
                      <w:szCs w:val="24"/>
                    </w:rPr>
                    <w:t>Commercial Facilities</w:t>
                  </w:r>
                </w:p>
              </w:tc>
            </w:tr>
            <w:tr w:rsidR="00DD6EEC" w:rsidRPr="00C40370" w:rsidTr="00DD6EEC">
              <w:tc>
                <w:tcPr>
                  <w:tcW w:w="1603" w:type="dxa"/>
                  <w:shd w:val="clear" w:color="auto" w:fill="FFFFFF"/>
                </w:tcPr>
                <w:p w:rsidR="00DD6EEC" w:rsidRPr="00C40370" w:rsidRDefault="00DD6EEC" w:rsidP="00DD6EEC">
                  <w:pPr>
                    <w:jc w:val="center"/>
                    <w:rPr>
                      <w:sz w:val="24"/>
                      <w:szCs w:val="24"/>
                    </w:rPr>
                  </w:pPr>
                  <w:r w:rsidRPr="00C40370">
                    <w:rPr>
                      <w:sz w:val="24"/>
                      <w:szCs w:val="24"/>
                    </w:rPr>
                    <w:t>5</w:t>
                  </w:r>
                </w:p>
              </w:tc>
              <w:tc>
                <w:tcPr>
                  <w:tcW w:w="3702" w:type="dxa"/>
                  <w:shd w:val="clear" w:color="auto" w:fill="FFFFFF"/>
                </w:tcPr>
                <w:p w:rsidR="00DD6EEC" w:rsidRPr="00C40370" w:rsidRDefault="00DD6EEC" w:rsidP="00DD6EEC">
                  <w:pPr>
                    <w:rPr>
                      <w:sz w:val="24"/>
                      <w:szCs w:val="24"/>
                    </w:rPr>
                  </w:pPr>
                  <w:r w:rsidRPr="00C40370">
                    <w:rPr>
                      <w:sz w:val="24"/>
                      <w:szCs w:val="24"/>
                    </w:rPr>
                    <w:t>Commercial (CHP)</w:t>
                  </w:r>
                </w:p>
              </w:tc>
              <w:tc>
                <w:tcPr>
                  <w:tcW w:w="3690" w:type="dxa"/>
                  <w:shd w:val="clear" w:color="auto" w:fill="FFFFFF"/>
                </w:tcPr>
                <w:p w:rsidR="00DD6EEC" w:rsidRPr="00C40370" w:rsidRDefault="00DD6EEC" w:rsidP="00DD6EEC">
                  <w:pPr>
                    <w:rPr>
                      <w:sz w:val="24"/>
                      <w:szCs w:val="24"/>
                    </w:rPr>
                  </w:pPr>
                  <w:r w:rsidRPr="00C40370">
                    <w:rPr>
                      <w:sz w:val="24"/>
                      <w:szCs w:val="24"/>
                    </w:rPr>
                    <w:t>Commercial Facilities</w:t>
                  </w:r>
                </w:p>
              </w:tc>
            </w:tr>
            <w:tr w:rsidR="00DD6EEC" w:rsidRPr="00C40370" w:rsidTr="00DD6EEC">
              <w:tc>
                <w:tcPr>
                  <w:tcW w:w="1603" w:type="dxa"/>
                  <w:shd w:val="clear" w:color="auto" w:fill="FFFFFF"/>
                </w:tcPr>
                <w:p w:rsidR="00DD6EEC" w:rsidRPr="00C40370" w:rsidRDefault="00DD6EEC" w:rsidP="00DD6EEC">
                  <w:pPr>
                    <w:jc w:val="center"/>
                    <w:rPr>
                      <w:sz w:val="24"/>
                      <w:szCs w:val="24"/>
                    </w:rPr>
                  </w:pPr>
                  <w:r w:rsidRPr="00C40370">
                    <w:rPr>
                      <w:sz w:val="24"/>
                      <w:szCs w:val="24"/>
                    </w:rPr>
                    <w:t>6</w:t>
                  </w:r>
                </w:p>
              </w:tc>
              <w:tc>
                <w:tcPr>
                  <w:tcW w:w="3702" w:type="dxa"/>
                  <w:shd w:val="clear" w:color="auto" w:fill="FFFFFF"/>
                </w:tcPr>
                <w:p w:rsidR="00DD6EEC" w:rsidRPr="00C40370" w:rsidRDefault="00DD6EEC" w:rsidP="00DD6EEC">
                  <w:pPr>
                    <w:rPr>
                      <w:sz w:val="24"/>
                      <w:szCs w:val="24"/>
                    </w:rPr>
                  </w:pPr>
                  <w:r w:rsidRPr="00C40370">
                    <w:rPr>
                      <w:sz w:val="24"/>
                      <w:szCs w:val="24"/>
                    </w:rPr>
                    <w:t>Industrial (Non-CHP)</w:t>
                  </w:r>
                </w:p>
              </w:tc>
              <w:tc>
                <w:tcPr>
                  <w:tcW w:w="3690" w:type="dxa"/>
                  <w:shd w:val="clear" w:color="auto" w:fill="FFFFFF"/>
                </w:tcPr>
                <w:p w:rsidR="00DD6EEC" w:rsidRPr="00C40370" w:rsidRDefault="00DD6EEC" w:rsidP="00DD6EEC">
                  <w:pPr>
                    <w:rPr>
                      <w:sz w:val="24"/>
                      <w:szCs w:val="24"/>
                    </w:rPr>
                  </w:pPr>
                  <w:r w:rsidRPr="00C40370">
                    <w:rPr>
                      <w:sz w:val="24"/>
                      <w:szCs w:val="24"/>
                    </w:rPr>
                    <w:t>Industrial Facilities</w:t>
                  </w:r>
                </w:p>
              </w:tc>
            </w:tr>
            <w:tr w:rsidR="00DD6EEC" w:rsidRPr="00C40370" w:rsidTr="00DD6EEC">
              <w:tc>
                <w:tcPr>
                  <w:tcW w:w="1603" w:type="dxa"/>
                  <w:shd w:val="clear" w:color="auto" w:fill="FFFFFF"/>
                </w:tcPr>
                <w:p w:rsidR="00DD6EEC" w:rsidRPr="00C40370" w:rsidRDefault="00DD6EEC" w:rsidP="00DD6EEC">
                  <w:pPr>
                    <w:jc w:val="center"/>
                    <w:rPr>
                      <w:sz w:val="24"/>
                      <w:szCs w:val="24"/>
                    </w:rPr>
                  </w:pPr>
                  <w:r w:rsidRPr="00C40370">
                    <w:rPr>
                      <w:sz w:val="24"/>
                      <w:szCs w:val="24"/>
                    </w:rPr>
                    <w:t>7</w:t>
                  </w:r>
                </w:p>
              </w:tc>
              <w:tc>
                <w:tcPr>
                  <w:tcW w:w="3702" w:type="dxa"/>
                  <w:shd w:val="clear" w:color="auto" w:fill="FFFFFF"/>
                </w:tcPr>
                <w:p w:rsidR="00DD6EEC" w:rsidRPr="00C40370" w:rsidRDefault="00DD6EEC" w:rsidP="00DD6EEC">
                  <w:pPr>
                    <w:rPr>
                      <w:sz w:val="24"/>
                      <w:szCs w:val="24"/>
                    </w:rPr>
                  </w:pPr>
                  <w:r w:rsidRPr="00C40370">
                    <w:rPr>
                      <w:sz w:val="24"/>
                      <w:szCs w:val="24"/>
                    </w:rPr>
                    <w:t>Industrial (CHP)</w:t>
                  </w:r>
                </w:p>
              </w:tc>
              <w:tc>
                <w:tcPr>
                  <w:tcW w:w="3690" w:type="dxa"/>
                  <w:shd w:val="clear" w:color="auto" w:fill="FFFFFF"/>
                </w:tcPr>
                <w:p w:rsidR="00DD6EEC" w:rsidRPr="00C40370" w:rsidRDefault="00DD6EEC" w:rsidP="00DD6EEC">
                  <w:pPr>
                    <w:rPr>
                      <w:sz w:val="24"/>
                      <w:szCs w:val="24"/>
                    </w:rPr>
                  </w:pPr>
                  <w:r w:rsidRPr="00C40370">
                    <w:rPr>
                      <w:sz w:val="24"/>
                      <w:szCs w:val="24"/>
                    </w:rPr>
                    <w:t>Industrial Facilities</w:t>
                  </w:r>
                </w:p>
              </w:tc>
            </w:tr>
          </w:tbl>
          <w:p w:rsidR="00DD6EEC" w:rsidRPr="00C40370" w:rsidRDefault="00DD6EEC" w:rsidP="00DD6EEC">
            <w:pPr>
              <w:rPr>
                <w:b/>
                <w:sz w:val="24"/>
                <w:szCs w:val="24"/>
              </w:rPr>
            </w:pPr>
          </w:p>
        </w:tc>
        <w:tc>
          <w:tcPr>
            <w:tcW w:w="222" w:type="dxa"/>
            <w:shd w:val="clear" w:color="auto" w:fill="FFFFFF"/>
          </w:tcPr>
          <w:p w:rsidR="00DD6EEC" w:rsidRPr="00C40370" w:rsidRDefault="00DD6EEC" w:rsidP="00DD6EEC">
            <w:pPr>
              <w:rPr>
                <w:b/>
                <w:sz w:val="24"/>
                <w:szCs w:val="24"/>
              </w:rPr>
            </w:pPr>
          </w:p>
        </w:tc>
        <w:tc>
          <w:tcPr>
            <w:tcW w:w="222" w:type="dxa"/>
            <w:shd w:val="clear" w:color="auto" w:fill="FFFFFF"/>
          </w:tcPr>
          <w:p w:rsidR="00DD6EEC" w:rsidRPr="00C40370" w:rsidRDefault="00DD6EEC" w:rsidP="00DD6EEC">
            <w:pPr>
              <w:rPr>
                <w:b/>
                <w:sz w:val="24"/>
                <w:szCs w:val="24"/>
              </w:rPr>
            </w:pPr>
          </w:p>
        </w:tc>
      </w:tr>
      <w:tr w:rsidR="00DD6EEC" w:rsidRPr="00C40370" w:rsidTr="00DD6EEC">
        <w:tc>
          <w:tcPr>
            <w:tcW w:w="9221" w:type="dxa"/>
          </w:tcPr>
          <w:p w:rsidR="00DD6EEC" w:rsidRPr="00C40370" w:rsidRDefault="00DD6EEC" w:rsidP="00DD6EEC">
            <w:pPr>
              <w:ind w:right="-540"/>
              <w:rPr>
                <w:sz w:val="24"/>
                <w:szCs w:val="24"/>
              </w:rPr>
            </w:pPr>
          </w:p>
        </w:tc>
        <w:tc>
          <w:tcPr>
            <w:tcW w:w="222" w:type="dxa"/>
          </w:tcPr>
          <w:p w:rsidR="00DD6EEC" w:rsidRPr="00C40370" w:rsidRDefault="00DD6EEC" w:rsidP="00DD6EEC">
            <w:pPr>
              <w:rPr>
                <w:sz w:val="24"/>
                <w:szCs w:val="24"/>
              </w:rPr>
            </w:pPr>
          </w:p>
        </w:tc>
        <w:tc>
          <w:tcPr>
            <w:tcW w:w="222" w:type="dxa"/>
          </w:tcPr>
          <w:p w:rsidR="00DD6EEC" w:rsidRPr="00C40370" w:rsidRDefault="00DD6EEC" w:rsidP="00DD6EEC">
            <w:pPr>
              <w:rPr>
                <w:sz w:val="24"/>
                <w:szCs w:val="24"/>
              </w:rPr>
            </w:pPr>
          </w:p>
        </w:tc>
      </w:tr>
      <w:tr w:rsidR="00DD6EEC" w:rsidRPr="00C40370" w:rsidTr="00DD6EEC">
        <w:tc>
          <w:tcPr>
            <w:tcW w:w="9221" w:type="dxa"/>
          </w:tcPr>
          <w:p w:rsidR="00DD6EEC" w:rsidRPr="00C40370" w:rsidRDefault="00DD6EEC" w:rsidP="00DD6EEC">
            <w:pPr>
              <w:rPr>
                <w:b/>
                <w:sz w:val="24"/>
                <w:szCs w:val="24"/>
                <w:u w:val="single"/>
              </w:rPr>
            </w:pPr>
            <w:r w:rsidRPr="00C40370">
              <w:rPr>
                <w:b/>
                <w:sz w:val="24"/>
                <w:szCs w:val="24"/>
                <w:u w:val="single"/>
              </w:rPr>
              <w:t>Energy Source Classification for Form EIA-923</w:t>
            </w:r>
          </w:p>
        </w:tc>
        <w:tc>
          <w:tcPr>
            <w:tcW w:w="222" w:type="dxa"/>
          </w:tcPr>
          <w:p w:rsidR="00DD6EEC" w:rsidRPr="00C40370" w:rsidRDefault="00DD6EEC" w:rsidP="00DD6EEC">
            <w:pPr>
              <w:rPr>
                <w:sz w:val="24"/>
                <w:szCs w:val="24"/>
              </w:rPr>
            </w:pPr>
          </w:p>
        </w:tc>
        <w:tc>
          <w:tcPr>
            <w:tcW w:w="222" w:type="dxa"/>
          </w:tcPr>
          <w:p w:rsidR="00DD6EEC" w:rsidRPr="00C40370" w:rsidRDefault="00DD6EEC" w:rsidP="00DD6EEC">
            <w:pPr>
              <w:rPr>
                <w:sz w:val="24"/>
                <w:szCs w:val="24"/>
              </w:rPr>
            </w:pPr>
          </w:p>
        </w:tc>
      </w:tr>
      <w:tr w:rsidR="00DD6EEC" w:rsidRPr="00C40370" w:rsidTr="00DD6EEC">
        <w:tc>
          <w:tcPr>
            <w:tcW w:w="9221" w:type="dxa"/>
          </w:tcPr>
          <w:p w:rsidR="00DD6EEC" w:rsidRPr="00C40370" w:rsidRDefault="00DD6EEC" w:rsidP="00DD6EEC">
            <w:pPr>
              <w:jc w:val="center"/>
              <w:rPr>
                <w:sz w:val="24"/>
                <w:szCs w:val="24"/>
              </w:rPr>
            </w:pPr>
          </w:p>
        </w:tc>
        <w:tc>
          <w:tcPr>
            <w:tcW w:w="222" w:type="dxa"/>
          </w:tcPr>
          <w:p w:rsidR="00DD6EEC" w:rsidRPr="00C40370" w:rsidRDefault="00DD6EEC" w:rsidP="00DD6EEC">
            <w:pPr>
              <w:rPr>
                <w:sz w:val="24"/>
                <w:szCs w:val="24"/>
              </w:rPr>
            </w:pPr>
          </w:p>
        </w:tc>
        <w:tc>
          <w:tcPr>
            <w:tcW w:w="222" w:type="dxa"/>
          </w:tcPr>
          <w:p w:rsidR="00DD6EEC" w:rsidRPr="00C40370" w:rsidRDefault="00DD6EEC" w:rsidP="00DD6EEC">
            <w:pPr>
              <w:rPr>
                <w:sz w:val="24"/>
                <w:szCs w:val="24"/>
              </w:rPr>
            </w:pPr>
          </w:p>
        </w:tc>
      </w:tr>
    </w:tbl>
    <w:p w:rsidR="00DD6EEC" w:rsidRDefault="00DD6EEC" w:rsidP="00DD6EEC">
      <w:pPr>
        <w:ind w:right="-540"/>
        <w:rPr>
          <w:sz w:val="24"/>
          <w:szCs w:val="24"/>
        </w:rPr>
      </w:pPr>
      <w:r w:rsidRPr="00655559">
        <w:rPr>
          <w:sz w:val="24"/>
          <w:szCs w:val="24"/>
        </w:rPr>
        <w:t xml:space="preserve">The </w:t>
      </w:r>
      <w:r>
        <w:rPr>
          <w:sz w:val="24"/>
          <w:szCs w:val="24"/>
        </w:rPr>
        <w:t>14</w:t>
      </w:r>
      <w:r w:rsidRPr="00655559">
        <w:rPr>
          <w:sz w:val="24"/>
          <w:szCs w:val="24"/>
        </w:rPr>
        <w:t xml:space="preserve"> energy source </w:t>
      </w:r>
      <w:r>
        <w:rPr>
          <w:sz w:val="24"/>
          <w:szCs w:val="24"/>
        </w:rPr>
        <w:t xml:space="preserve">categories, which </w:t>
      </w:r>
      <w:r w:rsidRPr="00655559">
        <w:rPr>
          <w:sz w:val="24"/>
          <w:szCs w:val="24"/>
        </w:rPr>
        <w:t>correspond</w:t>
      </w:r>
      <w:r>
        <w:rPr>
          <w:sz w:val="24"/>
          <w:szCs w:val="24"/>
        </w:rPr>
        <w:t xml:space="preserve"> </w:t>
      </w:r>
      <w:r w:rsidRPr="00655559">
        <w:rPr>
          <w:sz w:val="24"/>
          <w:szCs w:val="24"/>
        </w:rPr>
        <w:t>to the energy source classifications published in the EPM</w:t>
      </w:r>
      <w:r>
        <w:rPr>
          <w:sz w:val="24"/>
          <w:szCs w:val="24"/>
        </w:rPr>
        <w:t>, are aggregations of the 36 different fuel types for which data are collected on the survey</w:t>
      </w:r>
      <w:r w:rsidRPr="00655559">
        <w:rPr>
          <w:sz w:val="24"/>
          <w:szCs w:val="24"/>
        </w:rPr>
        <w:t xml:space="preserve">.  </w:t>
      </w:r>
      <w:r>
        <w:rPr>
          <w:sz w:val="24"/>
          <w:szCs w:val="24"/>
        </w:rPr>
        <w:t xml:space="preserve">Table 9 gives the 14 energy source categories and the corresponding stratification categories.  The energy source codes are defined in the instructions for completing Form EIA-923.  </w:t>
      </w:r>
      <w:proofErr w:type="gramStart"/>
      <w:r>
        <w:rPr>
          <w:sz w:val="24"/>
          <w:szCs w:val="24"/>
        </w:rPr>
        <w:t>(See Appendix C.)</w:t>
      </w:r>
      <w:proofErr w:type="gramEnd"/>
    </w:p>
    <w:p w:rsidR="00DD6EEC" w:rsidRDefault="00DD6EEC" w:rsidP="00DD6EEC">
      <w:pPr>
        <w:ind w:right="-540"/>
        <w:rPr>
          <w:sz w:val="24"/>
          <w:szCs w:val="24"/>
        </w:rPr>
      </w:pPr>
    </w:p>
    <w:p w:rsidR="00DD6EEC" w:rsidRPr="00190564" w:rsidRDefault="00DD6EEC" w:rsidP="00DD6EEC">
      <w:pPr>
        <w:ind w:right="-540"/>
        <w:rPr>
          <w:b/>
          <w:sz w:val="24"/>
          <w:szCs w:val="24"/>
        </w:rPr>
      </w:pPr>
      <w:proofErr w:type="gramStart"/>
      <w:r w:rsidRPr="00190564">
        <w:rPr>
          <w:b/>
          <w:sz w:val="24"/>
          <w:szCs w:val="24"/>
        </w:rPr>
        <w:t>Table 9.</w:t>
      </w:r>
      <w:proofErr w:type="gramEnd"/>
      <w:r w:rsidRPr="00190564">
        <w:rPr>
          <w:b/>
          <w:sz w:val="24"/>
          <w:szCs w:val="24"/>
        </w:rPr>
        <w:t xml:space="preserve"> Energy Source Aggregations</w:t>
      </w:r>
    </w:p>
    <w:tbl>
      <w:tblPr>
        <w:tblW w:w="8813" w:type="dxa"/>
        <w:tblLook w:val="01E0"/>
      </w:tblPr>
      <w:tblGrid>
        <w:gridCol w:w="8591"/>
        <w:gridCol w:w="222"/>
      </w:tblGrid>
      <w:tr w:rsidR="00DD6EEC" w:rsidRPr="00C40370" w:rsidTr="00DD6EEC">
        <w:tc>
          <w:tcPr>
            <w:tcW w:w="8591" w:type="dxa"/>
            <w:shd w:val="clear" w:color="auto" w:fill="FFFFFF"/>
          </w:tcPr>
          <w:tbl>
            <w:tblPr>
              <w:tblW w:w="75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135"/>
              <w:gridCol w:w="3420"/>
            </w:tblGrid>
            <w:tr w:rsidR="00DD6EEC" w:rsidRPr="00C40370" w:rsidTr="00DD6EEC">
              <w:tc>
                <w:tcPr>
                  <w:tcW w:w="4135" w:type="dxa"/>
                  <w:shd w:val="clear" w:color="auto" w:fill="C4BC96"/>
                </w:tcPr>
                <w:p w:rsidR="00DD6EEC" w:rsidRPr="00C40370" w:rsidRDefault="00DD6EEC" w:rsidP="00DD6EEC">
                  <w:pPr>
                    <w:jc w:val="center"/>
                    <w:rPr>
                      <w:b/>
                      <w:sz w:val="24"/>
                      <w:szCs w:val="24"/>
                    </w:rPr>
                  </w:pPr>
                  <w:r w:rsidRPr="00C40370">
                    <w:rPr>
                      <w:b/>
                      <w:sz w:val="24"/>
                      <w:szCs w:val="24"/>
                    </w:rPr>
                    <w:t>Reported Energy Source Code</w:t>
                  </w:r>
                </w:p>
              </w:tc>
              <w:tc>
                <w:tcPr>
                  <w:tcW w:w="3420" w:type="dxa"/>
                  <w:shd w:val="clear" w:color="auto" w:fill="C4BC96"/>
                </w:tcPr>
                <w:p w:rsidR="00DD6EEC" w:rsidRPr="00C40370" w:rsidRDefault="00DD6EEC" w:rsidP="00DD6EEC">
                  <w:pPr>
                    <w:jc w:val="center"/>
                    <w:rPr>
                      <w:b/>
                      <w:sz w:val="24"/>
                      <w:szCs w:val="24"/>
                    </w:rPr>
                  </w:pPr>
                  <w:r w:rsidRPr="00C40370">
                    <w:rPr>
                      <w:b/>
                      <w:sz w:val="24"/>
                      <w:szCs w:val="24"/>
                    </w:rPr>
                    <w:t>Energy Source Stratification Group</w:t>
                  </w:r>
                </w:p>
              </w:tc>
            </w:tr>
            <w:tr w:rsidR="00DD6EEC" w:rsidRPr="00C40370" w:rsidTr="00DD6EEC">
              <w:tc>
                <w:tcPr>
                  <w:tcW w:w="4135" w:type="dxa"/>
                </w:tcPr>
                <w:p w:rsidR="00DD6EEC" w:rsidRPr="00C40370" w:rsidRDefault="00DD6EEC" w:rsidP="00DD6EEC">
                  <w:pPr>
                    <w:rPr>
                      <w:sz w:val="24"/>
                      <w:szCs w:val="24"/>
                    </w:rPr>
                  </w:pPr>
                  <w:r w:rsidRPr="00C40370">
                    <w:rPr>
                      <w:sz w:val="24"/>
                      <w:szCs w:val="24"/>
                    </w:rPr>
                    <w:t>NG</w:t>
                  </w:r>
                </w:p>
              </w:tc>
              <w:tc>
                <w:tcPr>
                  <w:tcW w:w="3420" w:type="dxa"/>
                </w:tcPr>
                <w:p w:rsidR="00DD6EEC" w:rsidRPr="00C40370" w:rsidRDefault="00DD6EEC" w:rsidP="00DD6EEC">
                  <w:pPr>
                    <w:rPr>
                      <w:sz w:val="24"/>
                      <w:szCs w:val="24"/>
                    </w:rPr>
                  </w:pPr>
                  <w:r w:rsidRPr="00C40370">
                    <w:rPr>
                      <w:sz w:val="24"/>
                      <w:szCs w:val="24"/>
                    </w:rPr>
                    <w:t>Natural Gas</w:t>
                  </w:r>
                </w:p>
              </w:tc>
            </w:tr>
            <w:tr w:rsidR="00DD6EEC" w:rsidRPr="00C40370" w:rsidTr="00DD6EEC">
              <w:tc>
                <w:tcPr>
                  <w:tcW w:w="4135" w:type="dxa"/>
                </w:tcPr>
                <w:p w:rsidR="00DD6EEC" w:rsidRPr="00C40370" w:rsidRDefault="00DD6EEC" w:rsidP="00DD6EEC">
                  <w:pPr>
                    <w:rPr>
                      <w:sz w:val="24"/>
                      <w:szCs w:val="24"/>
                    </w:rPr>
                  </w:pPr>
                  <w:r w:rsidRPr="00C40370">
                    <w:rPr>
                      <w:sz w:val="24"/>
                      <w:szCs w:val="24"/>
                    </w:rPr>
                    <w:t>NUC</w:t>
                  </w:r>
                </w:p>
              </w:tc>
              <w:tc>
                <w:tcPr>
                  <w:tcW w:w="3420" w:type="dxa"/>
                </w:tcPr>
                <w:p w:rsidR="00DD6EEC" w:rsidRPr="00C40370" w:rsidRDefault="00DD6EEC" w:rsidP="00DD6EEC">
                  <w:pPr>
                    <w:rPr>
                      <w:sz w:val="24"/>
                      <w:szCs w:val="24"/>
                    </w:rPr>
                  </w:pPr>
                  <w:r w:rsidRPr="00C40370">
                    <w:rPr>
                      <w:sz w:val="24"/>
                      <w:szCs w:val="24"/>
                    </w:rPr>
                    <w:t>Nuclear</w:t>
                  </w:r>
                </w:p>
              </w:tc>
            </w:tr>
            <w:tr w:rsidR="00DD6EEC" w:rsidRPr="00C40370" w:rsidTr="00DD6EEC">
              <w:tc>
                <w:tcPr>
                  <w:tcW w:w="4135" w:type="dxa"/>
                </w:tcPr>
                <w:p w:rsidR="00DD6EEC" w:rsidRPr="00C40370" w:rsidRDefault="00DD6EEC" w:rsidP="00DD6EEC">
                  <w:pPr>
                    <w:rPr>
                      <w:sz w:val="24"/>
                      <w:szCs w:val="24"/>
                    </w:rPr>
                  </w:pPr>
                  <w:r w:rsidRPr="00C40370">
                    <w:rPr>
                      <w:sz w:val="24"/>
                      <w:szCs w:val="24"/>
                    </w:rPr>
                    <w:t>HPS</w:t>
                  </w:r>
                  <w:r w:rsidRPr="00C40370">
                    <w:rPr>
                      <w:rStyle w:val="FootnoteReference"/>
                      <w:sz w:val="24"/>
                      <w:szCs w:val="24"/>
                    </w:rPr>
                    <w:footnoteReference w:id="8"/>
                  </w:r>
                </w:p>
              </w:tc>
              <w:tc>
                <w:tcPr>
                  <w:tcW w:w="3420" w:type="dxa"/>
                </w:tcPr>
                <w:p w:rsidR="00DD6EEC" w:rsidRPr="00C40370" w:rsidRDefault="00DD6EEC" w:rsidP="00DD6EEC">
                  <w:pPr>
                    <w:rPr>
                      <w:sz w:val="24"/>
                      <w:szCs w:val="24"/>
                    </w:rPr>
                  </w:pPr>
                  <w:r w:rsidRPr="00C40370">
                    <w:rPr>
                      <w:sz w:val="24"/>
                      <w:szCs w:val="24"/>
                    </w:rPr>
                    <w:t>Pumped Storage</w:t>
                  </w:r>
                </w:p>
              </w:tc>
            </w:tr>
            <w:tr w:rsidR="00DD6EEC" w:rsidRPr="00C40370" w:rsidTr="00DD6EEC">
              <w:tc>
                <w:tcPr>
                  <w:tcW w:w="4135" w:type="dxa"/>
                </w:tcPr>
                <w:p w:rsidR="00DD6EEC" w:rsidRPr="00C40370" w:rsidRDefault="00DD6EEC" w:rsidP="00DD6EEC">
                  <w:pPr>
                    <w:rPr>
                      <w:sz w:val="24"/>
                      <w:szCs w:val="24"/>
                    </w:rPr>
                  </w:pPr>
                  <w:r w:rsidRPr="00C40370">
                    <w:rPr>
                      <w:sz w:val="24"/>
                      <w:szCs w:val="24"/>
                    </w:rPr>
                    <w:lastRenderedPageBreak/>
                    <w:t>WAT</w:t>
                  </w:r>
                </w:p>
              </w:tc>
              <w:tc>
                <w:tcPr>
                  <w:tcW w:w="3420" w:type="dxa"/>
                </w:tcPr>
                <w:p w:rsidR="00DD6EEC" w:rsidRPr="00C40370" w:rsidRDefault="00DD6EEC" w:rsidP="00DD6EEC">
                  <w:pPr>
                    <w:rPr>
                      <w:sz w:val="24"/>
                      <w:szCs w:val="24"/>
                    </w:rPr>
                  </w:pPr>
                  <w:r w:rsidRPr="00C40370">
                    <w:rPr>
                      <w:sz w:val="24"/>
                      <w:szCs w:val="24"/>
                    </w:rPr>
                    <w:t>Conventional Hydroelectric</w:t>
                  </w:r>
                </w:p>
              </w:tc>
            </w:tr>
            <w:tr w:rsidR="00DD6EEC" w:rsidRPr="00C40370" w:rsidTr="00DD6EEC">
              <w:tc>
                <w:tcPr>
                  <w:tcW w:w="4135" w:type="dxa"/>
                </w:tcPr>
                <w:p w:rsidR="00DD6EEC" w:rsidRPr="00C40370" w:rsidRDefault="00DD6EEC" w:rsidP="00DD6EEC">
                  <w:pPr>
                    <w:rPr>
                      <w:sz w:val="24"/>
                      <w:szCs w:val="24"/>
                    </w:rPr>
                  </w:pPr>
                  <w:r w:rsidRPr="00C40370">
                    <w:rPr>
                      <w:sz w:val="24"/>
                      <w:szCs w:val="24"/>
                    </w:rPr>
                    <w:t>PC</w:t>
                  </w:r>
                </w:p>
              </w:tc>
              <w:tc>
                <w:tcPr>
                  <w:tcW w:w="3420" w:type="dxa"/>
                </w:tcPr>
                <w:p w:rsidR="00DD6EEC" w:rsidRPr="00C40370" w:rsidRDefault="00DD6EEC" w:rsidP="00DD6EEC">
                  <w:pPr>
                    <w:rPr>
                      <w:sz w:val="24"/>
                      <w:szCs w:val="24"/>
                    </w:rPr>
                  </w:pPr>
                  <w:r w:rsidRPr="00C40370">
                    <w:rPr>
                      <w:sz w:val="24"/>
                      <w:szCs w:val="24"/>
                    </w:rPr>
                    <w:t>Petroleum Coke</w:t>
                  </w:r>
                </w:p>
              </w:tc>
            </w:tr>
            <w:tr w:rsidR="00DD6EEC" w:rsidRPr="00C40370" w:rsidTr="00DD6EEC">
              <w:tc>
                <w:tcPr>
                  <w:tcW w:w="4135" w:type="dxa"/>
                </w:tcPr>
                <w:p w:rsidR="00DD6EEC" w:rsidRPr="00C40370" w:rsidRDefault="00DD6EEC" w:rsidP="00DD6EEC">
                  <w:pPr>
                    <w:rPr>
                      <w:sz w:val="24"/>
                      <w:szCs w:val="24"/>
                    </w:rPr>
                  </w:pPr>
                  <w:r w:rsidRPr="00C40370">
                    <w:rPr>
                      <w:sz w:val="24"/>
                      <w:szCs w:val="24"/>
                    </w:rPr>
                    <w:t>GEO</w:t>
                  </w:r>
                </w:p>
              </w:tc>
              <w:tc>
                <w:tcPr>
                  <w:tcW w:w="3420" w:type="dxa"/>
                </w:tcPr>
                <w:p w:rsidR="00DD6EEC" w:rsidRPr="00C40370" w:rsidRDefault="00DD6EEC" w:rsidP="00DD6EEC">
                  <w:pPr>
                    <w:rPr>
                      <w:sz w:val="24"/>
                      <w:szCs w:val="24"/>
                    </w:rPr>
                  </w:pPr>
                  <w:r w:rsidRPr="00C40370">
                    <w:rPr>
                      <w:sz w:val="24"/>
                      <w:szCs w:val="24"/>
                    </w:rPr>
                    <w:t>Geothermal</w:t>
                  </w:r>
                </w:p>
              </w:tc>
            </w:tr>
            <w:tr w:rsidR="00DD6EEC" w:rsidRPr="00C40370" w:rsidTr="00DD6EEC">
              <w:tc>
                <w:tcPr>
                  <w:tcW w:w="4135" w:type="dxa"/>
                </w:tcPr>
                <w:p w:rsidR="00DD6EEC" w:rsidRPr="00C40370" w:rsidRDefault="00DD6EEC" w:rsidP="00DD6EEC">
                  <w:pPr>
                    <w:rPr>
                      <w:sz w:val="24"/>
                      <w:szCs w:val="24"/>
                    </w:rPr>
                  </w:pPr>
                  <w:r w:rsidRPr="00C40370">
                    <w:rPr>
                      <w:sz w:val="24"/>
                      <w:szCs w:val="24"/>
                    </w:rPr>
                    <w:t>SUN</w:t>
                  </w:r>
                </w:p>
              </w:tc>
              <w:tc>
                <w:tcPr>
                  <w:tcW w:w="3420" w:type="dxa"/>
                </w:tcPr>
                <w:p w:rsidR="00DD6EEC" w:rsidRPr="00C40370" w:rsidRDefault="00DD6EEC" w:rsidP="00DD6EEC">
                  <w:pPr>
                    <w:rPr>
                      <w:sz w:val="24"/>
                      <w:szCs w:val="24"/>
                    </w:rPr>
                  </w:pPr>
                  <w:r w:rsidRPr="00C40370">
                    <w:rPr>
                      <w:sz w:val="24"/>
                      <w:szCs w:val="24"/>
                    </w:rPr>
                    <w:t>Solar</w:t>
                  </w:r>
                </w:p>
              </w:tc>
            </w:tr>
            <w:tr w:rsidR="00DD6EEC" w:rsidRPr="00C40370" w:rsidTr="00DD6EEC">
              <w:tc>
                <w:tcPr>
                  <w:tcW w:w="4135" w:type="dxa"/>
                </w:tcPr>
                <w:p w:rsidR="00DD6EEC" w:rsidRPr="00C40370" w:rsidRDefault="00DD6EEC" w:rsidP="00DD6EEC">
                  <w:pPr>
                    <w:rPr>
                      <w:sz w:val="24"/>
                      <w:szCs w:val="24"/>
                    </w:rPr>
                  </w:pPr>
                  <w:r w:rsidRPr="00C40370">
                    <w:rPr>
                      <w:sz w:val="24"/>
                      <w:szCs w:val="24"/>
                    </w:rPr>
                    <w:t>WND</w:t>
                  </w:r>
                </w:p>
              </w:tc>
              <w:tc>
                <w:tcPr>
                  <w:tcW w:w="3420" w:type="dxa"/>
                </w:tcPr>
                <w:p w:rsidR="00DD6EEC" w:rsidRPr="00C40370" w:rsidRDefault="00DD6EEC" w:rsidP="00DD6EEC">
                  <w:pPr>
                    <w:rPr>
                      <w:sz w:val="24"/>
                      <w:szCs w:val="24"/>
                    </w:rPr>
                  </w:pPr>
                  <w:r w:rsidRPr="00C40370">
                    <w:rPr>
                      <w:sz w:val="24"/>
                      <w:szCs w:val="24"/>
                    </w:rPr>
                    <w:t>Wind</w:t>
                  </w:r>
                </w:p>
              </w:tc>
            </w:tr>
            <w:tr w:rsidR="00DD6EEC" w:rsidRPr="00C40370" w:rsidTr="00DD6EEC">
              <w:tc>
                <w:tcPr>
                  <w:tcW w:w="4135" w:type="dxa"/>
                </w:tcPr>
                <w:p w:rsidR="00DD6EEC" w:rsidRPr="00C40370" w:rsidRDefault="00DD6EEC" w:rsidP="00DD6EEC">
                  <w:pPr>
                    <w:rPr>
                      <w:sz w:val="24"/>
                      <w:szCs w:val="24"/>
                    </w:rPr>
                  </w:pPr>
                  <w:r w:rsidRPr="00C40370">
                    <w:rPr>
                      <w:sz w:val="24"/>
                      <w:szCs w:val="24"/>
                    </w:rPr>
                    <w:t>BFG, OG, PG</w:t>
                  </w:r>
                </w:p>
              </w:tc>
              <w:tc>
                <w:tcPr>
                  <w:tcW w:w="3420" w:type="dxa"/>
                </w:tcPr>
                <w:p w:rsidR="00DD6EEC" w:rsidRPr="00C40370" w:rsidRDefault="00DD6EEC" w:rsidP="00DD6EEC">
                  <w:pPr>
                    <w:rPr>
                      <w:sz w:val="24"/>
                      <w:szCs w:val="24"/>
                    </w:rPr>
                  </w:pPr>
                  <w:r w:rsidRPr="00C40370">
                    <w:rPr>
                      <w:sz w:val="24"/>
                      <w:szCs w:val="24"/>
                    </w:rPr>
                    <w:t>Other Gas</w:t>
                  </w:r>
                </w:p>
              </w:tc>
            </w:tr>
            <w:tr w:rsidR="00DD6EEC" w:rsidRPr="00C40370" w:rsidTr="00DD6EEC">
              <w:tc>
                <w:tcPr>
                  <w:tcW w:w="4135" w:type="dxa"/>
                </w:tcPr>
                <w:p w:rsidR="00DD6EEC" w:rsidRPr="00C40370" w:rsidRDefault="00DD6EEC" w:rsidP="00DD6EEC">
                  <w:pPr>
                    <w:rPr>
                      <w:sz w:val="24"/>
                      <w:szCs w:val="24"/>
                    </w:rPr>
                  </w:pPr>
                  <w:r w:rsidRPr="00C40370">
                    <w:rPr>
                      <w:sz w:val="24"/>
                      <w:szCs w:val="24"/>
                    </w:rPr>
                    <w:t>WDL, WDS, BLQ</w:t>
                  </w:r>
                </w:p>
              </w:tc>
              <w:tc>
                <w:tcPr>
                  <w:tcW w:w="3420" w:type="dxa"/>
                </w:tcPr>
                <w:p w:rsidR="00DD6EEC" w:rsidRPr="00C40370" w:rsidRDefault="00DD6EEC" w:rsidP="00DD6EEC">
                  <w:pPr>
                    <w:rPr>
                      <w:sz w:val="24"/>
                      <w:szCs w:val="24"/>
                    </w:rPr>
                  </w:pPr>
                  <w:r w:rsidRPr="00C40370">
                    <w:rPr>
                      <w:sz w:val="24"/>
                      <w:szCs w:val="24"/>
                    </w:rPr>
                    <w:t>Wood</w:t>
                  </w:r>
                </w:p>
              </w:tc>
            </w:tr>
            <w:tr w:rsidR="00DD6EEC" w:rsidRPr="00C40370" w:rsidTr="00DD6EEC">
              <w:tc>
                <w:tcPr>
                  <w:tcW w:w="4135" w:type="dxa"/>
                </w:tcPr>
                <w:p w:rsidR="00DD6EEC" w:rsidRPr="00C40370" w:rsidRDefault="00DD6EEC" w:rsidP="00DD6EEC">
                  <w:pPr>
                    <w:rPr>
                      <w:sz w:val="24"/>
                      <w:szCs w:val="24"/>
                    </w:rPr>
                  </w:pPr>
                  <w:r w:rsidRPr="00C40370">
                    <w:rPr>
                      <w:sz w:val="24"/>
                      <w:szCs w:val="24"/>
                    </w:rPr>
                    <w:t>OTH, MSN, TDF, PUR</w:t>
                  </w:r>
                </w:p>
              </w:tc>
              <w:tc>
                <w:tcPr>
                  <w:tcW w:w="3420" w:type="dxa"/>
                </w:tcPr>
                <w:p w:rsidR="00DD6EEC" w:rsidRPr="00C40370" w:rsidRDefault="00DD6EEC" w:rsidP="00DD6EEC">
                  <w:pPr>
                    <w:rPr>
                      <w:sz w:val="24"/>
                      <w:szCs w:val="24"/>
                    </w:rPr>
                  </w:pPr>
                  <w:r w:rsidRPr="00C40370">
                    <w:rPr>
                      <w:sz w:val="24"/>
                      <w:szCs w:val="24"/>
                    </w:rPr>
                    <w:t>Other Sources</w:t>
                  </w:r>
                </w:p>
              </w:tc>
            </w:tr>
            <w:tr w:rsidR="00DD6EEC" w:rsidRPr="00C40370" w:rsidTr="00DD6EEC">
              <w:tc>
                <w:tcPr>
                  <w:tcW w:w="4135" w:type="dxa"/>
                </w:tcPr>
                <w:p w:rsidR="00DD6EEC" w:rsidRPr="00C40370" w:rsidRDefault="00DD6EEC" w:rsidP="00DD6EEC">
                  <w:pPr>
                    <w:rPr>
                      <w:sz w:val="24"/>
                      <w:szCs w:val="24"/>
                    </w:rPr>
                  </w:pPr>
                  <w:r w:rsidRPr="00C40370">
                    <w:rPr>
                      <w:sz w:val="24"/>
                      <w:szCs w:val="24"/>
                    </w:rPr>
                    <w:t xml:space="preserve">BIT, </w:t>
                  </w:r>
                  <w:smartTag w:uri="urn:schemas-microsoft-com:office:smarttags" w:element="place">
                    <w:smartTag w:uri="urn:schemas-microsoft-com:office:smarttags" w:element="City">
                      <w:r w:rsidRPr="00C40370">
                        <w:rPr>
                          <w:sz w:val="24"/>
                          <w:szCs w:val="24"/>
                        </w:rPr>
                        <w:t>LIG</w:t>
                      </w:r>
                    </w:smartTag>
                    <w:r w:rsidRPr="00C40370">
                      <w:rPr>
                        <w:sz w:val="24"/>
                        <w:szCs w:val="24"/>
                      </w:rPr>
                      <w:t xml:space="preserve">, </w:t>
                    </w:r>
                    <w:smartTag w:uri="urn:schemas-microsoft-com:office:smarttags" w:element="State">
                      <w:r w:rsidRPr="00C40370">
                        <w:rPr>
                          <w:sz w:val="24"/>
                          <w:szCs w:val="24"/>
                        </w:rPr>
                        <w:t>SC</w:t>
                      </w:r>
                    </w:smartTag>
                  </w:smartTag>
                  <w:r w:rsidRPr="00C40370">
                    <w:rPr>
                      <w:sz w:val="24"/>
                      <w:szCs w:val="24"/>
                    </w:rPr>
                    <w:t>, SUB, WC</w:t>
                  </w:r>
                </w:p>
              </w:tc>
              <w:tc>
                <w:tcPr>
                  <w:tcW w:w="3420" w:type="dxa"/>
                </w:tcPr>
                <w:p w:rsidR="00DD6EEC" w:rsidRPr="00C40370" w:rsidRDefault="00DD6EEC" w:rsidP="00DD6EEC">
                  <w:pPr>
                    <w:rPr>
                      <w:sz w:val="24"/>
                      <w:szCs w:val="24"/>
                    </w:rPr>
                  </w:pPr>
                  <w:r w:rsidRPr="00C40370">
                    <w:rPr>
                      <w:sz w:val="24"/>
                      <w:szCs w:val="24"/>
                    </w:rPr>
                    <w:t>Coal</w:t>
                  </w:r>
                </w:p>
              </w:tc>
            </w:tr>
            <w:tr w:rsidR="00DD6EEC" w:rsidRPr="00C40370" w:rsidTr="00DD6EEC">
              <w:tc>
                <w:tcPr>
                  <w:tcW w:w="4135" w:type="dxa"/>
                </w:tcPr>
                <w:p w:rsidR="00DD6EEC" w:rsidRPr="00C40370" w:rsidRDefault="00DD6EEC" w:rsidP="00DD6EEC">
                  <w:pPr>
                    <w:rPr>
                      <w:sz w:val="24"/>
                      <w:szCs w:val="24"/>
                    </w:rPr>
                  </w:pPr>
                  <w:r w:rsidRPr="00C40370">
                    <w:rPr>
                      <w:sz w:val="24"/>
                      <w:szCs w:val="24"/>
                    </w:rPr>
                    <w:t>RFO, DFO, JF, KER, OO, WO</w:t>
                  </w:r>
                </w:p>
              </w:tc>
              <w:tc>
                <w:tcPr>
                  <w:tcW w:w="3420" w:type="dxa"/>
                </w:tcPr>
                <w:p w:rsidR="00DD6EEC" w:rsidRPr="00C40370" w:rsidRDefault="00DD6EEC" w:rsidP="00DD6EEC">
                  <w:pPr>
                    <w:rPr>
                      <w:sz w:val="24"/>
                      <w:szCs w:val="24"/>
                    </w:rPr>
                  </w:pPr>
                  <w:r w:rsidRPr="00C40370">
                    <w:rPr>
                      <w:sz w:val="24"/>
                      <w:szCs w:val="24"/>
                    </w:rPr>
                    <w:t>Petroleum</w:t>
                  </w:r>
                </w:p>
              </w:tc>
            </w:tr>
            <w:tr w:rsidR="00DD6EEC" w:rsidRPr="00C40370" w:rsidTr="00DD6EEC">
              <w:tc>
                <w:tcPr>
                  <w:tcW w:w="4135" w:type="dxa"/>
                </w:tcPr>
                <w:p w:rsidR="00DD6EEC" w:rsidRPr="00C40370" w:rsidRDefault="00DD6EEC" w:rsidP="00DD6EEC">
                  <w:pPr>
                    <w:rPr>
                      <w:sz w:val="24"/>
                      <w:szCs w:val="24"/>
                    </w:rPr>
                  </w:pPr>
                  <w:r w:rsidRPr="00367610">
                    <w:t>AB, LFG, MSB, OBG, OBL,</w:t>
                  </w:r>
                  <w:r w:rsidRPr="00C40370">
                    <w:rPr>
                      <w:sz w:val="24"/>
                      <w:szCs w:val="24"/>
                    </w:rPr>
                    <w:t xml:space="preserve"> </w:t>
                  </w:r>
                  <w:r w:rsidRPr="00367610">
                    <w:t>OBS,</w:t>
                  </w:r>
                  <w:r w:rsidRPr="00C40370">
                    <w:rPr>
                      <w:sz w:val="24"/>
                      <w:szCs w:val="24"/>
                    </w:rPr>
                    <w:t xml:space="preserve"> </w:t>
                  </w:r>
                  <w:r w:rsidRPr="00367610">
                    <w:t>SLW</w:t>
                  </w:r>
                </w:p>
              </w:tc>
              <w:tc>
                <w:tcPr>
                  <w:tcW w:w="3420" w:type="dxa"/>
                </w:tcPr>
                <w:p w:rsidR="00DD6EEC" w:rsidRPr="00C40370" w:rsidRDefault="00DD6EEC" w:rsidP="00DD6EEC">
                  <w:pPr>
                    <w:rPr>
                      <w:sz w:val="24"/>
                      <w:szCs w:val="24"/>
                    </w:rPr>
                  </w:pPr>
                  <w:r w:rsidRPr="00C40370">
                    <w:rPr>
                      <w:sz w:val="24"/>
                      <w:szCs w:val="24"/>
                    </w:rPr>
                    <w:t>Waste</w:t>
                  </w:r>
                </w:p>
              </w:tc>
            </w:tr>
          </w:tbl>
          <w:p w:rsidR="00DD6EEC" w:rsidRPr="00C40370" w:rsidRDefault="00DD6EEC" w:rsidP="00DD6EEC">
            <w:pPr>
              <w:rPr>
                <w:b/>
                <w:sz w:val="24"/>
                <w:szCs w:val="24"/>
              </w:rPr>
            </w:pPr>
          </w:p>
          <w:p w:rsidR="00DD6EEC" w:rsidRDefault="00DD6EEC" w:rsidP="00DD6EEC">
            <w:pPr>
              <w:ind w:right="-540"/>
              <w:rPr>
                <w:b/>
                <w:sz w:val="24"/>
                <w:szCs w:val="24"/>
                <w:u w:val="single"/>
              </w:rPr>
            </w:pPr>
          </w:p>
          <w:p w:rsidR="00DD6EEC" w:rsidRDefault="00DD6EEC" w:rsidP="00DD6EEC">
            <w:pPr>
              <w:ind w:right="-540"/>
              <w:rPr>
                <w:b/>
                <w:sz w:val="24"/>
                <w:szCs w:val="24"/>
                <w:u w:val="single"/>
              </w:rPr>
            </w:pPr>
          </w:p>
          <w:p w:rsidR="00DD6EEC" w:rsidRDefault="00DD6EEC" w:rsidP="00DD6EEC">
            <w:pPr>
              <w:ind w:right="-540"/>
              <w:rPr>
                <w:b/>
                <w:sz w:val="24"/>
                <w:szCs w:val="24"/>
                <w:u w:val="single"/>
              </w:rPr>
            </w:pPr>
          </w:p>
          <w:p w:rsidR="00DD6EEC" w:rsidRPr="00C40370" w:rsidRDefault="00DD6EEC" w:rsidP="00DD6EEC">
            <w:pPr>
              <w:ind w:right="-540"/>
              <w:rPr>
                <w:sz w:val="24"/>
                <w:szCs w:val="24"/>
              </w:rPr>
            </w:pPr>
            <w:r w:rsidRPr="00C40370">
              <w:rPr>
                <w:b/>
                <w:sz w:val="24"/>
                <w:szCs w:val="24"/>
                <w:u w:val="single"/>
              </w:rPr>
              <w:t>Geographic Regions Classification for Form EIA-923</w:t>
            </w:r>
          </w:p>
          <w:p w:rsidR="00DD6EEC" w:rsidRPr="00C40370" w:rsidRDefault="00DD6EEC" w:rsidP="00DD6EEC">
            <w:pPr>
              <w:rPr>
                <w:b/>
                <w:sz w:val="24"/>
                <w:szCs w:val="24"/>
              </w:rPr>
            </w:pPr>
          </w:p>
        </w:tc>
        <w:tc>
          <w:tcPr>
            <w:tcW w:w="222" w:type="dxa"/>
            <w:shd w:val="clear" w:color="auto" w:fill="FFFFFF"/>
          </w:tcPr>
          <w:p w:rsidR="00DD6EEC" w:rsidRPr="00C40370" w:rsidRDefault="00DD6EEC" w:rsidP="00DD6EEC">
            <w:pPr>
              <w:rPr>
                <w:b/>
                <w:sz w:val="24"/>
                <w:szCs w:val="24"/>
              </w:rPr>
            </w:pPr>
          </w:p>
        </w:tc>
      </w:tr>
      <w:tr w:rsidR="00DD6EEC" w:rsidRPr="00C40370" w:rsidTr="00DD6EEC">
        <w:tc>
          <w:tcPr>
            <w:tcW w:w="8591" w:type="dxa"/>
          </w:tcPr>
          <w:p w:rsidR="00DD6EEC" w:rsidRPr="00C40370" w:rsidRDefault="00DD6EEC" w:rsidP="00DD6EEC">
            <w:pPr>
              <w:ind w:right="-540"/>
              <w:rPr>
                <w:sz w:val="24"/>
                <w:szCs w:val="24"/>
              </w:rPr>
            </w:pPr>
            <w:r w:rsidRPr="00C40370">
              <w:rPr>
                <w:sz w:val="24"/>
                <w:szCs w:val="24"/>
              </w:rPr>
              <w:lastRenderedPageBreak/>
              <w:t>The 10 geographic sampling groups correspond to 10 modified Census division regions published in the EPM.  The States assigned to each division are shown in Table 10.</w:t>
            </w:r>
          </w:p>
          <w:p w:rsidR="00DD6EEC" w:rsidRPr="00C40370" w:rsidRDefault="00DD6EEC" w:rsidP="00DD6EEC">
            <w:pPr>
              <w:ind w:right="-540"/>
              <w:rPr>
                <w:sz w:val="24"/>
                <w:szCs w:val="24"/>
              </w:rPr>
            </w:pPr>
          </w:p>
          <w:p w:rsidR="00DD6EEC" w:rsidRPr="00C40370" w:rsidRDefault="00DD6EEC" w:rsidP="00DD6EEC">
            <w:pPr>
              <w:ind w:right="-540"/>
              <w:rPr>
                <w:b/>
                <w:sz w:val="24"/>
                <w:szCs w:val="24"/>
              </w:rPr>
            </w:pPr>
            <w:r w:rsidRPr="00C40370">
              <w:rPr>
                <w:b/>
                <w:sz w:val="24"/>
                <w:szCs w:val="24"/>
              </w:rPr>
              <w:t>Table 10. State/Census Division Aggregations</w:t>
            </w:r>
          </w:p>
          <w:tbl>
            <w:tblPr>
              <w:tblW w:w="83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225"/>
              <w:gridCol w:w="4140"/>
            </w:tblGrid>
            <w:tr w:rsidR="00DD6EEC" w:rsidRPr="00C40370" w:rsidTr="00DD6EEC">
              <w:tc>
                <w:tcPr>
                  <w:tcW w:w="4225" w:type="dxa"/>
                  <w:shd w:val="clear" w:color="auto" w:fill="C4BC96"/>
                </w:tcPr>
                <w:p w:rsidR="00DD6EEC" w:rsidRPr="00C40370" w:rsidRDefault="00DD6EEC" w:rsidP="00DD6EEC">
                  <w:pPr>
                    <w:ind w:right="-540"/>
                    <w:rPr>
                      <w:b/>
                      <w:sz w:val="24"/>
                      <w:szCs w:val="24"/>
                    </w:rPr>
                  </w:pPr>
                  <w:r w:rsidRPr="00C40370">
                    <w:rPr>
                      <w:b/>
                      <w:sz w:val="24"/>
                      <w:szCs w:val="24"/>
                    </w:rPr>
                    <w:t xml:space="preserve">                          States</w:t>
                  </w:r>
                </w:p>
              </w:tc>
              <w:tc>
                <w:tcPr>
                  <w:tcW w:w="4140" w:type="dxa"/>
                  <w:shd w:val="clear" w:color="auto" w:fill="C4BC96"/>
                </w:tcPr>
                <w:p w:rsidR="00DD6EEC" w:rsidRPr="00C40370" w:rsidRDefault="00DD6EEC" w:rsidP="00DD6EEC">
                  <w:pPr>
                    <w:ind w:right="-540"/>
                    <w:rPr>
                      <w:b/>
                      <w:sz w:val="24"/>
                      <w:szCs w:val="24"/>
                    </w:rPr>
                  </w:pPr>
                  <w:r w:rsidRPr="00C40370">
                    <w:rPr>
                      <w:b/>
                      <w:sz w:val="24"/>
                      <w:szCs w:val="24"/>
                    </w:rPr>
                    <w:t xml:space="preserve">        Modified Census Divisions</w:t>
                  </w:r>
                </w:p>
              </w:tc>
            </w:tr>
            <w:tr w:rsidR="00DD6EEC" w:rsidRPr="00C40370" w:rsidTr="00DD6EEC">
              <w:tc>
                <w:tcPr>
                  <w:tcW w:w="4225" w:type="dxa"/>
                </w:tcPr>
                <w:p w:rsidR="00DD6EEC" w:rsidRPr="00C40370" w:rsidRDefault="00DD6EEC" w:rsidP="00DD6EEC">
                  <w:pPr>
                    <w:rPr>
                      <w:sz w:val="24"/>
                      <w:szCs w:val="24"/>
                    </w:rPr>
                  </w:pPr>
                  <w:r w:rsidRPr="00C40370">
                    <w:rPr>
                      <w:sz w:val="24"/>
                      <w:szCs w:val="24"/>
                    </w:rPr>
                    <w:t>AK, HI</w:t>
                  </w:r>
                </w:p>
              </w:tc>
              <w:tc>
                <w:tcPr>
                  <w:tcW w:w="4140" w:type="dxa"/>
                </w:tcPr>
                <w:p w:rsidR="00DD6EEC" w:rsidRPr="00C40370" w:rsidRDefault="00DD6EEC" w:rsidP="00DD6EEC">
                  <w:pPr>
                    <w:rPr>
                      <w:sz w:val="24"/>
                      <w:szCs w:val="24"/>
                    </w:rPr>
                  </w:pPr>
                  <w:r w:rsidRPr="00C40370">
                    <w:rPr>
                      <w:sz w:val="24"/>
                      <w:szCs w:val="24"/>
                    </w:rPr>
                    <w:t>Pacific Non-Contiguous</w:t>
                  </w:r>
                </w:p>
              </w:tc>
            </w:tr>
            <w:tr w:rsidR="00DD6EEC" w:rsidRPr="00C40370" w:rsidTr="00DD6EEC">
              <w:tc>
                <w:tcPr>
                  <w:tcW w:w="4225" w:type="dxa"/>
                </w:tcPr>
                <w:p w:rsidR="00DD6EEC" w:rsidRPr="00C40370" w:rsidRDefault="00DD6EEC" w:rsidP="00DD6EEC">
                  <w:pPr>
                    <w:rPr>
                      <w:sz w:val="24"/>
                      <w:szCs w:val="24"/>
                    </w:rPr>
                  </w:pPr>
                  <w:r w:rsidRPr="00C40370">
                    <w:rPr>
                      <w:sz w:val="24"/>
                      <w:szCs w:val="24"/>
                    </w:rPr>
                    <w:t>NJ, NY, PA</w:t>
                  </w:r>
                </w:p>
              </w:tc>
              <w:tc>
                <w:tcPr>
                  <w:tcW w:w="4140" w:type="dxa"/>
                </w:tcPr>
                <w:p w:rsidR="00DD6EEC" w:rsidRPr="00C40370" w:rsidRDefault="00DD6EEC" w:rsidP="00DD6EEC">
                  <w:pPr>
                    <w:rPr>
                      <w:sz w:val="24"/>
                      <w:szCs w:val="24"/>
                    </w:rPr>
                  </w:pPr>
                  <w:r w:rsidRPr="00C40370">
                    <w:rPr>
                      <w:sz w:val="24"/>
                      <w:szCs w:val="24"/>
                    </w:rPr>
                    <w:t>Mid-Atlantic</w:t>
                  </w:r>
                </w:p>
              </w:tc>
            </w:tr>
            <w:tr w:rsidR="00DD6EEC" w:rsidRPr="00C40370" w:rsidTr="00DD6EEC">
              <w:tc>
                <w:tcPr>
                  <w:tcW w:w="4225" w:type="dxa"/>
                </w:tcPr>
                <w:p w:rsidR="00DD6EEC" w:rsidRPr="00C40370" w:rsidRDefault="00DD6EEC" w:rsidP="00DD6EEC">
                  <w:pPr>
                    <w:rPr>
                      <w:sz w:val="24"/>
                      <w:szCs w:val="24"/>
                    </w:rPr>
                  </w:pPr>
                  <w:r w:rsidRPr="00C40370">
                    <w:rPr>
                      <w:sz w:val="24"/>
                      <w:szCs w:val="24"/>
                    </w:rPr>
                    <w:lastRenderedPageBreak/>
                    <w:t>CA, OR, WA</w:t>
                  </w:r>
                </w:p>
              </w:tc>
              <w:tc>
                <w:tcPr>
                  <w:tcW w:w="4140" w:type="dxa"/>
                </w:tcPr>
                <w:p w:rsidR="00DD6EEC" w:rsidRPr="00C40370" w:rsidRDefault="00DD6EEC" w:rsidP="00DD6EEC">
                  <w:pPr>
                    <w:rPr>
                      <w:sz w:val="24"/>
                      <w:szCs w:val="24"/>
                    </w:rPr>
                  </w:pPr>
                  <w:r w:rsidRPr="00C40370">
                    <w:rPr>
                      <w:sz w:val="24"/>
                      <w:szCs w:val="24"/>
                    </w:rPr>
                    <w:t>Pacific Contiguous</w:t>
                  </w:r>
                </w:p>
              </w:tc>
            </w:tr>
            <w:tr w:rsidR="00DD6EEC" w:rsidRPr="00C40370" w:rsidTr="00DD6EEC">
              <w:tc>
                <w:tcPr>
                  <w:tcW w:w="4225" w:type="dxa"/>
                </w:tcPr>
                <w:p w:rsidR="00DD6EEC" w:rsidRPr="00C40370" w:rsidRDefault="00DD6EEC" w:rsidP="00DD6EEC">
                  <w:pPr>
                    <w:rPr>
                      <w:sz w:val="24"/>
                      <w:szCs w:val="24"/>
                    </w:rPr>
                  </w:pPr>
                  <w:r w:rsidRPr="00C40370">
                    <w:rPr>
                      <w:sz w:val="24"/>
                      <w:szCs w:val="24"/>
                    </w:rPr>
                    <w:t>AL, KY, MS, TN</w:t>
                  </w:r>
                </w:p>
              </w:tc>
              <w:tc>
                <w:tcPr>
                  <w:tcW w:w="4140" w:type="dxa"/>
                </w:tcPr>
                <w:p w:rsidR="00DD6EEC" w:rsidRPr="00C40370" w:rsidRDefault="00DD6EEC" w:rsidP="00DD6EEC">
                  <w:pPr>
                    <w:rPr>
                      <w:sz w:val="24"/>
                      <w:szCs w:val="24"/>
                    </w:rPr>
                  </w:pPr>
                  <w:r w:rsidRPr="00C40370">
                    <w:rPr>
                      <w:sz w:val="24"/>
                      <w:szCs w:val="24"/>
                    </w:rPr>
                    <w:t>East Central</w:t>
                  </w:r>
                </w:p>
              </w:tc>
            </w:tr>
            <w:tr w:rsidR="00DD6EEC" w:rsidRPr="00C40370" w:rsidTr="00DD6EEC">
              <w:tc>
                <w:tcPr>
                  <w:tcW w:w="4225" w:type="dxa"/>
                </w:tcPr>
                <w:p w:rsidR="00DD6EEC" w:rsidRPr="00C40370" w:rsidRDefault="00DD6EEC" w:rsidP="00DD6EEC">
                  <w:pPr>
                    <w:rPr>
                      <w:sz w:val="24"/>
                      <w:szCs w:val="24"/>
                    </w:rPr>
                  </w:pPr>
                  <w:r w:rsidRPr="00C40370">
                    <w:rPr>
                      <w:sz w:val="24"/>
                      <w:szCs w:val="24"/>
                    </w:rPr>
                    <w:t>AR, LA, OK, TX</w:t>
                  </w:r>
                </w:p>
              </w:tc>
              <w:tc>
                <w:tcPr>
                  <w:tcW w:w="4140" w:type="dxa"/>
                </w:tcPr>
                <w:p w:rsidR="00DD6EEC" w:rsidRPr="00C40370" w:rsidRDefault="00DD6EEC" w:rsidP="00DD6EEC">
                  <w:pPr>
                    <w:rPr>
                      <w:sz w:val="24"/>
                      <w:szCs w:val="24"/>
                    </w:rPr>
                  </w:pPr>
                  <w:r w:rsidRPr="00C40370">
                    <w:rPr>
                      <w:sz w:val="24"/>
                      <w:szCs w:val="24"/>
                    </w:rPr>
                    <w:t>West Central</w:t>
                  </w:r>
                </w:p>
              </w:tc>
            </w:tr>
            <w:tr w:rsidR="00DD6EEC" w:rsidRPr="00C40370" w:rsidTr="00DD6EEC">
              <w:tc>
                <w:tcPr>
                  <w:tcW w:w="4225" w:type="dxa"/>
                </w:tcPr>
                <w:p w:rsidR="00DD6EEC" w:rsidRPr="00C40370" w:rsidRDefault="00DD6EEC" w:rsidP="00DD6EEC">
                  <w:pPr>
                    <w:rPr>
                      <w:sz w:val="24"/>
                      <w:szCs w:val="24"/>
                    </w:rPr>
                  </w:pPr>
                  <w:r w:rsidRPr="00C40370">
                    <w:rPr>
                      <w:sz w:val="24"/>
                      <w:szCs w:val="24"/>
                    </w:rPr>
                    <w:t>IL, IN, MI, OH, WI</w:t>
                  </w:r>
                </w:p>
              </w:tc>
              <w:tc>
                <w:tcPr>
                  <w:tcW w:w="4140" w:type="dxa"/>
                </w:tcPr>
                <w:p w:rsidR="00DD6EEC" w:rsidRPr="00C40370" w:rsidRDefault="00DD6EEC" w:rsidP="00DD6EEC">
                  <w:pPr>
                    <w:rPr>
                      <w:sz w:val="24"/>
                      <w:szCs w:val="24"/>
                    </w:rPr>
                  </w:pPr>
                  <w:r w:rsidRPr="00C40370">
                    <w:rPr>
                      <w:sz w:val="24"/>
                      <w:szCs w:val="24"/>
                    </w:rPr>
                    <w:t>East North Central</w:t>
                  </w:r>
                </w:p>
              </w:tc>
            </w:tr>
            <w:tr w:rsidR="00DD6EEC" w:rsidRPr="00C40370" w:rsidTr="00DD6EEC">
              <w:tc>
                <w:tcPr>
                  <w:tcW w:w="4225" w:type="dxa"/>
                </w:tcPr>
                <w:p w:rsidR="00DD6EEC" w:rsidRPr="00C40370" w:rsidRDefault="00DD6EEC" w:rsidP="00DD6EEC">
                  <w:pPr>
                    <w:rPr>
                      <w:sz w:val="24"/>
                      <w:szCs w:val="24"/>
                    </w:rPr>
                  </w:pPr>
                  <w:r w:rsidRPr="00C40370">
                    <w:rPr>
                      <w:sz w:val="24"/>
                      <w:szCs w:val="24"/>
                    </w:rPr>
                    <w:t>CT, ME,  MA, NH, RI, VT</w:t>
                  </w:r>
                </w:p>
              </w:tc>
              <w:tc>
                <w:tcPr>
                  <w:tcW w:w="4140" w:type="dxa"/>
                </w:tcPr>
                <w:p w:rsidR="00DD6EEC" w:rsidRPr="00C40370" w:rsidRDefault="00DD6EEC" w:rsidP="00DD6EEC">
                  <w:pPr>
                    <w:rPr>
                      <w:sz w:val="24"/>
                      <w:szCs w:val="24"/>
                    </w:rPr>
                  </w:pPr>
                  <w:smartTag w:uri="urn:schemas-microsoft-com:office:smarttags" w:element="place">
                    <w:r w:rsidRPr="00C40370">
                      <w:rPr>
                        <w:sz w:val="24"/>
                        <w:szCs w:val="24"/>
                      </w:rPr>
                      <w:t>New England</w:t>
                    </w:r>
                  </w:smartTag>
                </w:p>
              </w:tc>
            </w:tr>
            <w:tr w:rsidR="00DD6EEC" w:rsidRPr="00C40370" w:rsidTr="00DD6EEC">
              <w:tc>
                <w:tcPr>
                  <w:tcW w:w="4225" w:type="dxa"/>
                </w:tcPr>
                <w:p w:rsidR="00DD6EEC" w:rsidRPr="00C40370" w:rsidRDefault="00DD6EEC" w:rsidP="00DD6EEC">
                  <w:pPr>
                    <w:rPr>
                      <w:sz w:val="24"/>
                      <w:szCs w:val="24"/>
                    </w:rPr>
                  </w:pPr>
                  <w:r w:rsidRPr="00C40370">
                    <w:rPr>
                      <w:sz w:val="24"/>
                      <w:szCs w:val="24"/>
                    </w:rPr>
                    <w:t>IA, KS, MN, MO, NE, SD, ND</w:t>
                  </w:r>
                </w:p>
              </w:tc>
              <w:tc>
                <w:tcPr>
                  <w:tcW w:w="4140" w:type="dxa"/>
                </w:tcPr>
                <w:p w:rsidR="00DD6EEC" w:rsidRPr="00C40370" w:rsidRDefault="00DD6EEC" w:rsidP="00DD6EEC">
                  <w:pPr>
                    <w:rPr>
                      <w:sz w:val="24"/>
                      <w:szCs w:val="24"/>
                    </w:rPr>
                  </w:pPr>
                  <w:r w:rsidRPr="00C40370">
                    <w:rPr>
                      <w:sz w:val="24"/>
                      <w:szCs w:val="24"/>
                    </w:rPr>
                    <w:t>West North Central</w:t>
                  </w:r>
                </w:p>
              </w:tc>
            </w:tr>
            <w:tr w:rsidR="00DD6EEC" w:rsidRPr="00C40370" w:rsidTr="00DD6EEC">
              <w:tc>
                <w:tcPr>
                  <w:tcW w:w="4225" w:type="dxa"/>
                </w:tcPr>
                <w:p w:rsidR="00DD6EEC" w:rsidRPr="00C40370" w:rsidRDefault="00DD6EEC" w:rsidP="00DD6EEC">
                  <w:pPr>
                    <w:rPr>
                      <w:sz w:val="24"/>
                      <w:szCs w:val="24"/>
                    </w:rPr>
                  </w:pPr>
                  <w:r w:rsidRPr="00C40370">
                    <w:rPr>
                      <w:sz w:val="24"/>
                      <w:szCs w:val="24"/>
                    </w:rPr>
                    <w:t>AZ, CO, ID, NT, NV, NM, UT, WY</w:t>
                  </w:r>
                </w:p>
              </w:tc>
              <w:tc>
                <w:tcPr>
                  <w:tcW w:w="4140" w:type="dxa"/>
                </w:tcPr>
                <w:p w:rsidR="00DD6EEC" w:rsidRPr="00C40370" w:rsidRDefault="00DD6EEC" w:rsidP="00DD6EEC">
                  <w:pPr>
                    <w:rPr>
                      <w:sz w:val="24"/>
                      <w:szCs w:val="24"/>
                    </w:rPr>
                  </w:pPr>
                  <w:r w:rsidRPr="00C40370">
                    <w:rPr>
                      <w:sz w:val="24"/>
                      <w:szCs w:val="24"/>
                    </w:rPr>
                    <w:t>Mountain Region</w:t>
                  </w:r>
                </w:p>
              </w:tc>
            </w:tr>
            <w:tr w:rsidR="00DD6EEC" w:rsidRPr="00C40370" w:rsidTr="00DD6EEC">
              <w:tc>
                <w:tcPr>
                  <w:tcW w:w="4225" w:type="dxa"/>
                </w:tcPr>
                <w:p w:rsidR="00DD6EEC" w:rsidRPr="00C40370" w:rsidRDefault="00DD6EEC" w:rsidP="00DD6EEC">
                  <w:pPr>
                    <w:rPr>
                      <w:sz w:val="24"/>
                      <w:szCs w:val="24"/>
                      <w:lang w:val="da-DK"/>
                    </w:rPr>
                  </w:pPr>
                  <w:r w:rsidRPr="00C40370">
                    <w:rPr>
                      <w:sz w:val="24"/>
                      <w:szCs w:val="24"/>
                      <w:lang w:val="da-DK"/>
                    </w:rPr>
                    <w:t>DE, DC, FL, GA, MD, NC, SC, VA, WV</w:t>
                  </w:r>
                </w:p>
              </w:tc>
              <w:tc>
                <w:tcPr>
                  <w:tcW w:w="4140" w:type="dxa"/>
                </w:tcPr>
                <w:p w:rsidR="00DD6EEC" w:rsidRPr="00C40370" w:rsidRDefault="00DD6EEC" w:rsidP="00DD6EEC">
                  <w:pPr>
                    <w:rPr>
                      <w:sz w:val="24"/>
                      <w:szCs w:val="24"/>
                    </w:rPr>
                  </w:pPr>
                  <w:smartTag w:uri="urn:schemas-microsoft-com:office:smarttags" w:element="place">
                    <w:r w:rsidRPr="00C40370">
                      <w:rPr>
                        <w:sz w:val="24"/>
                        <w:szCs w:val="24"/>
                      </w:rPr>
                      <w:t>South Atlantic</w:t>
                    </w:r>
                  </w:smartTag>
                </w:p>
              </w:tc>
            </w:tr>
          </w:tbl>
          <w:p w:rsidR="00DD6EEC" w:rsidRPr="00C40370" w:rsidRDefault="00DD6EEC" w:rsidP="00DD6EEC">
            <w:pPr>
              <w:ind w:right="-540"/>
              <w:rPr>
                <w:b/>
                <w:sz w:val="24"/>
                <w:szCs w:val="24"/>
              </w:rPr>
            </w:pPr>
          </w:p>
          <w:p w:rsidR="00DD6EEC" w:rsidRPr="00C40370" w:rsidRDefault="00DD6EEC" w:rsidP="00DD6EEC">
            <w:pPr>
              <w:rPr>
                <w:sz w:val="24"/>
                <w:szCs w:val="24"/>
              </w:rPr>
            </w:pPr>
          </w:p>
        </w:tc>
        <w:tc>
          <w:tcPr>
            <w:tcW w:w="222" w:type="dxa"/>
          </w:tcPr>
          <w:p w:rsidR="00DD6EEC" w:rsidRPr="00C40370" w:rsidRDefault="00DD6EEC" w:rsidP="00DD6EEC">
            <w:pPr>
              <w:rPr>
                <w:sz w:val="24"/>
                <w:szCs w:val="24"/>
              </w:rPr>
            </w:pPr>
          </w:p>
        </w:tc>
      </w:tr>
      <w:tr w:rsidR="00DD6EEC" w:rsidRPr="00C40370" w:rsidTr="00DD6EEC">
        <w:tc>
          <w:tcPr>
            <w:tcW w:w="8591" w:type="dxa"/>
          </w:tcPr>
          <w:p w:rsidR="00DD6EEC" w:rsidRPr="00C40370" w:rsidRDefault="00DD6EEC" w:rsidP="00DD6EEC">
            <w:pPr>
              <w:rPr>
                <w:sz w:val="24"/>
                <w:szCs w:val="24"/>
              </w:rPr>
            </w:pPr>
          </w:p>
        </w:tc>
        <w:tc>
          <w:tcPr>
            <w:tcW w:w="222" w:type="dxa"/>
          </w:tcPr>
          <w:p w:rsidR="00DD6EEC" w:rsidRPr="00C40370" w:rsidRDefault="00DD6EEC" w:rsidP="00DD6EEC">
            <w:pPr>
              <w:rPr>
                <w:sz w:val="24"/>
                <w:szCs w:val="24"/>
              </w:rPr>
            </w:pPr>
          </w:p>
        </w:tc>
      </w:tr>
    </w:tbl>
    <w:p w:rsidR="00DD6EEC" w:rsidRPr="00655559" w:rsidRDefault="00DD6EEC" w:rsidP="00DD6EEC">
      <w:pPr>
        <w:ind w:right="-540"/>
        <w:rPr>
          <w:b/>
          <w:sz w:val="24"/>
          <w:szCs w:val="24"/>
          <w:u w:val="single"/>
        </w:rPr>
      </w:pPr>
      <w:r>
        <w:rPr>
          <w:b/>
          <w:sz w:val="24"/>
          <w:szCs w:val="24"/>
          <w:u w:val="single"/>
        </w:rPr>
        <w:t xml:space="preserve">Original </w:t>
      </w:r>
      <w:r w:rsidRPr="00655559">
        <w:rPr>
          <w:b/>
          <w:sz w:val="24"/>
          <w:szCs w:val="24"/>
          <w:u w:val="single"/>
        </w:rPr>
        <w:t>Sample Selection Criteria</w:t>
      </w:r>
      <w:r>
        <w:rPr>
          <w:b/>
          <w:sz w:val="24"/>
          <w:szCs w:val="24"/>
          <w:u w:val="single"/>
        </w:rPr>
        <w:t xml:space="preserve"> for Form EIA-923</w:t>
      </w:r>
    </w:p>
    <w:p w:rsidR="00DD6EEC" w:rsidRPr="00655559" w:rsidRDefault="00DD6EEC" w:rsidP="00DD6EEC">
      <w:pPr>
        <w:ind w:right="-540"/>
        <w:rPr>
          <w:sz w:val="24"/>
          <w:szCs w:val="24"/>
        </w:rPr>
      </w:pPr>
    </w:p>
    <w:p w:rsidR="00DD6EEC" w:rsidRPr="00655559" w:rsidRDefault="00DD6EEC" w:rsidP="00DD6EEC">
      <w:pPr>
        <w:ind w:right="-540"/>
        <w:rPr>
          <w:sz w:val="24"/>
          <w:szCs w:val="24"/>
        </w:rPr>
      </w:pPr>
      <w:r>
        <w:rPr>
          <w:sz w:val="24"/>
          <w:szCs w:val="24"/>
        </w:rPr>
        <w:t>The Form EIA-923 sample was chosen to provide reasonably accurate results for multiple attributes (published aggregate numbers) while minimizing the burden on the industry and the Federal government.  The following five steps were used in selecting plants for the monthly sample:</w:t>
      </w:r>
    </w:p>
    <w:p w:rsidR="00DD6EEC" w:rsidRPr="00655559" w:rsidRDefault="00DD6EEC" w:rsidP="00DD6EEC">
      <w:pPr>
        <w:ind w:right="-540"/>
        <w:rPr>
          <w:sz w:val="24"/>
          <w:szCs w:val="24"/>
        </w:rPr>
      </w:pPr>
    </w:p>
    <w:p w:rsidR="00DD6EEC" w:rsidRPr="00655559" w:rsidRDefault="00DD6EEC" w:rsidP="00DD6EEC">
      <w:pPr>
        <w:numPr>
          <w:ilvl w:val="0"/>
          <w:numId w:val="11"/>
        </w:numPr>
        <w:spacing w:after="0" w:line="240" w:lineRule="auto"/>
        <w:ind w:right="-540"/>
        <w:rPr>
          <w:sz w:val="24"/>
          <w:szCs w:val="24"/>
        </w:rPr>
      </w:pPr>
      <w:r>
        <w:rPr>
          <w:sz w:val="24"/>
          <w:szCs w:val="24"/>
        </w:rPr>
        <w:t>Select preliminary cutoff samples based on n</w:t>
      </w:r>
      <w:r w:rsidRPr="00655559">
        <w:rPr>
          <w:sz w:val="24"/>
          <w:szCs w:val="24"/>
        </w:rPr>
        <w:t>ameplate capacity</w:t>
      </w:r>
      <w:r>
        <w:rPr>
          <w:sz w:val="24"/>
          <w:szCs w:val="24"/>
        </w:rPr>
        <w:t xml:space="preserve"> values</w:t>
      </w:r>
    </w:p>
    <w:p w:rsidR="00DD6EEC" w:rsidRPr="00655559" w:rsidRDefault="00DD6EEC" w:rsidP="00DD6EEC">
      <w:pPr>
        <w:numPr>
          <w:ilvl w:val="0"/>
          <w:numId w:val="11"/>
        </w:numPr>
        <w:spacing w:after="0" w:line="240" w:lineRule="auto"/>
        <w:ind w:right="-540"/>
        <w:rPr>
          <w:sz w:val="24"/>
          <w:szCs w:val="24"/>
        </w:rPr>
      </w:pPr>
      <w:r>
        <w:rPr>
          <w:sz w:val="24"/>
          <w:szCs w:val="24"/>
        </w:rPr>
        <w:t>Add sample units, where necessary, based on g</w:t>
      </w:r>
      <w:r w:rsidRPr="00655559">
        <w:rPr>
          <w:sz w:val="24"/>
          <w:szCs w:val="24"/>
        </w:rPr>
        <w:t>eneration, consumption and stocks</w:t>
      </w:r>
    </w:p>
    <w:p w:rsidR="00DD6EEC" w:rsidRPr="00655559" w:rsidRDefault="00DD6EEC" w:rsidP="00DD6EEC">
      <w:pPr>
        <w:numPr>
          <w:ilvl w:val="0"/>
          <w:numId w:val="11"/>
        </w:numPr>
        <w:spacing w:after="0" w:line="240" w:lineRule="auto"/>
        <w:ind w:right="-540"/>
        <w:rPr>
          <w:sz w:val="24"/>
          <w:szCs w:val="24"/>
        </w:rPr>
      </w:pPr>
      <w:r>
        <w:rPr>
          <w:sz w:val="24"/>
          <w:szCs w:val="24"/>
        </w:rPr>
        <w:t>Add sample units, where necessary, to provide adequate sample counts for e</w:t>
      </w:r>
      <w:r w:rsidRPr="00655559">
        <w:rPr>
          <w:sz w:val="24"/>
          <w:szCs w:val="24"/>
        </w:rPr>
        <w:t xml:space="preserve">stimation </w:t>
      </w:r>
      <w:r>
        <w:rPr>
          <w:sz w:val="24"/>
          <w:szCs w:val="24"/>
        </w:rPr>
        <w:t>g</w:t>
      </w:r>
      <w:r w:rsidRPr="00655559">
        <w:rPr>
          <w:sz w:val="24"/>
          <w:szCs w:val="24"/>
        </w:rPr>
        <w:t>roup</w:t>
      </w:r>
      <w:r>
        <w:rPr>
          <w:sz w:val="24"/>
          <w:szCs w:val="24"/>
        </w:rPr>
        <w:t>s</w:t>
      </w:r>
    </w:p>
    <w:p w:rsidR="00DD6EEC" w:rsidRPr="000D39EF" w:rsidRDefault="00DD6EEC" w:rsidP="00DD6EEC">
      <w:pPr>
        <w:numPr>
          <w:ilvl w:val="0"/>
          <w:numId w:val="11"/>
        </w:numPr>
        <w:spacing w:after="0" w:line="240" w:lineRule="auto"/>
        <w:ind w:right="-540"/>
        <w:rPr>
          <w:sz w:val="24"/>
          <w:szCs w:val="24"/>
        </w:rPr>
      </w:pPr>
      <w:r>
        <w:rPr>
          <w:sz w:val="24"/>
          <w:szCs w:val="24"/>
        </w:rPr>
        <w:t>Add sample units, where necessary, to reduce relative standard errors (RSEs) of key estimates to acceptable levels</w:t>
      </w:r>
    </w:p>
    <w:p w:rsidR="00DD6EEC" w:rsidRPr="00655559" w:rsidRDefault="00DD6EEC" w:rsidP="00DD6EEC">
      <w:pPr>
        <w:numPr>
          <w:ilvl w:val="0"/>
          <w:numId w:val="11"/>
        </w:numPr>
        <w:spacing w:after="0" w:line="240" w:lineRule="auto"/>
        <w:ind w:right="-540"/>
        <w:rPr>
          <w:sz w:val="24"/>
          <w:szCs w:val="24"/>
        </w:rPr>
      </w:pPr>
      <w:r w:rsidRPr="00655559">
        <w:rPr>
          <w:sz w:val="24"/>
          <w:szCs w:val="24"/>
        </w:rPr>
        <w:t xml:space="preserve">Add </w:t>
      </w:r>
      <w:r>
        <w:rPr>
          <w:sz w:val="24"/>
          <w:szCs w:val="24"/>
        </w:rPr>
        <w:t xml:space="preserve">other </w:t>
      </w:r>
      <w:r w:rsidRPr="00655559">
        <w:rPr>
          <w:sz w:val="24"/>
          <w:szCs w:val="24"/>
        </w:rPr>
        <w:t>facilities</w:t>
      </w:r>
      <w:r>
        <w:rPr>
          <w:sz w:val="24"/>
          <w:szCs w:val="24"/>
        </w:rPr>
        <w:t>, based on special-case criteria.</w:t>
      </w:r>
    </w:p>
    <w:p w:rsidR="00DD6EEC" w:rsidRPr="00655559" w:rsidRDefault="00DD6EEC" w:rsidP="00DD6EEC">
      <w:pPr>
        <w:ind w:right="-540"/>
        <w:rPr>
          <w:sz w:val="24"/>
          <w:szCs w:val="24"/>
        </w:rPr>
      </w:pPr>
    </w:p>
    <w:p w:rsidR="00DD6EEC" w:rsidRDefault="00DD6EEC" w:rsidP="00DD6EEC">
      <w:pPr>
        <w:ind w:right="-540"/>
        <w:rPr>
          <w:sz w:val="24"/>
          <w:szCs w:val="24"/>
        </w:rPr>
      </w:pPr>
      <w:r>
        <w:rPr>
          <w:sz w:val="24"/>
          <w:szCs w:val="24"/>
        </w:rPr>
        <w:t xml:space="preserve">The first three steps were designed to ensure adequate coverage of the target population by including all of the largest contributors to key data elements.  The fourth step helps ensure that the published estimates meet reasonable reliability standards, which is the key goal, given acceptable resource expenditure.  The final criterion covers special cases, as described below.     </w:t>
      </w:r>
    </w:p>
    <w:p w:rsidR="00DD6EEC" w:rsidRDefault="00DD6EEC" w:rsidP="00DD6EEC">
      <w:pPr>
        <w:ind w:right="-540"/>
        <w:rPr>
          <w:sz w:val="24"/>
          <w:szCs w:val="24"/>
        </w:rPr>
      </w:pPr>
    </w:p>
    <w:p w:rsidR="00DD6EEC" w:rsidRPr="00655559" w:rsidRDefault="00DD6EEC" w:rsidP="00DD6EEC">
      <w:pPr>
        <w:ind w:right="-540"/>
        <w:rPr>
          <w:sz w:val="24"/>
          <w:szCs w:val="24"/>
        </w:rPr>
      </w:pPr>
      <w:r>
        <w:rPr>
          <w:sz w:val="24"/>
          <w:szCs w:val="24"/>
        </w:rPr>
        <w:lastRenderedPageBreak/>
        <w:t>F</w:t>
      </w:r>
      <w:r w:rsidRPr="00655559">
        <w:rPr>
          <w:sz w:val="24"/>
          <w:szCs w:val="24"/>
        </w:rPr>
        <w:t xml:space="preserve">acilities </w:t>
      </w:r>
      <w:r>
        <w:rPr>
          <w:sz w:val="24"/>
          <w:szCs w:val="24"/>
        </w:rPr>
        <w:t xml:space="preserve">in the target population that </w:t>
      </w:r>
      <w:r w:rsidRPr="00655559">
        <w:rPr>
          <w:sz w:val="24"/>
          <w:szCs w:val="24"/>
        </w:rPr>
        <w:t xml:space="preserve">meet any one of the sample selection criteria </w:t>
      </w:r>
      <w:r>
        <w:rPr>
          <w:sz w:val="24"/>
          <w:szCs w:val="24"/>
        </w:rPr>
        <w:t>applied at any of the five steps were</w:t>
      </w:r>
      <w:r w:rsidRPr="00655559">
        <w:rPr>
          <w:sz w:val="24"/>
          <w:szCs w:val="24"/>
        </w:rPr>
        <w:t xml:space="preserve"> included in the final sample.  Further, any additional prime movers and energy sources used by </w:t>
      </w:r>
      <w:r>
        <w:rPr>
          <w:sz w:val="24"/>
          <w:szCs w:val="24"/>
        </w:rPr>
        <w:t>a sample</w:t>
      </w:r>
      <w:r w:rsidRPr="00655559">
        <w:rPr>
          <w:sz w:val="24"/>
          <w:szCs w:val="24"/>
        </w:rPr>
        <w:t xml:space="preserve"> facility </w:t>
      </w:r>
      <w:r>
        <w:rPr>
          <w:sz w:val="24"/>
          <w:szCs w:val="24"/>
        </w:rPr>
        <w:t>were</w:t>
      </w:r>
      <w:r w:rsidRPr="00655559">
        <w:rPr>
          <w:sz w:val="24"/>
          <w:szCs w:val="24"/>
        </w:rPr>
        <w:t xml:space="preserve"> also included in the sample even if individually they did not meet any of the sample selection criteria.  </w:t>
      </w:r>
      <w:r>
        <w:rPr>
          <w:sz w:val="24"/>
          <w:szCs w:val="24"/>
        </w:rPr>
        <w:t>Each sample</w:t>
      </w:r>
      <w:r w:rsidRPr="00655559">
        <w:rPr>
          <w:sz w:val="24"/>
          <w:szCs w:val="24"/>
        </w:rPr>
        <w:t xml:space="preserve"> facility reports </w:t>
      </w:r>
      <w:r>
        <w:rPr>
          <w:sz w:val="24"/>
          <w:szCs w:val="24"/>
        </w:rPr>
        <w:t xml:space="preserve">data for </w:t>
      </w:r>
      <w:r w:rsidRPr="00655559">
        <w:rPr>
          <w:sz w:val="24"/>
          <w:szCs w:val="24"/>
        </w:rPr>
        <w:t xml:space="preserve">all combinations of prime mover and </w:t>
      </w:r>
      <w:r>
        <w:rPr>
          <w:sz w:val="24"/>
          <w:szCs w:val="24"/>
        </w:rPr>
        <w:t>fuel</w:t>
      </w:r>
      <w:r w:rsidRPr="00655559">
        <w:rPr>
          <w:sz w:val="24"/>
          <w:szCs w:val="24"/>
        </w:rPr>
        <w:t xml:space="preserve"> source each month.</w:t>
      </w:r>
      <w:r>
        <w:rPr>
          <w:sz w:val="24"/>
          <w:szCs w:val="24"/>
        </w:rPr>
        <w:t xml:space="preserve">  All n</w:t>
      </w:r>
      <w:r w:rsidRPr="00655559">
        <w:rPr>
          <w:sz w:val="24"/>
          <w:szCs w:val="24"/>
        </w:rPr>
        <w:t>uclear and pumped storage facilities are included in the monthly sample.</w:t>
      </w:r>
      <w:r>
        <w:rPr>
          <w:sz w:val="24"/>
          <w:szCs w:val="24"/>
        </w:rPr>
        <w:t xml:space="preserve">  The remainder of this section provides further detail on the sampling steps.</w:t>
      </w:r>
    </w:p>
    <w:p w:rsidR="00DD6EEC" w:rsidRDefault="00DD6EEC" w:rsidP="00DD6EEC">
      <w:pPr>
        <w:ind w:right="-540"/>
        <w:rPr>
          <w:sz w:val="24"/>
          <w:szCs w:val="24"/>
        </w:rPr>
      </w:pPr>
    </w:p>
    <w:p w:rsidR="00DD6EEC" w:rsidRPr="00655559" w:rsidRDefault="00DD6EEC" w:rsidP="00DD6EEC">
      <w:pPr>
        <w:ind w:right="-540"/>
        <w:rPr>
          <w:sz w:val="24"/>
          <w:szCs w:val="24"/>
        </w:rPr>
      </w:pPr>
      <w:r w:rsidRPr="00FA6B0C">
        <w:rPr>
          <w:sz w:val="24"/>
          <w:szCs w:val="24"/>
          <w:u w:val="single"/>
        </w:rPr>
        <w:t xml:space="preserve">Step 1:  </w:t>
      </w:r>
      <w:r>
        <w:rPr>
          <w:sz w:val="24"/>
          <w:szCs w:val="24"/>
          <w:u w:val="single"/>
        </w:rPr>
        <w:t xml:space="preserve">Select </w:t>
      </w:r>
      <w:r w:rsidRPr="00FA6B0C">
        <w:rPr>
          <w:sz w:val="24"/>
          <w:szCs w:val="24"/>
          <w:u w:val="single"/>
        </w:rPr>
        <w:t>Cutoff Samples Based on Nameplate Capacity</w:t>
      </w:r>
      <w:r>
        <w:rPr>
          <w:sz w:val="24"/>
          <w:szCs w:val="24"/>
          <w:u w:val="single"/>
        </w:rPr>
        <w:t>.</w:t>
      </w:r>
      <w:r>
        <w:rPr>
          <w:sz w:val="24"/>
          <w:szCs w:val="24"/>
        </w:rPr>
        <w:t xml:space="preserve">  </w:t>
      </w:r>
      <w:r w:rsidRPr="00655559">
        <w:rPr>
          <w:sz w:val="24"/>
          <w:szCs w:val="24"/>
        </w:rPr>
        <w:t xml:space="preserve">Initially, pre-determined capacity coverage percentages </w:t>
      </w:r>
      <w:r>
        <w:rPr>
          <w:sz w:val="24"/>
          <w:szCs w:val="24"/>
        </w:rPr>
        <w:t>were</w:t>
      </w:r>
      <w:r w:rsidRPr="00655559">
        <w:rPr>
          <w:sz w:val="24"/>
          <w:szCs w:val="24"/>
        </w:rPr>
        <w:t xml:space="preserve"> tested to ensure a certain proportion of operational </w:t>
      </w:r>
      <w:r>
        <w:rPr>
          <w:sz w:val="24"/>
          <w:szCs w:val="24"/>
        </w:rPr>
        <w:t xml:space="preserve">Form </w:t>
      </w:r>
      <w:r w:rsidRPr="00655559">
        <w:rPr>
          <w:sz w:val="24"/>
          <w:szCs w:val="24"/>
        </w:rPr>
        <w:t xml:space="preserve">EIA-860 capacity is covered within each sampling group.  Stand-by and back-up generators </w:t>
      </w:r>
      <w:r>
        <w:rPr>
          <w:sz w:val="24"/>
          <w:szCs w:val="24"/>
        </w:rPr>
        <w:t>were</w:t>
      </w:r>
      <w:r w:rsidRPr="00655559">
        <w:rPr>
          <w:sz w:val="24"/>
          <w:szCs w:val="24"/>
        </w:rPr>
        <w:t xml:space="preserve"> not included in the operational capacity totals when </w:t>
      </w:r>
      <w:r>
        <w:rPr>
          <w:sz w:val="24"/>
          <w:szCs w:val="24"/>
        </w:rPr>
        <w:t xml:space="preserve">data were </w:t>
      </w:r>
      <w:r w:rsidRPr="00655559">
        <w:rPr>
          <w:sz w:val="24"/>
          <w:szCs w:val="24"/>
        </w:rPr>
        <w:t xml:space="preserve">aggregated to </w:t>
      </w:r>
      <w:r>
        <w:rPr>
          <w:sz w:val="24"/>
          <w:szCs w:val="24"/>
        </w:rPr>
        <w:t xml:space="preserve">the level of </w:t>
      </w:r>
      <w:r w:rsidRPr="00655559">
        <w:rPr>
          <w:sz w:val="24"/>
          <w:szCs w:val="24"/>
        </w:rPr>
        <w:t xml:space="preserve">prime mover, and only the largest consumed fuel source for each generator </w:t>
      </w:r>
      <w:r>
        <w:rPr>
          <w:sz w:val="24"/>
          <w:szCs w:val="24"/>
        </w:rPr>
        <w:t>were</w:t>
      </w:r>
      <w:r w:rsidRPr="00655559">
        <w:rPr>
          <w:sz w:val="24"/>
          <w:szCs w:val="24"/>
        </w:rPr>
        <w:t xml:space="preserve"> used in identifying the sample groupings.  Different</w:t>
      </w:r>
      <w:r>
        <w:rPr>
          <w:sz w:val="24"/>
          <w:szCs w:val="24"/>
        </w:rPr>
        <w:t xml:space="preserve"> target</w:t>
      </w:r>
      <w:r w:rsidRPr="00655559">
        <w:rPr>
          <w:sz w:val="24"/>
          <w:szCs w:val="24"/>
        </w:rPr>
        <w:t xml:space="preserve"> coverage percentages </w:t>
      </w:r>
      <w:r>
        <w:rPr>
          <w:sz w:val="24"/>
          <w:szCs w:val="24"/>
        </w:rPr>
        <w:t>were</w:t>
      </w:r>
      <w:r w:rsidRPr="00655559">
        <w:rPr>
          <w:sz w:val="24"/>
          <w:szCs w:val="24"/>
        </w:rPr>
        <w:t xml:space="preserve"> selected for each facility classification, and </w:t>
      </w:r>
      <w:r>
        <w:rPr>
          <w:sz w:val="24"/>
          <w:szCs w:val="24"/>
        </w:rPr>
        <w:t xml:space="preserve">were </w:t>
      </w:r>
      <w:r w:rsidRPr="00655559">
        <w:rPr>
          <w:sz w:val="24"/>
          <w:szCs w:val="24"/>
        </w:rPr>
        <w:t>applied to all regions and energy sources within each classification.  When the capacity cutoff percentage yield</w:t>
      </w:r>
      <w:r>
        <w:rPr>
          <w:sz w:val="24"/>
          <w:szCs w:val="24"/>
        </w:rPr>
        <w:t>s</w:t>
      </w:r>
      <w:r w:rsidRPr="00655559">
        <w:rPr>
          <w:sz w:val="24"/>
          <w:szCs w:val="24"/>
        </w:rPr>
        <w:t xml:space="preserve"> a capacity cutoff of less than 25 megawatts, then a default value of 25 megawatts </w:t>
      </w:r>
      <w:r>
        <w:rPr>
          <w:sz w:val="24"/>
          <w:szCs w:val="24"/>
        </w:rPr>
        <w:t>was</w:t>
      </w:r>
      <w:r w:rsidRPr="00655559">
        <w:rPr>
          <w:sz w:val="24"/>
          <w:szCs w:val="24"/>
        </w:rPr>
        <w:t xml:space="preserve"> used instead. </w:t>
      </w:r>
      <w:r>
        <w:rPr>
          <w:sz w:val="24"/>
          <w:szCs w:val="24"/>
        </w:rPr>
        <w:t xml:space="preserve"> Otherwise, t</w:t>
      </w:r>
      <w:r w:rsidRPr="00655559">
        <w:rPr>
          <w:sz w:val="24"/>
          <w:szCs w:val="24"/>
        </w:rPr>
        <w:t xml:space="preserve">he percentages </w:t>
      </w:r>
      <w:r>
        <w:rPr>
          <w:sz w:val="24"/>
          <w:szCs w:val="24"/>
        </w:rPr>
        <w:t xml:space="preserve">of capacity included in the sample </w:t>
      </w:r>
      <w:r w:rsidRPr="00655559">
        <w:rPr>
          <w:sz w:val="24"/>
          <w:szCs w:val="24"/>
        </w:rPr>
        <w:t>are listed below.</w:t>
      </w:r>
    </w:p>
    <w:p w:rsidR="00DD6EEC" w:rsidRPr="00655559" w:rsidRDefault="00DD6EEC" w:rsidP="00DD6EEC">
      <w:pPr>
        <w:ind w:right="-540"/>
        <w:rPr>
          <w:sz w:val="24"/>
          <w:szCs w:val="24"/>
        </w:rPr>
      </w:pPr>
    </w:p>
    <w:p w:rsidR="00DD6EEC" w:rsidRPr="00655559" w:rsidRDefault="00DD6EEC" w:rsidP="00DD6EEC">
      <w:pPr>
        <w:numPr>
          <w:ilvl w:val="0"/>
          <w:numId w:val="9"/>
        </w:numPr>
        <w:spacing w:after="0" w:line="240" w:lineRule="auto"/>
        <w:ind w:right="-547"/>
        <w:rPr>
          <w:sz w:val="24"/>
          <w:szCs w:val="24"/>
        </w:rPr>
      </w:pPr>
      <w:r>
        <w:rPr>
          <w:sz w:val="24"/>
          <w:szCs w:val="24"/>
        </w:rPr>
        <w:t>E</w:t>
      </w:r>
      <w:r w:rsidRPr="00655559">
        <w:rPr>
          <w:sz w:val="24"/>
          <w:szCs w:val="24"/>
        </w:rPr>
        <w:t xml:space="preserve">lectric </w:t>
      </w:r>
      <w:r>
        <w:rPr>
          <w:sz w:val="24"/>
          <w:szCs w:val="24"/>
        </w:rPr>
        <w:t>u</w:t>
      </w:r>
      <w:r w:rsidRPr="00655559">
        <w:rPr>
          <w:sz w:val="24"/>
          <w:szCs w:val="24"/>
        </w:rPr>
        <w:t>tilities – 70</w:t>
      </w:r>
      <w:r>
        <w:rPr>
          <w:sz w:val="24"/>
          <w:szCs w:val="24"/>
        </w:rPr>
        <w:t xml:space="preserve"> percent</w:t>
      </w:r>
    </w:p>
    <w:p w:rsidR="00DD6EEC" w:rsidRPr="00655559" w:rsidRDefault="00DD6EEC" w:rsidP="00DD6EEC">
      <w:pPr>
        <w:numPr>
          <w:ilvl w:val="0"/>
          <w:numId w:val="9"/>
        </w:numPr>
        <w:spacing w:after="0" w:line="240" w:lineRule="auto"/>
        <w:ind w:right="-540"/>
        <w:rPr>
          <w:sz w:val="24"/>
          <w:szCs w:val="24"/>
        </w:rPr>
      </w:pPr>
      <w:r>
        <w:rPr>
          <w:sz w:val="24"/>
          <w:szCs w:val="24"/>
        </w:rPr>
        <w:t>In</w:t>
      </w:r>
      <w:r w:rsidRPr="00655559">
        <w:rPr>
          <w:sz w:val="24"/>
          <w:szCs w:val="24"/>
        </w:rPr>
        <w:t xml:space="preserve">dependent </w:t>
      </w:r>
      <w:r>
        <w:rPr>
          <w:sz w:val="24"/>
          <w:szCs w:val="24"/>
        </w:rPr>
        <w:t>p</w:t>
      </w:r>
      <w:r w:rsidRPr="00655559">
        <w:rPr>
          <w:sz w:val="24"/>
          <w:szCs w:val="24"/>
        </w:rPr>
        <w:t xml:space="preserve">ower </w:t>
      </w:r>
      <w:r>
        <w:rPr>
          <w:sz w:val="24"/>
          <w:szCs w:val="24"/>
        </w:rPr>
        <w:t>p</w:t>
      </w:r>
      <w:r w:rsidRPr="00655559">
        <w:rPr>
          <w:sz w:val="24"/>
          <w:szCs w:val="24"/>
        </w:rPr>
        <w:t>roducers – 70</w:t>
      </w:r>
      <w:r>
        <w:rPr>
          <w:sz w:val="24"/>
          <w:szCs w:val="24"/>
        </w:rPr>
        <w:t xml:space="preserve"> percent</w:t>
      </w:r>
    </w:p>
    <w:p w:rsidR="00DD6EEC" w:rsidRPr="00655559" w:rsidRDefault="00DD6EEC" w:rsidP="00DD6EEC">
      <w:pPr>
        <w:numPr>
          <w:ilvl w:val="0"/>
          <w:numId w:val="9"/>
        </w:numPr>
        <w:spacing w:after="0" w:line="240" w:lineRule="auto"/>
        <w:ind w:right="-540"/>
        <w:rPr>
          <w:sz w:val="24"/>
          <w:szCs w:val="24"/>
        </w:rPr>
      </w:pPr>
      <w:r>
        <w:rPr>
          <w:sz w:val="24"/>
          <w:szCs w:val="24"/>
        </w:rPr>
        <w:t>C</w:t>
      </w:r>
      <w:r w:rsidRPr="00655559">
        <w:rPr>
          <w:sz w:val="24"/>
          <w:szCs w:val="24"/>
        </w:rPr>
        <w:t xml:space="preserve">ommercial </w:t>
      </w:r>
      <w:r>
        <w:rPr>
          <w:sz w:val="24"/>
          <w:szCs w:val="24"/>
        </w:rPr>
        <w:t>f</w:t>
      </w:r>
      <w:r w:rsidRPr="00655559">
        <w:rPr>
          <w:sz w:val="24"/>
          <w:szCs w:val="24"/>
        </w:rPr>
        <w:t>acilities – 50</w:t>
      </w:r>
      <w:r>
        <w:rPr>
          <w:sz w:val="24"/>
          <w:szCs w:val="24"/>
        </w:rPr>
        <w:t xml:space="preserve"> percent </w:t>
      </w:r>
    </w:p>
    <w:p w:rsidR="00DD6EEC" w:rsidRPr="00655559" w:rsidRDefault="00DD6EEC" w:rsidP="00DD6EEC">
      <w:pPr>
        <w:numPr>
          <w:ilvl w:val="0"/>
          <w:numId w:val="9"/>
        </w:numPr>
        <w:spacing w:after="0" w:line="240" w:lineRule="auto"/>
        <w:ind w:right="-540"/>
        <w:rPr>
          <w:sz w:val="24"/>
          <w:szCs w:val="24"/>
        </w:rPr>
      </w:pPr>
      <w:r>
        <w:rPr>
          <w:sz w:val="24"/>
          <w:szCs w:val="24"/>
        </w:rPr>
        <w:t>I</w:t>
      </w:r>
      <w:r w:rsidRPr="00655559">
        <w:rPr>
          <w:sz w:val="24"/>
          <w:szCs w:val="24"/>
        </w:rPr>
        <w:t xml:space="preserve">ndustrial </w:t>
      </w:r>
      <w:r>
        <w:rPr>
          <w:sz w:val="24"/>
          <w:szCs w:val="24"/>
        </w:rPr>
        <w:t>f</w:t>
      </w:r>
      <w:r w:rsidRPr="00655559">
        <w:rPr>
          <w:sz w:val="24"/>
          <w:szCs w:val="24"/>
        </w:rPr>
        <w:t>acilities – 50</w:t>
      </w:r>
      <w:r>
        <w:rPr>
          <w:sz w:val="24"/>
          <w:szCs w:val="24"/>
        </w:rPr>
        <w:t xml:space="preserve"> percent. </w:t>
      </w:r>
    </w:p>
    <w:p w:rsidR="00DD6EEC" w:rsidRDefault="00DD6EEC" w:rsidP="00DD6EEC">
      <w:pPr>
        <w:ind w:right="-540"/>
        <w:rPr>
          <w:sz w:val="24"/>
          <w:szCs w:val="24"/>
          <w:u w:val="single"/>
        </w:rPr>
      </w:pPr>
    </w:p>
    <w:p w:rsidR="00DD6EEC" w:rsidRDefault="00DD6EEC" w:rsidP="00DD6EEC">
      <w:pPr>
        <w:ind w:right="-540"/>
        <w:rPr>
          <w:sz w:val="24"/>
          <w:szCs w:val="24"/>
        </w:rPr>
      </w:pPr>
      <w:r w:rsidRPr="00FA6B0C">
        <w:rPr>
          <w:sz w:val="24"/>
          <w:szCs w:val="24"/>
          <w:u w:val="single"/>
        </w:rPr>
        <w:t>Step 2:  Add Units Based on Generation, Consumption, and Stocks</w:t>
      </w:r>
      <w:r>
        <w:rPr>
          <w:sz w:val="24"/>
          <w:szCs w:val="24"/>
          <w:u w:val="single"/>
        </w:rPr>
        <w:t>.</w:t>
      </w:r>
      <w:r>
        <w:rPr>
          <w:sz w:val="24"/>
          <w:szCs w:val="24"/>
        </w:rPr>
        <w:t xml:space="preserve">  F</w:t>
      </w:r>
      <w:r w:rsidRPr="00655559">
        <w:rPr>
          <w:sz w:val="24"/>
          <w:szCs w:val="24"/>
        </w:rPr>
        <w:t xml:space="preserve">acilities </w:t>
      </w:r>
      <w:r>
        <w:rPr>
          <w:sz w:val="24"/>
          <w:szCs w:val="24"/>
        </w:rPr>
        <w:t xml:space="preserve">accounting for large percentages of </w:t>
      </w:r>
      <w:r w:rsidRPr="00655559">
        <w:rPr>
          <w:sz w:val="24"/>
          <w:szCs w:val="24"/>
        </w:rPr>
        <w:t xml:space="preserve">actual past reported gross generation, </w:t>
      </w:r>
      <w:r>
        <w:rPr>
          <w:sz w:val="24"/>
          <w:szCs w:val="24"/>
        </w:rPr>
        <w:t xml:space="preserve">fuel </w:t>
      </w:r>
      <w:r w:rsidRPr="00655559">
        <w:rPr>
          <w:sz w:val="24"/>
          <w:szCs w:val="24"/>
        </w:rPr>
        <w:t xml:space="preserve">consumption, </w:t>
      </w:r>
      <w:r>
        <w:rPr>
          <w:sz w:val="24"/>
          <w:szCs w:val="24"/>
        </w:rPr>
        <w:t xml:space="preserve">or fuel </w:t>
      </w:r>
      <w:r w:rsidRPr="00655559">
        <w:rPr>
          <w:sz w:val="24"/>
          <w:szCs w:val="24"/>
        </w:rPr>
        <w:t>stocks</w:t>
      </w:r>
      <w:r>
        <w:rPr>
          <w:sz w:val="24"/>
          <w:szCs w:val="24"/>
        </w:rPr>
        <w:t>,</w:t>
      </w:r>
      <w:r w:rsidRPr="00655559">
        <w:rPr>
          <w:sz w:val="24"/>
          <w:szCs w:val="24"/>
        </w:rPr>
        <w:t xml:space="preserve"> </w:t>
      </w:r>
      <w:r>
        <w:rPr>
          <w:sz w:val="24"/>
          <w:szCs w:val="24"/>
        </w:rPr>
        <w:t>were</w:t>
      </w:r>
      <w:r w:rsidRPr="00655559">
        <w:rPr>
          <w:sz w:val="24"/>
          <w:szCs w:val="24"/>
        </w:rPr>
        <w:t xml:space="preserve"> </w:t>
      </w:r>
      <w:r>
        <w:rPr>
          <w:sz w:val="24"/>
          <w:szCs w:val="24"/>
        </w:rPr>
        <w:t xml:space="preserve">added to the sample, even if their nameplate capacities fell below </w:t>
      </w:r>
      <w:r w:rsidRPr="00655559">
        <w:rPr>
          <w:sz w:val="24"/>
          <w:szCs w:val="24"/>
        </w:rPr>
        <w:t>the capacity coverage percentage</w:t>
      </w:r>
      <w:r>
        <w:rPr>
          <w:sz w:val="24"/>
          <w:szCs w:val="24"/>
        </w:rPr>
        <w:t xml:space="preserve"> cutoff</w:t>
      </w:r>
      <w:r w:rsidRPr="00655559">
        <w:rPr>
          <w:sz w:val="24"/>
          <w:szCs w:val="24"/>
        </w:rPr>
        <w:t xml:space="preserve">.  </w:t>
      </w:r>
    </w:p>
    <w:p w:rsidR="00DD6EEC" w:rsidRDefault="00DD6EEC" w:rsidP="00DD6EEC">
      <w:pPr>
        <w:ind w:right="-540"/>
        <w:rPr>
          <w:sz w:val="24"/>
          <w:szCs w:val="24"/>
        </w:rPr>
      </w:pPr>
    </w:p>
    <w:p w:rsidR="00DD6EEC" w:rsidRDefault="00DD6EEC" w:rsidP="00DD6EEC">
      <w:pPr>
        <w:ind w:right="-540"/>
        <w:rPr>
          <w:sz w:val="24"/>
          <w:szCs w:val="24"/>
        </w:rPr>
      </w:pPr>
      <w:r w:rsidRPr="00FA6B0C">
        <w:rPr>
          <w:sz w:val="24"/>
          <w:szCs w:val="24"/>
          <w:u w:val="single"/>
        </w:rPr>
        <w:t>Step 3:  Add Units to Ensure Adequate Sample in Estimation Groups</w:t>
      </w:r>
      <w:r>
        <w:rPr>
          <w:sz w:val="24"/>
          <w:szCs w:val="24"/>
          <w:u w:val="single"/>
        </w:rPr>
        <w:t>.</w:t>
      </w:r>
      <w:r>
        <w:rPr>
          <w:sz w:val="24"/>
          <w:szCs w:val="24"/>
        </w:rPr>
        <w:t xml:space="preserve">  Estimation strata </w:t>
      </w:r>
      <w:r w:rsidRPr="00BF74E5">
        <w:rPr>
          <w:sz w:val="24"/>
          <w:szCs w:val="24"/>
        </w:rPr>
        <w:t>identical to those employed in the Form EIA-9</w:t>
      </w:r>
      <w:r>
        <w:rPr>
          <w:sz w:val="24"/>
          <w:szCs w:val="24"/>
        </w:rPr>
        <w:t>23</w:t>
      </w:r>
      <w:r w:rsidRPr="00BF74E5">
        <w:rPr>
          <w:sz w:val="24"/>
          <w:szCs w:val="24"/>
        </w:rPr>
        <w:t xml:space="preserve"> </w:t>
      </w:r>
      <w:r>
        <w:rPr>
          <w:sz w:val="24"/>
          <w:szCs w:val="24"/>
        </w:rPr>
        <w:t xml:space="preserve">regression </w:t>
      </w:r>
      <w:r w:rsidRPr="00BF74E5">
        <w:rPr>
          <w:sz w:val="24"/>
          <w:szCs w:val="24"/>
        </w:rPr>
        <w:t xml:space="preserve">imputation system </w:t>
      </w:r>
      <w:r>
        <w:rPr>
          <w:sz w:val="24"/>
          <w:szCs w:val="24"/>
        </w:rPr>
        <w:t>were</w:t>
      </w:r>
      <w:r w:rsidRPr="00BF74E5">
        <w:rPr>
          <w:sz w:val="24"/>
          <w:szCs w:val="24"/>
        </w:rPr>
        <w:t xml:space="preserve"> </w:t>
      </w:r>
      <w:r>
        <w:rPr>
          <w:sz w:val="24"/>
          <w:szCs w:val="24"/>
        </w:rPr>
        <w:t>examined.  Units below the threshold value were added to a</w:t>
      </w:r>
      <w:r w:rsidRPr="00BF74E5">
        <w:rPr>
          <w:sz w:val="24"/>
          <w:szCs w:val="24"/>
        </w:rPr>
        <w:t xml:space="preserve">ny group </w:t>
      </w:r>
      <w:r>
        <w:rPr>
          <w:sz w:val="24"/>
          <w:szCs w:val="24"/>
        </w:rPr>
        <w:t xml:space="preserve">with fewer </w:t>
      </w:r>
      <w:r w:rsidRPr="00BF74E5">
        <w:rPr>
          <w:sz w:val="24"/>
          <w:szCs w:val="24"/>
        </w:rPr>
        <w:t xml:space="preserve">than </w:t>
      </w:r>
      <w:r>
        <w:rPr>
          <w:sz w:val="24"/>
          <w:szCs w:val="24"/>
        </w:rPr>
        <w:t xml:space="preserve">10 usable </w:t>
      </w:r>
      <w:r w:rsidRPr="00BF74E5">
        <w:rPr>
          <w:sz w:val="24"/>
          <w:szCs w:val="24"/>
        </w:rPr>
        <w:t>observations</w:t>
      </w:r>
      <w:r>
        <w:rPr>
          <w:sz w:val="24"/>
          <w:szCs w:val="24"/>
        </w:rPr>
        <w:t>,</w:t>
      </w:r>
      <w:r w:rsidRPr="00BF74E5">
        <w:rPr>
          <w:sz w:val="24"/>
          <w:szCs w:val="24"/>
        </w:rPr>
        <w:t xml:space="preserve"> until the </w:t>
      </w:r>
      <w:r>
        <w:rPr>
          <w:sz w:val="24"/>
          <w:szCs w:val="24"/>
        </w:rPr>
        <w:t xml:space="preserve">usable </w:t>
      </w:r>
      <w:r w:rsidRPr="00BF74E5">
        <w:rPr>
          <w:sz w:val="24"/>
          <w:szCs w:val="24"/>
        </w:rPr>
        <w:t xml:space="preserve">count </w:t>
      </w:r>
      <w:r>
        <w:rPr>
          <w:sz w:val="24"/>
          <w:szCs w:val="24"/>
        </w:rPr>
        <w:t>was</w:t>
      </w:r>
      <w:r w:rsidRPr="00BF74E5">
        <w:rPr>
          <w:sz w:val="24"/>
          <w:szCs w:val="24"/>
        </w:rPr>
        <w:t xml:space="preserve"> brought up to 10.</w:t>
      </w:r>
    </w:p>
    <w:p w:rsidR="00DD6EEC" w:rsidRPr="00BF74E5" w:rsidRDefault="00DD6EEC" w:rsidP="00DD6EEC">
      <w:pPr>
        <w:ind w:right="-540"/>
        <w:rPr>
          <w:sz w:val="24"/>
          <w:szCs w:val="24"/>
        </w:rPr>
      </w:pPr>
      <w:r w:rsidRPr="00BF74E5">
        <w:rPr>
          <w:sz w:val="24"/>
          <w:szCs w:val="24"/>
        </w:rPr>
        <w:t xml:space="preserve"> </w:t>
      </w:r>
    </w:p>
    <w:p w:rsidR="00DD6EEC" w:rsidRDefault="00DD6EEC" w:rsidP="00DD6EEC">
      <w:pPr>
        <w:pStyle w:val="Default"/>
      </w:pPr>
      <w:r w:rsidRPr="00143457">
        <w:rPr>
          <w:u w:val="single"/>
        </w:rPr>
        <w:t>Step 4:  Add Sample to Meet Reliability Standards</w:t>
      </w:r>
      <w:r>
        <w:t>.  W</w:t>
      </w:r>
      <w:r w:rsidRPr="00BF74E5">
        <w:t>eighted multiple regressions</w:t>
      </w:r>
      <w:r>
        <w:t>,</w:t>
      </w:r>
      <w:r w:rsidRPr="00BF74E5">
        <w:t xml:space="preserve"> identical to those currently employed in the Form EIA-9</w:t>
      </w:r>
      <w:r>
        <w:t>23</w:t>
      </w:r>
      <w:r w:rsidRPr="00BF74E5">
        <w:t xml:space="preserve"> imputation system</w:t>
      </w:r>
      <w:r>
        <w:t>,</w:t>
      </w:r>
      <w:r w:rsidRPr="00BF74E5">
        <w:t xml:space="preserve"> </w:t>
      </w:r>
      <w:r>
        <w:t>were</w:t>
      </w:r>
      <w:r w:rsidRPr="00BF74E5">
        <w:t xml:space="preserve"> run</w:t>
      </w:r>
      <w:r>
        <w:t>,</w:t>
      </w:r>
      <w:r w:rsidRPr="00BF74E5">
        <w:t xml:space="preserve"> and </w:t>
      </w:r>
      <w:r>
        <w:t>relative standard error (</w:t>
      </w:r>
      <w:r w:rsidRPr="00BF74E5">
        <w:t>RSE</w:t>
      </w:r>
      <w:r>
        <w:t xml:space="preserve"> or CV)</w:t>
      </w:r>
      <w:r w:rsidRPr="00BF74E5">
        <w:t xml:space="preserve"> estimates </w:t>
      </w:r>
      <w:r>
        <w:t>were</w:t>
      </w:r>
      <w:r w:rsidRPr="00BF74E5">
        <w:t xml:space="preserve"> calculated for each publication group by month.  </w:t>
      </w:r>
      <w:r>
        <w:t xml:space="preserve">An </w:t>
      </w:r>
      <w:r>
        <w:lastRenderedPageBreak/>
        <w:t xml:space="preserve">additional diagnostic measure, the relative standard error for a </w:t>
      </w:r>
      <w:proofErr w:type="spellStart"/>
      <w:r>
        <w:t>superpopulation</w:t>
      </w:r>
      <w:proofErr w:type="spellEnd"/>
      <w:r>
        <w:t xml:space="preserve"> (RSESP) was calculated to indicate the adequacy of the regression model fit.  </w:t>
      </w:r>
      <w:r w:rsidRPr="00BF74E5">
        <w:t xml:space="preserve">Limits for both measures </w:t>
      </w:r>
      <w:r>
        <w:t>(RSE and RSESP) were</w:t>
      </w:r>
      <w:r w:rsidRPr="00BF74E5">
        <w:t xml:space="preserve"> set individually f</w:t>
      </w:r>
      <w:r>
        <w:t>or each facility classification</w:t>
      </w:r>
      <w:r w:rsidRPr="00BF74E5">
        <w:t xml:space="preserve"> and applied to all energy sources for the </w:t>
      </w:r>
      <w:smartTag w:uri="urn:schemas-microsoft-com:office:smarttags" w:element="country-region">
        <w:smartTag w:uri="urn:schemas-microsoft-com:office:smarttags" w:element="place">
          <w:r w:rsidRPr="00BF74E5">
            <w:t>U.S.</w:t>
          </w:r>
        </w:smartTag>
      </w:smartTag>
      <w:r w:rsidRPr="00BF74E5">
        <w:t xml:space="preserve"> total for each classification.</w:t>
      </w:r>
    </w:p>
    <w:p w:rsidR="00DD6EEC" w:rsidRDefault="00DD6EEC" w:rsidP="00DD6EEC">
      <w:pPr>
        <w:ind w:right="-540"/>
        <w:rPr>
          <w:sz w:val="24"/>
          <w:szCs w:val="24"/>
        </w:rPr>
      </w:pPr>
    </w:p>
    <w:p w:rsidR="00DD6EEC" w:rsidRPr="00BF74E5" w:rsidRDefault="00DD6EEC" w:rsidP="00DD6EEC">
      <w:pPr>
        <w:ind w:right="-540"/>
        <w:rPr>
          <w:sz w:val="24"/>
          <w:szCs w:val="24"/>
        </w:rPr>
      </w:pPr>
      <w:r>
        <w:rPr>
          <w:sz w:val="24"/>
          <w:szCs w:val="24"/>
        </w:rPr>
        <w:t>I</w:t>
      </w:r>
      <w:r w:rsidRPr="00BF74E5">
        <w:rPr>
          <w:sz w:val="24"/>
          <w:szCs w:val="24"/>
        </w:rPr>
        <w:t xml:space="preserve">f </w:t>
      </w:r>
      <w:r>
        <w:rPr>
          <w:sz w:val="24"/>
          <w:szCs w:val="24"/>
        </w:rPr>
        <w:t>one or both of the error measures fell</w:t>
      </w:r>
      <w:r w:rsidRPr="00BF74E5">
        <w:rPr>
          <w:sz w:val="24"/>
          <w:szCs w:val="24"/>
        </w:rPr>
        <w:t xml:space="preserve"> outside of the limits, the next largest facilities</w:t>
      </w:r>
      <w:r>
        <w:rPr>
          <w:sz w:val="24"/>
          <w:szCs w:val="24"/>
        </w:rPr>
        <w:t>,</w:t>
      </w:r>
      <w:r w:rsidRPr="00BF74E5">
        <w:rPr>
          <w:sz w:val="24"/>
          <w:szCs w:val="24"/>
        </w:rPr>
        <w:t xml:space="preserve"> ranked by gross generation</w:t>
      </w:r>
      <w:r>
        <w:rPr>
          <w:sz w:val="24"/>
          <w:szCs w:val="24"/>
        </w:rPr>
        <w:t>,</w:t>
      </w:r>
      <w:r w:rsidRPr="00BF74E5">
        <w:rPr>
          <w:sz w:val="24"/>
          <w:szCs w:val="24"/>
        </w:rPr>
        <w:t xml:space="preserve"> </w:t>
      </w:r>
      <w:r>
        <w:rPr>
          <w:sz w:val="24"/>
          <w:szCs w:val="24"/>
        </w:rPr>
        <w:t>were</w:t>
      </w:r>
      <w:r w:rsidRPr="00BF74E5">
        <w:rPr>
          <w:sz w:val="24"/>
          <w:szCs w:val="24"/>
        </w:rPr>
        <w:t xml:space="preserve"> include</w:t>
      </w:r>
      <w:r>
        <w:rPr>
          <w:sz w:val="24"/>
          <w:szCs w:val="24"/>
        </w:rPr>
        <w:t>d</w:t>
      </w:r>
      <w:r w:rsidRPr="00BF74E5">
        <w:rPr>
          <w:sz w:val="24"/>
          <w:szCs w:val="24"/>
        </w:rPr>
        <w:t xml:space="preserve"> until the RSE/RSESP's </w:t>
      </w:r>
      <w:r>
        <w:rPr>
          <w:sz w:val="24"/>
          <w:szCs w:val="24"/>
        </w:rPr>
        <w:t>were</w:t>
      </w:r>
      <w:r w:rsidRPr="00BF74E5">
        <w:rPr>
          <w:sz w:val="24"/>
          <w:szCs w:val="24"/>
        </w:rPr>
        <w:t xml:space="preserve"> brought into a reasonable range.  It is important to note that if only the RSESP estimate </w:t>
      </w:r>
      <w:r>
        <w:rPr>
          <w:sz w:val="24"/>
          <w:szCs w:val="24"/>
        </w:rPr>
        <w:t>was</w:t>
      </w:r>
      <w:r w:rsidRPr="00BF74E5">
        <w:rPr>
          <w:sz w:val="24"/>
          <w:szCs w:val="24"/>
        </w:rPr>
        <w:t xml:space="preserve"> out of range, then it </w:t>
      </w:r>
      <w:r>
        <w:rPr>
          <w:sz w:val="24"/>
          <w:szCs w:val="24"/>
        </w:rPr>
        <w:t>was</w:t>
      </w:r>
      <w:r w:rsidRPr="00BF74E5">
        <w:rPr>
          <w:sz w:val="24"/>
          <w:szCs w:val="24"/>
        </w:rPr>
        <w:t xml:space="preserve"> difficult to lower the estimate</w:t>
      </w:r>
      <w:r>
        <w:rPr>
          <w:sz w:val="24"/>
          <w:szCs w:val="24"/>
        </w:rPr>
        <w:t xml:space="preserve"> of RSESP </w:t>
      </w:r>
      <w:r w:rsidRPr="00BF74E5">
        <w:rPr>
          <w:sz w:val="24"/>
          <w:szCs w:val="24"/>
        </w:rPr>
        <w:t>based on sampling alone.  In these cases</w:t>
      </w:r>
      <w:r>
        <w:rPr>
          <w:sz w:val="24"/>
          <w:szCs w:val="24"/>
        </w:rPr>
        <w:t>,</w:t>
      </w:r>
      <w:r w:rsidRPr="00BF74E5">
        <w:rPr>
          <w:sz w:val="24"/>
          <w:szCs w:val="24"/>
        </w:rPr>
        <w:t xml:space="preserve"> a change in modeling may be necessary.  The RSE/RSESP data quality limits are outlined below.  </w:t>
      </w:r>
    </w:p>
    <w:p w:rsidR="00DD6EEC" w:rsidRPr="00BF74E5" w:rsidRDefault="00DD6EEC" w:rsidP="00DD6EEC">
      <w:pPr>
        <w:ind w:right="-540"/>
        <w:rPr>
          <w:sz w:val="24"/>
          <w:szCs w:val="24"/>
        </w:rPr>
      </w:pPr>
    </w:p>
    <w:p w:rsidR="00DD6EEC" w:rsidRPr="00655559" w:rsidRDefault="00DD6EEC" w:rsidP="00DD6EEC">
      <w:pPr>
        <w:numPr>
          <w:ilvl w:val="0"/>
          <w:numId w:val="10"/>
        </w:numPr>
        <w:spacing w:after="0" w:line="240" w:lineRule="auto"/>
        <w:ind w:right="-540"/>
        <w:rPr>
          <w:sz w:val="24"/>
          <w:szCs w:val="24"/>
        </w:rPr>
      </w:pPr>
      <w:r w:rsidRPr="00655559">
        <w:rPr>
          <w:sz w:val="24"/>
          <w:szCs w:val="24"/>
        </w:rPr>
        <w:t xml:space="preserve">Electric </w:t>
      </w:r>
      <w:r>
        <w:rPr>
          <w:sz w:val="24"/>
          <w:szCs w:val="24"/>
        </w:rPr>
        <w:t>u</w:t>
      </w:r>
      <w:r w:rsidRPr="00655559">
        <w:rPr>
          <w:sz w:val="24"/>
          <w:szCs w:val="24"/>
        </w:rPr>
        <w:t>tilities – RSE less than 5</w:t>
      </w:r>
      <w:r>
        <w:rPr>
          <w:sz w:val="24"/>
          <w:szCs w:val="24"/>
        </w:rPr>
        <w:t xml:space="preserve"> percent</w:t>
      </w:r>
      <w:r w:rsidRPr="00655559">
        <w:rPr>
          <w:sz w:val="24"/>
          <w:szCs w:val="24"/>
        </w:rPr>
        <w:t xml:space="preserve"> and RSESP less than 20</w:t>
      </w:r>
      <w:r>
        <w:rPr>
          <w:sz w:val="24"/>
          <w:szCs w:val="24"/>
        </w:rPr>
        <w:t xml:space="preserve"> percent</w:t>
      </w:r>
    </w:p>
    <w:p w:rsidR="00DD6EEC" w:rsidRPr="00655559" w:rsidRDefault="00DD6EEC" w:rsidP="00DD6EEC">
      <w:pPr>
        <w:numPr>
          <w:ilvl w:val="0"/>
          <w:numId w:val="10"/>
        </w:numPr>
        <w:spacing w:after="0" w:line="240" w:lineRule="auto"/>
        <w:ind w:right="-540"/>
        <w:rPr>
          <w:sz w:val="24"/>
          <w:szCs w:val="24"/>
        </w:rPr>
      </w:pPr>
      <w:r w:rsidRPr="00655559">
        <w:rPr>
          <w:sz w:val="24"/>
          <w:szCs w:val="24"/>
        </w:rPr>
        <w:t xml:space="preserve">Independent </w:t>
      </w:r>
      <w:r>
        <w:rPr>
          <w:sz w:val="24"/>
          <w:szCs w:val="24"/>
        </w:rPr>
        <w:t>p</w:t>
      </w:r>
      <w:r w:rsidRPr="00655559">
        <w:rPr>
          <w:sz w:val="24"/>
          <w:szCs w:val="24"/>
        </w:rPr>
        <w:t xml:space="preserve">ower </w:t>
      </w:r>
      <w:r>
        <w:rPr>
          <w:sz w:val="24"/>
          <w:szCs w:val="24"/>
        </w:rPr>
        <w:t>p</w:t>
      </w:r>
      <w:r w:rsidRPr="00655559">
        <w:rPr>
          <w:sz w:val="24"/>
          <w:szCs w:val="24"/>
        </w:rPr>
        <w:t>roducers – RSE less than 5</w:t>
      </w:r>
      <w:r>
        <w:rPr>
          <w:sz w:val="24"/>
          <w:szCs w:val="24"/>
        </w:rPr>
        <w:t xml:space="preserve"> percent</w:t>
      </w:r>
      <w:r w:rsidRPr="00655559">
        <w:rPr>
          <w:sz w:val="24"/>
          <w:szCs w:val="24"/>
        </w:rPr>
        <w:t xml:space="preserve"> and RSESP less than 20</w:t>
      </w:r>
      <w:r>
        <w:rPr>
          <w:sz w:val="24"/>
          <w:szCs w:val="24"/>
        </w:rPr>
        <w:t xml:space="preserve">     percent</w:t>
      </w:r>
    </w:p>
    <w:p w:rsidR="00DD6EEC" w:rsidRPr="00655559" w:rsidRDefault="00DD6EEC" w:rsidP="00DD6EEC">
      <w:pPr>
        <w:numPr>
          <w:ilvl w:val="0"/>
          <w:numId w:val="10"/>
        </w:numPr>
        <w:spacing w:after="0" w:line="240" w:lineRule="auto"/>
        <w:ind w:right="-540"/>
        <w:rPr>
          <w:sz w:val="24"/>
          <w:szCs w:val="24"/>
        </w:rPr>
      </w:pPr>
      <w:r w:rsidRPr="00655559">
        <w:rPr>
          <w:sz w:val="24"/>
          <w:szCs w:val="24"/>
        </w:rPr>
        <w:t xml:space="preserve">Commercial </w:t>
      </w:r>
      <w:r>
        <w:rPr>
          <w:sz w:val="24"/>
          <w:szCs w:val="24"/>
        </w:rPr>
        <w:t>f</w:t>
      </w:r>
      <w:r w:rsidRPr="00655559">
        <w:rPr>
          <w:sz w:val="24"/>
          <w:szCs w:val="24"/>
        </w:rPr>
        <w:t>acilities – RSE less than 10</w:t>
      </w:r>
      <w:r>
        <w:rPr>
          <w:sz w:val="24"/>
          <w:szCs w:val="24"/>
        </w:rPr>
        <w:t xml:space="preserve"> percent</w:t>
      </w:r>
      <w:r w:rsidRPr="00655559">
        <w:rPr>
          <w:sz w:val="24"/>
          <w:szCs w:val="24"/>
        </w:rPr>
        <w:t xml:space="preserve"> and RSESP less than 30</w:t>
      </w:r>
      <w:r>
        <w:rPr>
          <w:sz w:val="24"/>
          <w:szCs w:val="24"/>
        </w:rPr>
        <w:t xml:space="preserve"> percent</w:t>
      </w:r>
    </w:p>
    <w:p w:rsidR="00DD6EEC" w:rsidRPr="00655559" w:rsidRDefault="00DD6EEC" w:rsidP="00DD6EEC">
      <w:pPr>
        <w:numPr>
          <w:ilvl w:val="0"/>
          <w:numId w:val="10"/>
        </w:numPr>
        <w:spacing w:after="0" w:line="240" w:lineRule="auto"/>
        <w:ind w:right="-540"/>
        <w:rPr>
          <w:sz w:val="24"/>
          <w:szCs w:val="24"/>
        </w:rPr>
      </w:pPr>
      <w:r w:rsidRPr="00655559">
        <w:rPr>
          <w:sz w:val="24"/>
          <w:szCs w:val="24"/>
        </w:rPr>
        <w:t xml:space="preserve">Industrial </w:t>
      </w:r>
      <w:r>
        <w:rPr>
          <w:sz w:val="24"/>
          <w:szCs w:val="24"/>
        </w:rPr>
        <w:t>f</w:t>
      </w:r>
      <w:r w:rsidRPr="00655559">
        <w:rPr>
          <w:sz w:val="24"/>
          <w:szCs w:val="24"/>
        </w:rPr>
        <w:t>acilities – RSE less than 10</w:t>
      </w:r>
      <w:r>
        <w:rPr>
          <w:sz w:val="24"/>
          <w:szCs w:val="24"/>
        </w:rPr>
        <w:t xml:space="preserve"> percent</w:t>
      </w:r>
      <w:r w:rsidRPr="00655559">
        <w:rPr>
          <w:sz w:val="24"/>
          <w:szCs w:val="24"/>
        </w:rPr>
        <w:t xml:space="preserve"> and RSESP less than 30</w:t>
      </w:r>
      <w:r>
        <w:rPr>
          <w:sz w:val="24"/>
          <w:szCs w:val="24"/>
        </w:rPr>
        <w:t xml:space="preserve"> percent.</w:t>
      </w:r>
    </w:p>
    <w:p w:rsidR="00DD6EEC" w:rsidRPr="00655559" w:rsidRDefault="00DD6EEC" w:rsidP="00DD6EEC">
      <w:pPr>
        <w:ind w:right="-540"/>
        <w:rPr>
          <w:sz w:val="24"/>
          <w:szCs w:val="24"/>
        </w:rPr>
      </w:pPr>
      <w:r>
        <w:rPr>
          <w:sz w:val="24"/>
          <w:szCs w:val="24"/>
        </w:rPr>
        <w:t xml:space="preserve"> </w:t>
      </w:r>
    </w:p>
    <w:p w:rsidR="00DD6EEC" w:rsidRDefault="00DD6EEC" w:rsidP="00DD6EEC">
      <w:pPr>
        <w:ind w:right="-540"/>
        <w:rPr>
          <w:b/>
          <w:sz w:val="24"/>
          <w:szCs w:val="24"/>
          <w:u w:val="single"/>
        </w:rPr>
      </w:pPr>
      <w:r w:rsidRPr="00775F9A">
        <w:rPr>
          <w:sz w:val="24"/>
          <w:szCs w:val="24"/>
          <w:u w:val="single"/>
        </w:rPr>
        <w:t>Step 5:  Add Special Cases</w:t>
      </w:r>
      <w:r>
        <w:rPr>
          <w:sz w:val="24"/>
          <w:szCs w:val="24"/>
          <w:u w:val="single"/>
        </w:rPr>
        <w:t>.</w:t>
      </w:r>
      <w:r>
        <w:rPr>
          <w:sz w:val="24"/>
          <w:szCs w:val="24"/>
        </w:rPr>
        <w:t xml:space="preserve">  </w:t>
      </w:r>
      <w:r w:rsidRPr="00655559">
        <w:rPr>
          <w:sz w:val="24"/>
          <w:szCs w:val="24"/>
        </w:rPr>
        <w:t>Fi</w:t>
      </w:r>
      <w:r>
        <w:rPr>
          <w:sz w:val="24"/>
          <w:szCs w:val="24"/>
        </w:rPr>
        <w:t>nally</w:t>
      </w:r>
      <w:r w:rsidRPr="00655559">
        <w:rPr>
          <w:sz w:val="24"/>
          <w:szCs w:val="24"/>
        </w:rPr>
        <w:t xml:space="preserve">, additional facilities </w:t>
      </w:r>
      <w:r>
        <w:rPr>
          <w:sz w:val="24"/>
          <w:szCs w:val="24"/>
        </w:rPr>
        <w:t>were</w:t>
      </w:r>
      <w:r w:rsidRPr="00655559">
        <w:rPr>
          <w:sz w:val="24"/>
          <w:szCs w:val="24"/>
        </w:rPr>
        <w:t xml:space="preserve"> added to the sample as necessary.  These include storage</w:t>
      </w:r>
      <w:r>
        <w:rPr>
          <w:sz w:val="24"/>
          <w:szCs w:val="24"/>
        </w:rPr>
        <w:t>-only</w:t>
      </w:r>
      <w:r w:rsidRPr="00655559">
        <w:rPr>
          <w:sz w:val="24"/>
          <w:szCs w:val="24"/>
        </w:rPr>
        <w:t xml:space="preserve"> facilities</w:t>
      </w:r>
      <w:r>
        <w:rPr>
          <w:sz w:val="24"/>
          <w:szCs w:val="24"/>
        </w:rPr>
        <w:t xml:space="preserve"> (used in estimating stocks); </w:t>
      </w:r>
      <w:r w:rsidRPr="00655559">
        <w:rPr>
          <w:sz w:val="24"/>
          <w:szCs w:val="24"/>
        </w:rPr>
        <w:t xml:space="preserve">new facilities </w:t>
      </w:r>
      <w:r>
        <w:rPr>
          <w:sz w:val="24"/>
          <w:szCs w:val="24"/>
        </w:rPr>
        <w:t>for which the EIA has no</w:t>
      </w:r>
      <w:r w:rsidRPr="00655559">
        <w:rPr>
          <w:sz w:val="24"/>
          <w:szCs w:val="24"/>
        </w:rPr>
        <w:t xml:space="preserve"> </w:t>
      </w:r>
      <w:r>
        <w:rPr>
          <w:sz w:val="24"/>
          <w:szCs w:val="24"/>
        </w:rPr>
        <w:t xml:space="preserve">prior-year’s annual data for use in </w:t>
      </w:r>
      <w:r w:rsidRPr="00655559">
        <w:rPr>
          <w:sz w:val="24"/>
          <w:szCs w:val="24"/>
        </w:rPr>
        <w:t>regress</w:t>
      </w:r>
      <w:r>
        <w:rPr>
          <w:sz w:val="24"/>
          <w:szCs w:val="24"/>
        </w:rPr>
        <w:t>ion imputation;</w:t>
      </w:r>
      <w:r w:rsidRPr="00655559">
        <w:rPr>
          <w:sz w:val="24"/>
          <w:szCs w:val="24"/>
        </w:rPr>
        <w:t xml:space="preserve"> and any large, easy to </w:t>
      </w:r>
      <w:r>
        <w:rPr>
          <w:sz w:val="24"/>
          <w:szCs w:val="24"/>
        </w:rPr>
        <w:t>survey</w:t>
      </w:r>
      <w:r w:rsidRPr="00655559">
        <w:rPr>
          <w:sz w:val="24"/>
          <w:szCs w:val="24"/>
        </w:rPr>
        <w:t xml:space="preserve"> facilities w</w:t>
      </w:r>
      <w:r>
        <w:rPr>
          <w:sz w:val="24"/>
          <w:szCs w:val="24"/>
        </w:rPr>
        <w:t>hich the survey staff identified</w:t>
      </w:r>
      <w:r w:rsidRPr="00655559">
        <w:rPr>
          <w:sz w:val="24"/>
          <w:szCs w:val="24"/>
        </w:rPr>
        <w:t xml:space="preserve"> as being desirable in the sample.</w:t>
      </w:r>
    </w:p>
    <w:p w:rsidR="00DD6EEC" w:rsidRDefault="00DD6EEC" w:rsidP="00DD6EEC">
      <w:pPr>
        <w:ind w:right="-540"/>
        <w:rPr>
          <w:b/>
          <w:sz w:val="24"/>
          <w:szCs w:val="24"/>
          <w:u w:val="single"/>
        </w:rPr>
      </w:pPr>
    </w:p>
    <w:p w:rsidR="00DD6EEC" w:rsidRDefault="00DD6EEC" w:rsidP="00DD6EEC">
      <w:pPr>
        <w:ind w:right="-540"/>
        <w:rPr>
          <w:b/>
          <w:sz w:val="24"/>
          <w:szCs w:val="24"/>
          <w:u w:val="single"/>
        </w:rPr>
      </w:pPr>
      <w:r>
        <w:rPr>
          <w:sz w:val="24"/>
          <w:szCs w:val="24"/>
        </w:rPr>
        <w:t>Table 11 shows the sample coverage by facility type and Table 12 shows the sample coverage by energy source.</w:t>
      </w:r>
    </w:p>
    <w:p w:rsidR="00DD6EEC" w:rsidRDefault="00DD6EEC" w:rsidP="00DD6EEC">
      <w:pPr>
        <w:ind w:right="-540"/>
        <w:rPr>
          <w:b/>
          <w:sz w:val="24"/>
          <w:szCs w:val="24"/>
          <w:u w:val="single"/>
        </w:rPr>
      </w:pPr>
    </w:p>
    <w:p w:rsidR="00DD6EEC" w:rsidRDefault="00DD6EEC" w:rsidP="00DD6EEC">
      <w:pPr>
        <w:ind w:right="-540"/>
        <w:rPr>
          <w:b/>
          <w:sz w:val="24"/>
          <w:szCs w:val="24"/>
        </w:rPr>
      </w:pPr>
      <w:proofErr w:type="gramStart"/>
      <w:r w:rsidRPr="00655559">
        <w:rPr>
          <w:b/>
          <w:sz w:val="24"/>
          <w:szCs w:val="24"/>
        </w:rPr>
        <w:t xml:space="preserve">Table </w:t>
      </w:r>
      <w:r>
        <w:rPr>
          <w:b/>
          <w:sz w:val="24"/>
          <w:szCs w:val="24"/>
        </w:rPr>
        <w:t>1</w:t>
      </w:r>
      <w:r w:rsidRPr="00655559">
        <w:rPr>
          <w:b/>
          <w:sz w:val="24"/>
          <w:szCs w:val="24"/>
        </w:rPr>
        <w:t>1</w:t>
      </w:r>
      <w:r>
        <w:rPr>
          <w:b/>
          <w:sz w:val="24"/>
          <w:szCs w:val="24"/>
        </w:rPr>
        <w:t>.</w:t>
      </w:r>
      <w:proofErr w:type="gramEnd"/>
      <w:r>
        <w:rPr>
          <w:b/>
          <w:sz w:val="24"/>
          <w:szCs w:val="24"/>
        </w:rPr>
        <w:t xml:space="preserve"> Form EIA-923 Sample Coverage by Facility Type</w:t>
      </w:r>
    </w:p>
    <w:tbl>
      <w:tblPr>
        <w:tblW w:w="7128" w:type="dxa"/>
        <w:shd w:val="clear" w:color="auto" w:fill="FFFFFF"/>
        <w:tblLook w:val="01E0"/>
      </w:tblPr>
      <w:tblGrid>
        <w:gridCol w:w="8411"/>
        <w:gridCol w:w="222"/>
        <w:gridCol w:w="222"/>
        <w:gridCol w:w="222"/>
        <w:gridCol w:w="222"/>
      </w:tblGrid>
      <w:tr w:rsidR="00DD6EEC" w:rsidRPr="00C40370" w:rsidTr="00DD6EEC">
        <w:trPr>
          <w:trHeight w:val="825"/>
        </w:trPr>
        <w:tc>
          <w:tcPr>
            <w:tcW w:w="2250" w:type="dxa"/>
            <w:vMerge w:val="restart"/>
            <w:shd w:val="clear" w:color="auto" w:fill="FFFFFF"/>
          </w:tcPr>
          <w:tbl>
            <w:tblPr>
              <w:tblW w:w="81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4A0"/>
            </w:tblPr>
            <w:tblGrid>
              <w:gridCol w:w="3145"/>
              <w:gridCol w:w="1350"/>
              <w:gridCol w:w="1260"/>
              <w:gridCol w:w="1170"/>
              <w:gridCol w:w="1260"/>
            </w:tblGrid>
            <w:tr w:rsidR="00DD6EEC" w:rsidRPr="00C40370" w:rsidTr="00DD6EEC">
              <w:trPr>
                <w:trHeight w:val="647"/>
              </w:trPr>
              <w:tc>
                <w:tcPr>
                  <w:tcW w:w="4495" w:type="dxa"/>
                  <w:gridSpan w:val="2"/>
                  <w:shd w:val="clear" w:color="auto" w:fill="DDD9C3"/>
                  <w:vAlign w:val="center"/>
                </w:tcPr>
                <w:p w:rsidR="00DD6EEC" w:rsidRPr="00C40370" w:rsidRDefault="00DD6EEC" w:rsidP="00DD6EEC">
                  <w:pPr>
                    <w:ind w:right="-540"/>
                    <w:rPr>
                      <w:b/>
                      <w:sz w:val="24"/>
                      <w:szCs w:val="24"/>
                    </w:rPr>
                  </w:pPr>
                </w:p>
              </w:tc>
              <w:tc>
                <w:tcPr>
                  <w:tcW w:w="3690" w:type="dxa"/>
                  <w:gridSpan w:val="3"/>
                  <w:shd w:val="clear" w:color="auto" w:fill="DDD9C3"/>
                  <w:vAlign w:val="center"/>
                </w:tcPr>
                <w:p w:rsidR="00DD6EEC" w:rsidRPr="00C40370" w:rsidRDefault="00DD6EEC" w:rsidP="00DD6EEC">
                  <w:pPr>
                    <w:ind w:right="-540"/>
                    <w:jc w:val="center"/>
                    <w:rPr>
                      <w:b/>
                      <w:sz w:val="24"/>
                      <w:szCs w:val="24"/>
                    </w:rPr>
                  </w:pPr>
                  <w:r w:rsidRPr="00C40370">
                    <w:rPr>
                      <w:b/>
                      <w:sz w:val="24"/>
                      <w:szCs w:val="24"/>
                    </w:rPr>
                    <w:t>2011 Sample</w:t>
                  </w:r>
                </w:p>
              </w:tc>
            </w:tr>
            <w:tr w:rsidR="00DD6EEC" w:rsidRPr="00C40370" w:rsidTr="00DD6EEC">
              <w:trPr>
                <w:trHeight w:val="998"/>
              </w:trPr>
              <w:tc>
                <w:tcPr>
                  <w:tcW w:w="3145" w:type="dxa"/>
                  <w:shd w:val="clear" w:color="auto" w:fill="DDD9C3"/>
                  <w:vAlign w:val="center"/>
                </w:tcPr>
                <w:p w:rsidR="00DD6EEC" w:rsidRPr="00C40370" w:rsidRDefault="00DD6EEC" w:rsidP="00DD6EEC">
                  <w:pPr>
                    <w:ind w:right="-540"/>
                    <w:rPr>
                      <w:b/>
                      <w:sz w:val="24"/>
                      <w:szCs w:val="24"/>
                    </w:rPr>
                  </w:pPr>
                  <w:r w:rsidRPr="00C40370">
                    <w:rPr>
                      <w:b/>
                      <w:sz w:val="24"/>
                      <w:szCs w:val="24"/>
                    </w:rPr>
                    <w:t>Facility</w:t>
                  </w:r>
                </w:p>
                <w:p w:rsidR="00DD6EEC" w:rsidRPr="00C40370" w:rsidRDefault="00DD6EEC" w:rsidP="00DD6EEC">
                  <w:pPr>
                    <w:ind w:right="-540"/>
                    <w:rPr>
                      <w:b/>
                      <w:sz w:val="24"/>
                      <w:szCs w:val="24"/>
                    </w:rPr>
                  </w:pPr>
                  <w:r w:rsidRPr="00C40370">
                    <w:rPr>
                      <w:b/>
                      <w:sz w:val="24"/>
                      <w:szCs w:val="24"/>
                    </w:rPr>
                    <w:t>Type</w:t>
                  </w:r>
                </w:p>
              </w:tc>
              <w:tc>
                <w:tcPr>
                  <w:tcW w:w="1350" w:type="dxa"/>
                  <w:shd w:val="clear" w:color="auto" w:fill="DDD9C3"/>
                  <w:vAlign w:val="center"/>
                </w:tcPr>
                <w:p w:rsidR="00DD6EEC" w:rsidRPr="00C40370" w:rsidRDefault="00DD6EEC" w:rsidP="00DD6EEC">
                  <w:pPr>
                    <w:ind w:right="-540"/>
                    <w:rPr>
                      <w:b/>
                      <w:sz w:val="24"/>
                      <w:szCs w:val="24"/>
                    </w:rPr>
                  </w:pPr>
                  <w:r w:rsidRPr="00C40370">
                    <w:rPr>
                      <w:b/>
                      <w:sz w:val="24"/>
                      <w:szCs w:val="24"/>
                    </w:rPr>
                    <w:t>Total</w:t>
                  </w:r>
                </w:p>
                <w:p w:rsidR="00DD6EEC" w:rsidRPr="00C40370" w:rsidRDefault="00DD6EEC" w:rsidP="00DD6EEC">
                  <w:pPr>
                    <w:ind w:right="-540"/>
                    <w:rPr>
                      <w:b/>
                      <w:sz w:val="24"/>
                      <w:szCs w:val="24"/>
                    </w:rPr>
                  </w:pPr>
                  <w:r w:rsidRPr="00C40370">
                    <w:rPr>
                      <w:b/>
                      <w:sz w:val="24"/>
                      <w:szCs w:val="24"/>
                    </w:rPr>
                    <w:t>Count</w:t>
                  </w:r>
                </w:p>
              </w:tc>
              <w:tc>
                <w:tcPr>
                  <w:tcW w:w="1260" w:type="dxa"/>
                  <w:shd w:val="clear" w:color="auto" w:fill="DDD9C3"/>
                  <w:vAlign w:val="center"/>
                </w:tcPr>
                <w:p w:rsidR="00DD6EEC" w:rsidRPr="00C40370" w:rsidRDefault="00DD6EEC" w:rsidP="00DD6EEC">
                  <w:pPr>
                    <w:ind w:right="-540"/>
                    <w:rPr>
                      <w:b/>
                      <w:sz w:val="24"/>
                      <w:szCs w:val="24"/>
                    </w:rPr>
                  </w:pPr>
                  <w:r w:rsidRPr="00C40370">
                    <w:rPr>
                      <w:b/>
                      <w:sz w:val="24"/>
                      <w:szCs w:val="24"/>
                    </w:rPr>
                    <w:t>Count</w:t>
                  </w:r>
                </w:p>
              </w:tc>
              <w:tc>
                <w:tcPr>
                  <w:tcW w:w="1170" w:type="dxa"/>
                  <w:shd w:val="clear" w:color="auto" w:fill="DDD9C3"/>
                  <w:vAlign w:val="center"/>
                </w:tcPr>
                <w:p w:rsidR="00DD6EEC" w:rsidRPr="00C40370" w:rsidRDefault="00DD6EEC" w:rsidP="00DD6EEC">
                  <w:pPr>
                    <w:tabs>
                      <w:tab w:val="left" w:pos="330"/>
                    </w:tabs>
                    <w:ind w:right="-540"/>
                    <w:rPr>
                      <w:b/>
                      <w:sz w:val="24"/>
                      <w:szCs w:val="24"/>
                    </w:rPr>
                  </w:pPr>
                </w:p>
                <w:p w:rsidR="00DD6EEC" w:rsidRPr="00C40370" w:rsidRDefault="00DD6EEC" w:rsidP="00DD6EEC">
                  <w:pPr>
                    <w:tabs>
                      <w:tab w:val="left" w:pos="330"/>
                    </w:tabs>
                    <w:ind w:right="-540"/>
                    <w:rPr>
                      <w:b/>
                      <w:sz w:val="24"/>
                      <w:szCs w:val="24"/>
                    </w:rPr>
                  </w:pPr>
                  <w:r w:rsidRPr="00C40370">
                    <w:rPr>
                      <w:b/>
                      <w:sz w:val="24"/>
                      <w:szCs w:val="24"/>
                    </w:rPr>
                    <w:t>Percent</w:t>
                  </w:r>
                </w:p>
                <w:p w:rsidR="00DD6EEC" w:rsidRPr="00C40370" w:rsidRDefault="00DD6EEC" w:rsidP="00DD6EEC">
                  <w:pPr>
                    <w:tabs>
                      <w:tab w:val="left" w:pos="330"/>
                    </w:tabs>
                    <w:ind w:right="-540"/>
                    <w:rPr>
                      <w:b/>
                      <w:sz w:val="24"/>
                      <w:szCs w:val="24"/>
                    </w:rPr>
                  </w:pPr>
                  <w:r w:rsidRPr="00C40370">
                    <w:rPr>
                      <w:b/>
                      <w:sz w:val="24"/>
                      <w:szCs w:val="24"/>
                    </w:rPr>
                    <w:t>By Count</w:t>
                  </w:r>
                </w:p>
                <w:p w:rsidR="00DD6EEC" w:rsidRPr="00C40370" w:rsidRDefault="00DD6EEC" w:rsidP="00DD6EEC">
                  <w:pPr>
                    <w:ind w:right="-540"/>
                    <w:rPr>
                      <w:b/>
                      <w:sz w:val="24"/>
                      <w:szCs w:val="24"/>
                    </w:rPr>
                  </w:pPr>
                </w:p>
              </w:tc>
              <w:tc>
                <w:tcPr>
                  <w:tcW w:w="1260" w:type="dxa"/>
                  <w:shd w:val="clear" w:color="auto" w:fill="DDD9C3"/>
                  <w:vAlign w:val="center"/>
                </w:tcPr>
                <w:p w:rsidR="00DD6EEC" w:rsidRPr="00C40370" w:rsidRDefault="00DD6EEC" w:rsidP="00DD6EEC">
                  <w:pPr>
                    <w:tabs>
                      <w:tab w:val="left" w:pos="330"/>
                    </w:tabs>
                    <w:ind w:right="-540"/>
                    <w:rPr>
                      <w:b/>
                      <w:sz w:val="24"/>
                      <w:szCs w:val="24"/>
                    </w:rPr>
                  </w:pPr>
                </w:p>
                <w:p w:rsidR="00DD6EEC" w:rsidRPr="00C40370" w:rsidRDefault="00DD6EEC" w:rsidP="00DD6EEC">
                  <w:pPr>
                    <w:tabs>
                      <w:tab w:val="left" w:pos="330"/>
                    </w:tabs>
                    <w:ind w:right="-540"/>
                    <w:rPr>
                      <w:b/>
                      <w:sz w:val="24"/>
                      <w:szCs w:val="24"/>
                    </w:rPr>
                  </w:pPr>
                  <w:r w:rsidRPr="00C40370">
                    <w:rPr>
                      <w:b/>
                      <w:sz w:val="24"/>
                      <w:szCs w:val="24"/>
                    </w:rPr>
                    <w:t>Percent</w:t>
                  </w:r>
                </w:p>
                <w:p w:rsidR="00DD6EEC" w:rsidRPr="00C40370" w:rsidRDefault="00DD6EEC" w:rsidP="00DD6EEC">
                  <w:pPr>
                    <w:tabs>
                      <w:tab w:val="left" w:pos="330"/>
                    </w:tabs>
                    <w:ind w:right="-540"/>
                    <w:rPr>
                      <w:b/>
                      <w:sz w:val="24"/>
                      <w:szCs w:val="24"/>
                    </w:rPr>
                  </w:pPr>
                  <w:r w:rsidRPr="00C40370">
                    <w:rPr>
                      <w:b/>
                      <w:sz w:val="24"/>
                      <w:szCs w:val="24"/>
                    </w:rPr>
                    <w:t>By Volume</w:t>
                  </w:r>
                </w:p>
                <w:p w:rsidR="00DD6EEC" w:rsidRPr="00C40370" w:rsidRDefault="00DD6EEC" w:rsidP="00DD6EEC">
                  <w:pPr>
                    <w:ind w:right="-540"/>
                    <w:rPr>
                      <w:b/>
                      <w:sz w:val="24"/>
                      <w:szCs w:val="24"/>
                    </w:rPr>
                  </w:pPr>
                </w:p>
              </w:tc>
            </w:tr>
            <w:tr w:rsidR="00DD6EEC" w:rsidRPr="00C40370" w:rsidTr="00DD6EEC">
              <w:trPr>
                <w:trHeight w:val="350"/>
              </w:trPr>
              <w:tc>
                <w:tcPr>
                  <w:tcW w:w="3145" w:type="dxa"/>
                  <w:shd w:val="clear" w:color="auto" w:fill="FFFFFF"/>
                  <w:vAlign w:val="center"/>
                </w:tcPr>
                <w:p w:rsidR="00DD6EEC" w:rsidRPr="00C40370" w:rsidRDefault="00DD6EEC" w:rsidP="00DD6EEC">
                  <w:pPr>
                    <w:ind w:right="-540"/>
                    <w:rPr>
                      <w:sz w:val="24"/>
                      <w:szCs w:val="24"/>
                    </w:rPr>
                  </w:pPr>
                  <w:r>
                    <w:rPr>
                      <w:sz w:val="24"/>
                      <w:szCs w:val="24"/>
                    </w:rPr>
                    <w:lastRenderedPageBreak/>
                    <w:t>Electric</w:t>
                  </w:r>
                  <w:r w:rsidRPr="00C40370">
                    <w:rPr>
                      <w:sz w:val="24"/>
                      <w:szCs w:val="24"/>
                    </w:rPr>
                    <w:t xml:space="preserve"> Utilities</w:t>
                  </w:r>
                </w:p>
                <w:p w:rsidR="00DD6EEC" w:rsidRPr="00C40370" w:rsidRDefault="00DD6EEC" w:rsidP="00DD6EEC">
                  <w:pPr>
                    <w:ind w:right="-540"/>
                    <w:rPr>
                      <w:sz w:val="24"/>
                      <w:szCs w:val="24"/>
                    </w:rPr>
                  </w:pPr>
                </w:p>
              </w:tc>
              <w:tc>
                <w:tcPr>
                  <w:tcW w:w="1350" w:type="dxa"/>
                  <w:shd w:val="clear" w:color="auto" w:fill="FFFFFF"/>
                  <w:vAlign w:val="center"/>
                </w:tcPr>
                <w:p w:rsidR="00DD6EEC" w:rsidRPr="00C40370" w:rsidRDefault="00DD6EEC" w:rsidP="00DD6EEC">
                  <w:pPr>
                    <w:ind w:right="-540"/>
                    <w:jc w:val="center"/>
                    <w:rPr>
                      <w:sz w:val="24"/>
                      <w:szCs w:val="24"/>
                    </w:rPr>
                  </w:pPr>
                  <w:r w:rsidRPr="00C40370">
                    <w:rPr>
                      <w:sz w:val="24"/>
                      <w:szCs w:val="24"/>
                    </w:rPr>
                    <w:t>2,649</w:t>
                  </w:r>
                </w:p>
              </w:tc>
              <w:tc>
                <w:tcPr>
                  <w:tcW w:w="1260" w:type="dxa"/>
                  <w:shd w:val="clear" w:color="auto" w:fill="FFFFFF"/>
                  <w:vAlign w:val="center"/>
                </w:tcPr>
                <w:p w:rsidR="00DD6EEC" w:rsidRPr="00C40370" w:rsidRDefault="00DD6EEC" w:rsidP="00DD6EEC">
                  <w:pPr>
                    <w:ind w:right="-540"/>
                    <w:jc w:val="center"/>
                    <w:rPr>
                      <w:sz w:val="24"/>
                      <w:szCs w:val="24"/>
                    </w:rPr>
                  </w:pPr>
                  <w:r w:rsidRPr="00C40370">
                    <w:rPr>
                      <w:sz w:val="24"/>
                      <w:szCs w:val="24"/>
                    </w:rPr>
                    <w:t>854</w:t>
                  </w:r>
                </w:p>
              </w:tc>
              <w:tc>
                <w:tcPr>
                  <w:tcW w:w="1170" w:type="dxa"/>
                  <w:shd w:val="clear" w:color="auto" w:fill="FFFFFF"/>
                  <w:vAlign w:val="center"/>
                </w:tcPr>
                <w:p w:rsidR="00DD6EEC" w:rsidRPr="00C40370" w:rsidRDefault="00DD6EEC" w:rsidP="00DD6EEC">
                  <w:pPr>
                    <w:ind w:right="-540"/>
                    <w:jc w:val="center"/>
                    <w:rPr>
                      <w:sz w:val="24"/>
                      <w:szCs w:val="24"/>
                    </w:rPr>
                  </w:pPr>
                  <w:r w:rsidRPr="00C40370">
                    <w:rPr>
                      <w:sz w:val="24"/>
                      <w:szCs w:val="24"/>
                    </w:rPr>
                    <w:t>32</w:t>
                  </w:r>
                </w:p>
              </w:tc>
              <w:tc>
                <w:tcPr>
                  <w:tcW w:w="1260" w:type="dxa"/>
                  <w:shd w:val="clear" w:color="auto" w:fill="FFFFFF"/>
                  <w:vAlign w:val="center"/>
                </w:tcPr>
                <w:p w:rsidR="00DD6EEC" w:rsidRPr="00C40370" w:rsidRDefault="00DD6EEC" w:rsidP="00DD6EEC">
                  <w:pPr>
                    <w:ind w:right="-540"/>
                    <w:jc w:val="center"/>
                    <w:rPr>
                      <w:sz w:val="24"/>
                      <w:szCs w:val="24"/>
                    </w:rPr>
                  </w:pPr>
                  <w:r w:rsidRPr="00C40370">
                    <w:rPr>
                      <w:sz w:val="24"/>
                      <w:szCs w:val="24"/>
                    </w:rPr>
                    <w:t>97</w:t>
                  </w:r>
                </w:p>
              </w:tc>
            </w:tr>
            <w:tr w:rsidR="00DD6EEC" w:rsidRPr="00C40370" w:rsidTr="00DD6EEC">
              <w:trPr>
                <w:trHeight w:val="144"/>
              </w:trPr>
              <w:tc>
                <w:tcPr>
                  <w:tcW w:w="3145" w:type="dxa"/>
                  <w:shd w:val="clear" w:color="auto" w:fill="FFFFFF"/>
                  <w:vAlign w:val="center"/>
                </w:tcPr>
                <w:p w:rsidR="00DD6EEC" w:rsidRPr="00C40370" w:rsidRDefault="00DD6EEC" w:rsidP="00DD6EEC">
                  <w:pPr>
                    <w:tabs>
                      <w:tab w:val="left" w:pos="645"/>
                    </w:tabs>
                    <w:ind w:right="-540"/>
                    <w:rPr>
                      <w:sz w:val="24"/>
                      <w:szCs w:val="24"/>
                    </w:rPr>
                  </w:pPr>
                  <w:r w:rsidRPr="00C40370">
                    <w:rPr>
                      <w:sz w:val="24"/>
                      <w:szCs w:val="24"/>
                    </w:rPr>
                    <w:t>Independent Power Producers</w:t>
                  </w:r>
                </w:p>
                <w:p w:rsidR="00DD6EEC" w:rsidRPr="00C40370" w:rsidRDefault="00DD6EEC" w:rsidP="00DD6EEC">
                  <w:pPr>
                    <w:tabs>
                      <w:tab w:val="left" w:pos="645"/>
                    </w:tabs>
                    <w:ind w:right="-540"/>
                    <w:rPr>
                      <w:sz w:val="24"/>
                      <w:szCs w:val="24"/>
                    </w:rPr>
                  </w:pPr>
                </w:p>
              </w:tc>
              <w:tc>
                <w:tcPr>
                  <w:tcW w:w="1350" w:type="dxa"/>
                  <w:shd w:val="clear" w:color="auto" w:fill="FFFFFF"/>
                  <w:vAlign w:val="center"/>
                </w:tcPr>
                <w:p w:rsidR="00DD6EEC" w:rsidRPr="00C40370" w:rsidRDefault="00DD6EEC" w:rsidP="00DD6EEC">
                  <w:pPr>
                    <w:ind w:right="-540"/>
                    <w:jc w:val="center"/>
                    <w:rPr>
                      <w:sz w:val="24"/>
                      <w:szCs w:val="24"/>
                    </w:rPr>
                  </w:pPr>
                  <w:r w:rsidRPr="00C40370">
                    <w:rPr>
                      <w:sz w:val="24"/>
                      <w:szCs w:val="24"/>
                    </w:rPr>
                    <w:t>2,170</w:t>
                  </w:r>
                </w:p>
              </w:tc>
              <w:tc>
                <w:tcPr>
                  <w:tcW w:w="1260" w:type="dxa"/>
                  <w:shd w:val="clear" w:color="auto" w:fill="FFFFFF"/>
                  <w:vAlign w:val="center"/>
                </w:tcPr>
                <w:p w:rsidR="00DD6EEC" w:rsidRPr="00C40370" w:rsidRDefault="00DD6EEC" w:rsidP="00DD6EEC">
                  <w:pPr>
                    <w:ind w:right="-540"/>
                    <w:jc w:val="center"/>
                    <w:rPr>
                      <w:sz w:val="24"/>
                      <w:szCs w:val="24"/>
                    </w:rPr>
                  </w:pPr>
                  <w:r w:rsidRPr="00C40370">
                    <w:rPr>
                      <w:sz w:val="24"/>
                      <w:szCs w:val="24"/>
                    </w:rPr>
                    <w:t>790</w:t>
                  </w:r>
                </w:p>
              </w:tc>
              <w:tc>
                <w:tcPr>
                  <w:tcW w:w="1170" w:type="dxa"/>
                  <w:shd w:val="clear" w:color="auto" w:fill="FFFFFF"/>
                  <w:vAlign w:val="center"/>
                </w:tcPr>
                <w:p w:rsidR="00DD6EEC" w:rsidRPr="00C40370" w:rsidRDefault="00DD6EEC" w:rsidP="00DD6EEC">
                  <w:pPr>
                    <w:ind w:right="-540"/>
                    <w:jc w:val="center"/>
                    <w:rPr>
                      <w:sz w:val="24"/>
                      <w:szCs w:val="24"/>
                    </w:rPr>
                  </w:pPr>
                  <w:r w:rsidRPr="00C40370">
                    <w:rPr>
                      <w:sz w:val="24"/>
                      <w:szCs w:val="24"/>
                    </w:rPr>
                    <w:t>36</w:t>
                  </w:r>
                </w:p>
              </w:tc>
              <w:tc>
                <w:tcPr>
                  <w:tcW w:w="1260" w:type="dxa"/>
                  <w:shd w:val="clear" w:color="auto" w:fill="FFFFFF"/>
                  <w:vAlign w:val="center"/>
                </w:tcPr>
                <w:p w:rsidR="00DD6EEC" w:rsidRPr="00C40370" w:rsidRDefault="00DD6EEC" w:rsidP="00DD6EEC">
                  <w:pPr>
                    <w:ind w:right="-540"/>
                    <w:jc w:val="center"/>
                    <w:rPr>
                      <w:sz w:val="24"/>
                      <w:szCs w:val="24"/>
                    </w:rPr>
                  </w:pPr>
                  <w:r w:rsidRPr="00C40370">
                    <w:rPr>
                      <w:sz w:val="24"/>
                      <w:szCs w:val="24"/>
                    </w:rPr>
                    <w:t>93</w:t>
                  </w:r>
                </w:p>
              </w:tc>
            </w:tr>
            <w:tr w:rsidR="00DD6EEC" w:rsidRPr="00C40370" w:rsidTr="00DD6EEC">
              <w:trPr>
                <w:trHeight w:val="144"/>
              </w:trPr>
              <w:tc>
                <w:tcPr>
                  <w:tcW w:w="3145" w:type="dxa"/>
                  <w:shd w:val="clear" w:color="auto" w:fill="FFFFFF"/>
                  <w:vAlign w:val="center"/>
                </w:tcPr>
                <w:p w:rsidR="00DD6EEC" w:rsidRPr="00C40370" w:rsidRDefault="00DD6EEC" w:rsidP="00DD6EEC">
                  <w:pPr>
                    <w:tabs>
                      <w:tab w:val="left" w:pos="420"/>
                    </w:tabs>
                    <w:ind w:right="-540"/>
                    <w:rPr>
                      <w:sz w:val="24"/>
                      <w:szCs w:val="24"/>
                    </w:rPr>
                  </w:pPr>
                  <w:r w:rsidRPr="00C40370">
                    <w:rPr>
                      <w:sz w:val="24"/>
                      <w:szCs w:val="24"/>
                    </w:rPr>
                    <w:t>Industrial Facilities</w:t>
                  </w:r>
                </w:p>
                <w:p w:rsidR="00DD6EEC" w:rsidRPr="00C40370" w:rsidRDefault="00DD6EEC" w:rsidP="00DD6EEC">
                  <w:pPr>
                    <w:tabs>
                      <w:tab w:val="left" w:pos="420"/>
                    </w:tabs>
                    <w:ind w:right="-540"/>
                    <w:rPr>
                      <w:sz w:val="24"/>
                      <w:szCs w:val="24"/>
                    </w:rPr>
                  </w:pPr>
                </w:p>
              </w:tc>
              <w:tc>
                <w:tcPr>
                  <w:tcW w:w="1350" w:type="dxa"/>
                  <w:shd w:val="clear" w:color="auto" w:fill="FFFFFF"/>
                  <w:vAlign w:val="center"/>
                </w:tcPr>
                <w:p w:rsidR="00DD6EEC" w:rsidRPr="00C40370" w:rsidRDefault="00DD6EEC" w:rsidP="00DD6EEC">
                  <w:pPr>
                    <w:ind w:right="-540"/>
                    <w:jc w:val="center"/>
                    <w:rPr>
                      <w:sz w:val="24"/>
                      <w:szCs w:val="24"/>
                    </w:rPr>
                  </w:pPr>
                  <w:r w:rsidRPr="00C40370">
                    <w:rPr>
                      <w:sz w:val="24"/>
                      <w:szCs w:val="24"/>
                    </w:rPr>
                    <w:t>545</w:t>
                  </w:r>
                </w:p>
              </w:tc>
              <w:tc>
                <w:tcPr>
                  <w:tcW w:w="1260" w:type="dxa"/>
                  <w:shd w:val="clear" w:color="auto" w:fill="FFFFFF"/>
                  <w:vAlign w:val="center"/>
                </w:tcPr>
                <w:p w:rsidR="00DD6EEC" w:rsidRPr="00C40370" w:rsidRDefault="00DD6EEC" w:rsidP="00DD6EEC">
                  <w:pPr>
                    <w:ind w:right="-540"/>
                    <w:jc w:val="center"/>
                    <w:rPr>
                      <w:sz w:val="24"/>
                      <w:szCs w:val="24"/>
                    </w:rPr>
                  </w:pPr>
                  <w:r w:rsidRPr="00C40370">
                    <w:rPr>
                      <w:sz w:val="24"/>
                      <w:szCs w:val="24"/>
                    </w:rPr>
                    <w:t>112</w:t>
                  </w:r>
                </w:p>
              </w:tc>
              <w:tc>
                <w:tcPr>
                  <w:tcW w:w="1170" w:type="dxa"/>
                  <w:shd w:val="clear" w:color="auto" w:fill="FFFFFF"/>
                  <w:vAlign w:val="center"/>
                </w:tcPr>
                <w:p w:rsidR="00DD6EEC" w:rsidRPr="00C40370" w:rsidRDefault="00DD6EEC" w:rsidP="00DD6EEC">
                  <w:pPr>
                    <w:ind w:right="-540"/>
                    <w:jc w:val="center"/>
                    <w:rPr>
                      <w:sz w:val="24"/>
                      <w:szCs w:val="24"/>
                    </w:rPr>
                  </w:pPr>
                  <w:r w:rsidRPr="00C40370">
                    <w:rPr>
                      <w:sz w:val="24"/>
                      <w:szCs w:val="24"/>
                    </w:rPr>
                    <w:t>21</w:t>
                  </w:r>
                </w:p>
              </w:tc>
              <w:tc>
                <w:tcPr>
                  <w:tcW w:w="1260" w:type="dxa"/>
                  <w:shd w:val="clear" w:color="auto" w:fill="FFFFFF"/>
                  <w:vAlign w:val="center"/>
                </w:tcPr>
                <w:p w:rsidR="00DD6EEC" w:rsidRPr="00C40370" w:rsidRDefault="00DD6EEC" w:rsidP="00DD6EEC">
                  <w:pPr>
                    <w:ind w:right="-540"/>
                    <w:jc w:val="center"/>
                    <w:rPr>
                      <w:sz w:val="24"/>
                      <w:szCs w:val="24"/>
                    </w:rPr>
                  </w:pPr>
                  <w:r w:rsidRPr="00C40370">
                    <w:rPr>
                      <w:sz w:val="24"/>
                      <w:szCs w:val="24"/>
                    </w:rPr>
                    <w:t>66</w:t>
                  </w:r>
                </w:p>
              </w:tc>
            </w:tr>
            <w:tr w:rsidR="00DD6EEC" w:rsidRPr="00C40370" w:rsidTr="00DD6EEC">
              <w:trPr>
                <w:trHeight w:val="144"/>
              </w:trPr>
              <w:tc>
                <w:tcPr>
                  <w:tcW w:w="3145" w:type="dxa"/>
                  <w:shd w:val="clear" w:color="auto" w:fill="FFFFFF"/>
                  <w:vAlign w:val="center"/>
                </w:tcPr>
                <w:p w:rsidR="00DD6EEC" w:rsidRPr="00C40370" w:rsidRDefault="00DD6EEC" w:rsidP="00DD6EEC">
                  <w:pPr>
                    <w:ind w:right="-540"/>
                    <w:rPr>
                      <w:sz w:val="24"/>
                      <w:szCs w:val="24"/>
                    </w:rPr>
                  </w:pPr>
                  <w:r w:rsidRPr="00C40370">
                    <w:rPr>
                      <w:sz w:val="24"/>
                      <w:szCs w:val="24"/>
                    </w:rPr>
                    <w:t>Commercial Facilities</w:t>
                  </w:r>
                </w:p>
                <w:p w:rsidR="00DD6EEC" w:rsidRPr="00C40370" w:rsidRDefault="00DD6EEC" w:rsidP="00DD6EEC">
                  <w:pPr>
                    <w:ind w:right="-540"/>
                    <w:rPr>
                      <w:sz w:val="24"/>
                      <w:szCs w:val="24"/>
                    </w:rPr>
                  </w:pPr>
                </w:p>
              </w:tc>
              <w:tc>
                <w:tcPr>
                  <w:tcW w:w="1350" w:type="dxa"/>
                  <w:shd w:val="clear" w:color="auto" w:fill="FFFFFF"/>
                  <w:vAlign w:val="center"/>
                </w:tcPr>
                <w:p w:rsidR="00DD6EEC" w:rsidRPr="00C40370" w:rsidRDefault="00DD6EEC" w:rsidP="00DD6EEC">
                  <w:pPr>
                    <w:ind w:right="-540"/>
                    <w:jc w:val="center"/>
                    <w:rPr>
                      <w:sz w:val="24"/>
                      <w:szCs w:val="24"/>
                    </w:rPr>
                  </w:pPr>
                  <w:r w:rsidRPr="00C40370">
                    <w:rPr>
                      <w:sz w:val="24"/>
                      <w:szCs w:val="24"/>
                    </w:rPr>
                    <w:t>209</w:t>
                  </w:r>
                </w:p>
              </w:tc>
              <w:tc>
                <w:tcPr>
                  <w:tcW w:w="1260" w:type="dxa"/>
                  <w:shd w:val="clear" w:color="auto" w:fill="FFFFFF"/>
                  <w:vAlign w:val="center"/>
                </w:tcPr>
                <w:p w:rsidR="00DD6EEC" w:rsidRPr="00C40370" w:rsidRDefault="00DD6EEC" w:rsidP="00DD6EEC">
                  <w:pPr>
                    <w:ind w:right="-540"/>
                    <w:jc w:val="center"/>
                    <w:rPr>
                      <w:sz w:val="24"/>
                      <w:szCs w:val="24"/>
                    </w:rPr>
                  </w:pPr>
                  <w:r w:rsidRPr="00C40370">
                    <w:rPr>
                      <w:sz w:val="24"/>
                      <w:szCs w:val="24"/>
                    </w:rPr>
                    <w:t>25</w:t>
                  </w:r>
                </w:p>
              </w:tc>
              <w:tc>
                <w:tcPr>
                  <w:tcW w:w="1170" w:type="dxa"/>
                  <w:shd w:val="clear" w:color="auto" w:fill="FFFFFF"/>
                  <w:vAlign w:val="center"/>
                </w:tcPr>
                <w:p w:rsidR="00DD6EEC" w:rsidRPr="00C40370" w:rsidRDefault="00DD6EEC" w:rsidP="00DD6EEC">
                  <w:pPr>
                    <w:ind w:right="-540"/>
                    <w:jc w:val="center"/>
                    <w:rPr>
                      <w:sz w:val="24"/>
                      <w:szCs w:val="24"/>
                    </w:rPr>
                  </w:pPr>
                  <w:r w:rsidRPr="00C40370">
                    <w:rPr>
                      <w:sz w:val="24"/>
                      <w:szCs w:val="24"/>
                    </w:rPr>
                    <w:t>12</w:t>
                  </w:r>
                </w:p>
              </w:tc>
              <w:tc>
                <w:tcPr>
                  <w:tcW w:w="1260" w:type="dxa"/>
                  <w:shd w:val="clear" w:color="auto" w:fill="FFFFFF"/>
                  <w:vAlign w:val="center"/>
                </w:tcPr>
                <w:p w:rsidR="00DD6EEC" w:rsidRPr="00C40370" w:rsidRDefault="00DD6EEC" w:rsidP="00DD6EEC">
                  <w:pPr>
                    <w:ind w:right="-540"/>
                    <w:jc w:val="center"/>
                    <w:rPr>
                      <w:sz w:val="24"/>
                      <w:szCs w:val="24"/>
                    </w:rPr>
                  </w:pPr>
                  <w:r w:rsidRPr="00C40370">
                    <w:rPr>
                      <w:sz w:val="24"/>
                      <w:szCs w:val="24"/>
                    </w:rPr>
                    <w:t>52</w:t>
                  </w:r>
                </w:p>
              </w:tc>
            </w:tr>
            <w:tr w:rsidR="00DD6EEC" w:rsidRPr="00C40370" w:rsidTr="00DD6EEC">
              <w:trPr>
                <w:trHeight w:val="440"/>
              </w:trPr>
              <w:tc>
                <w:tcPr>
                  <w:tcW w:w="3145" w:type="dxa"/>
                  <w:shd w:val="clear" w:color="auto" w:fill="FFFFFF"/>
                  <w:vAlign w:val="center"/>
                </w:tcPr>
                <w:p w:rsidR="00DD6EEC" w:rsidRPr="00C40370" w:rsidRDefault="00DD6EEC" w:rsidP="00DD6EEC">
                  <w:pPr>
                    <w:tabs>
                      <w:tab w:val="left" w:pos="615"/>
                    </w:tabs>
                    <w:ind w:right="-540"/>
                    <w:rPr>
                      <w:sz w:val="24"/>
                      <w:szCs w:val="24"/>
                    </w:rPr>
                  </w:pPr>
                  <w:r w:rsidRPr="00C40370">
                    <w:rPr>
                      <w:sz w:val="24"/>
                      <w:szCs w:val="24"/>
                    </w:rPr>
                    <w:t>Total</w:t>
                  </w:r>
                </w:p>
              </w:tc>
              <w:tc>
                <w:tcPr>
                  <w:tcW w:w="1350" w:type="dxa"/>
                  <w:shd w:val="clear" w:color="auto" w:fill="FFFFFF"/>
                  <w:vAlign w:val="center"/>
                </w:tcPr>
                <w:p w:rsidR="00DD6EEC" w:rsidRPr="00C40370" w:rsidRDefault="00DD6EEC" w:rsidP="00DD6EEC">
                  <w:pPr>
                    <w:ind w:right="-540"/>
                    <w:jc w:val="center"/>
                    <w:rPr>
                      <w:sz w:val="24"/>
                      <w:szCs w:val="24"/>
                    </w:rPr>
                  </w:pPr>
                  <w:r w:rsidRPr="00C40370">
                    <w:rPr>
                      <w:sz w:val="24"/>
                      <w:szCs w:val="24"/>
                    </w:rPr>
                    <w:t>5,573</w:t>
                  </w:r>
                </w:p>
              </w:tc>
              <w:tc>
                <w:tcPr>
                  <w:tcW w:w="1260" w:type="dxa"/>
                  <w:shd w:val="clear" w:color="auto" w:fill="FFFFFF"/>
                  <w:vAlign w:val="center"/>
                </w:tcPr>
                <w:p w:rsidR="00DD6EEC" w:rsidRPr="00C40370" w:rsidRDefault="00DD6EEC" w:rsidP="00DD6EEC">
                  <w:pPr>
                    <w:ind w:right="-540"/>
                    <w:jc w:val="center"/>
                    <w:rPr>
                      <w:sz w:val="24"/>
                      <w:szCs w:val="24"/>
                    </w:rPr>
                  </w:pPr>
                  <w:r w:rsidRPr="00C40370">
                    <w:rPr>
                      <w:sz w:val="24"/>
                      <w:szCs w:val="24"/>
                    </w:rPr>
                    <w:t>1,781</w:t>
                  </w:r>
                </w:p>
              </w:tc>
              <w:tc>
                <w:tcPr>
                  <w:tcW w:w="1170" w:type="dxa"/>
                  <w:shd w:val="clear" w:color="auto" w:fill="FFFFFF"/>
                  <w:vAlign w:val="center"/>
                </w:tcPr>
                <w:p w:rsidR="00DD6EEC" w:rsidRPr="00C40370" w:rsidRDefault="00DD6EEC" w:rsidP="00DD6EEC">
                  <w:pPr>
                    <w:ind w:right="-540"/>
                    <w:jc w:val="center"/>
                    <w:rPr>
                      <w:sz w:val="24"/>
                      <w:szCs w:val="24"/>
                    </w:rPr>
                  </w:pPr>
                  <w:r w:rsidRPr="00C40370">
                    <w:rPr>
                      <w:sz w:val="24"/>
                      <w:szCs w:val="24"/>
                    </w:rPr>
                    <w:t>32</w:t>
                  </w:r>
                </w:p>
              </w:tc>
              <w:tc>
                <w:tcPr>
                  <w:tcW w:w="1260" w:type="dxa"/>
                  <w:shd w:val="clear" w:color="auto" w:fill="FFFFFF"/>
                  <w:vAlign w:val="center"/>
                </w:tcPr>
                <w:p w:rsidR="00DD6EEC" w:rsidRPr="00C40370" w:rsidRDefault="00DD6EEC" w:rsidP="00DD6EEC">
                  <w:pPr>
                    <w:ind w:right="-540"/>
                    <w:jc w:val="center"/>
                    <w:rPr>
                      <w:sz w:val="24"/>
                      <w:szCs w:val="24"/>
                    </w:rPr>
                  </w:pPr>
                  <w:r w:rsidRPr="00C40370">
                    <w:rPr>
                      <w:sz w:val="24"/>
                      <w:szCs w:val="24"/>
                    </w:rPr>
                    <w:t>94</w:t>
                  </w:r>
                </w:p>
              </w:tc>
            </w:tr>
          </w:tbl>
          <w:p w:rsidR="00DD6EEC" w:rsidRPr="00C40370" w:rsidRDefault="00DD6EEC" w:rsidP="00DD6EEC">
            <w:pPr>
              <w:ind w:right="-540"/>
              <w:rPr>
                <w:b/>
                <w:sz w:val="24"/>
                <w:szCs w:val="24"/>
              </w:rPr>
            </w:pPr>
          </w:p>
          <w:p w:rsidR="00DD6EEC" w:rsidRDefault="00DD6EEC" w:rsidP="00DD6EEC">
            <w:pPr>
              <w:ind w:right="-540"/>
              <w:rPr>
                <w:b/>
                <w:sz w:val="24"/>
                <w:szCs w:val="24"/>
              </w:rPr>
            </w:pPr>
          </w:p>
          <w:p w:rsidR="00DD6EEC" w:rsidRDefault="00DD6EEC" w:rsidP="00DD6EEC">
            <w:pPr>
              <w:ind w:right="-540"/>
              <w:rPr>
                <w:b/>
                <w:sz w:val="24"/>
                <w:szCs w:val="24"/>
              </w:rPr>
            </w:pPr>
          </w:p>
          <w:p w:rsidR="00DD6EEC" w:rsidRDefault="00DD6EEC" w:rsidP="00DD6EEC">
            <w:pPr>
              <w:ind w:right="-540"/>
              <w:rPr>
                <w:b/>
                <w:sz w:val="24"/>
                <w:szCs w:val="24"/>
              </w:rPr>
            </w:pPr>
          </w:p>
          <w:p w:rsidR="00DD6EEC" w:rsidRDefault="00DD6EEC" w:rsidP="00DD6EEC">
            <w:pPr>
              <w:ind w:right="-540"/>
              <w:rPr>
                <w:b/>
                <w:sz w:val="24"/>
                <w:szCs w:val="24"/>
              </w:rPr>
            </w:pPr>
          </w:p>
          <w:p w:rsidR="00DD6EEC" w:rsidRDefault="00DD6EEC" w:rsidP="00DD6EEC">
            <w:pPr>
              <w:ind w:right="-540"/>
              <w:rPr>
                <w:b/>
                <w:sz w:val="24"/>
                <w:szCs w:val="24"/>
              </w:rPr>
            </w:pPr>
          </w:p>
          <w:p w:rsidR="00DD6EEC" w:rsidRDefault="00DD6EEC" w:rsidP="00DD6EEC">
            <w:pPr>
              <w:ind w:right="-540"/>
              <w:rPr>
                <w:b/>
                <w:sz w:val="24"/>
                <w:szCs w:val="24"/>
              </w:rPr>
            </w:pPr>
          </w:p>
          <w:p w:rsidR="00DD6EEC" w:rsidRDefault="00DD6EEC" w:rsidP="00DD6EEC">
            <w:pPr>
              <w:ind w:right="-540"/>
              <w:rPr>
                <w:b/>
                <w:sz w:val="24"/>
                <w:szCs w:val="24"/>
              </w:rPr>
            </w:pPr>
          </w:p>
          <w:p w:rsidR="00DD6EEC" w:rsidRDefault="00DD6EEC" w:rsidP="00DD6EEC">
            <w:pPr>
              <w:ind w:right="-540"/>
              <w:rPr>
                <w:b/>
                <w:sz w:val="24"/>
                <w:szCs w:val="24"/>
              </w:rPr>
            </w:pPr>
          </w:p>
          <w:p w:rsidR="00DD6EEC" w:rsidRDefault="00DD6EEC" w:rsidP="00DD6EEC">
            <w:pPr>
              <w:ind w:right="-540"/>
              <w:rPr>
                <w:b/>
                <w:sz w:val="24"/>
                <w:szCs w:val="24"/>
              </w:rPr>
            </w:pPr>
          </w:p>
          <w:p w:rsidR="00DD6EEC" w:rsidRDefault="00DD6EEC" w:rsidP="00DD6EEC">
            <w:pPr>
              <w:ind w:right="-540"/>
              <w:rPr>
                <w:b/>
                <w:sz w:val="24"/>
                <w:szCs w:val="24"/>
              </w:rPr>
            </w:pPr>
          </w:p>
          <w:p w:rsidR="00DD6EEC" w:rsidRDefault="00DD6EEC" w:rsidP="00DD6EEC">
            <w:pPr>
              <w:ind w:right="-540"/>
              <w:rPr>
                <w:b/>
                <w:sz w:val="24"/>
                <w:szCs w:val="24"/>
              </w:rPr>
            </w:pPr>
          </w:p>
          <w:p w:rsidR="00DD6EEC" w:rsidRDefault="00DD6EEC" w:rsidP="00DD6EEC">
            <w:pPr>
              <w:ind w:right="-540"/>
              <w:rPr>
                <w:b/>
                <w:sz w:val="24"/>
                <w:szCs w:val="24"/>
              </w:rPr>
            </w:pPr>
          </w:p>
          <w:p w:rsidR="00DD6EEC" w:rsidRDefault="00DD6EEC" w:rsidP="00DD6EEC">
            <w:pPr>
              <w:ind w:right="-540"/>
              <w:rPr>
                <w:b/>
                <w:sz w:val="24"/>
                <w:szCs w:val="24"/>
              </w:rPr>
            </w:pPr>
          </w:p>
          <w:p w:rsidR="00DD6EEC" w:rsidRDefault="00DD6EEC" w:rsidP="00DD6EEC">
            <w:pPr>
              <w:ind w:right="-540"/>
              <w:rPr>
                <w:b/>
                <w:sz w:val="24"/>
                <w:szCs w:val="24"/>
              </w:rPr>
            </w:pPr>
          </w:p>
          <w:p w:rsidR="00DD6EEC" w:rsidRDefault="00DD6EEC" w:rsidP="00DD6EEC">
            <w:pPr>
              <w:ind w:right="-540"/>
              <w:rPr>
                <w:b/>
                <w:sz w:val="24"/>
                <w:szCs w:val="24"/>
              </w:rPr>
            </w:pPr>
          </w:p>
          <w:p w:rsidR="00DD6EEC" w:rsidRDefault="00DD6EEC" w:rsidP="00DD6EEC">
            <w:pPr>
              <w:ind w:right="-540"/>
              <w:rPr>
                <w:b/>
                <w:sz w:val="24"/>
                <w:szCs w:val="24"/>
              </w:rPr>
            </w:pPr>
          </w:p>
          <w:p w:rsidR="00DD6EEC" w:rsidRPr="00C40370" w:rsidRDefault="00DD6EEC" w:rsidP="00DD6EEC">
            <w:pPr>
              <w:ind w:right="-540"/>
              <w:rPr>
                <w:b/>
                <w:sz w:val="24"/>
                <w:szCs w:val="24"/>
              </w:rPr>
            </w:pPr>
          </w:p>
          <w:p w:rsidR="00DD6EEC" w:rsidRPr="00C40370" w:rsidRDefault="00DD6EEC" w:rsidP="00DD6EEC">
            <w:pPr>
              <w:ind w:right="-540"/>
              <w:jc w:val="center"/>
              <w:rPr>
                <w:b/>
                <w:sz w:val="24"/>
                <w:szCs w:val="24"/>
              </w:rPr>
            </w:pPr>
            <w:r w:rsidRPr="00C40370">
              <w:rPr>
                <w:b/>
                <w:sz w:val="24"/>
                <w:szCs w:val="24"/>
              </w:rPr>
              <w:t>Table 12. Form EIA-923 Sample Coverage by Energy Source</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785"/>
              <w:gridCol w:w="3060"/>
            </w:tblGrid>
            <w:tr w:rsidR="00DD6EEC" w:rsidRPr="00122CA9" w:rsidTr="00DD6EEC">
              <w:trPr>
                <w:jc w:val="center"/>
              </w:trPr>
              <w:tc>
                <w:tcPr>
                  <w:tcW w:w="2785" w:type="dxa"/>
                  <w:shd w:val="clear" w:color="auto" w:fill="C4BC96"/>
                </w:tcPr>
                <w:p w:rsidR="00DD6EEC" w:rsidRPr="00122CA9" w:rsidRDefault="00DD6EEC" w:rsidP="00DD6EEC">
                  <w:pPr>
                    <w:ind w:right="-540"/>
                    <w:rPr>
                      <w:b/>
                      <w:sz w:val="24"/>
                      <w:szCs w:val="24"/>
                    </w:rPr>
                  </w:pPr>
                  <w:r w:rsidRPr="00122CA9">
                    <w:rPr>
                      <w:b/>
                      <w:sz w:val="24"/>
                      <w:szCs w:val="24"/>
                    </w:rPr>
                    <w:t xml:space="preserve">Energy Source Grouping   </w:t>
                  </w:r>
                </w:p>
              </w:tc>
              <w:tc>
                <w:tcPr>
                  <w:tcW w:w="3060" w:type="dxa"/>
                  <w:shd w:val="clear" w:color="auto" w:fill="C4BC96"/>
                  <w:vAlign w:val="center"/>
                </w:tcPr>
                <w:p w:rsidR="00DD6EEC" w:rsidRDefault="00DD6EEC" w:rsidP="00DD6EEC">
                  <w:pPr>
                    <w:tabs>
                      <w:tab w:val="left" w:pos="330"/>
                    </w:tabs>
                    <w:ind w:right="-540"/>
                    <w:jc w:val="center"/>
                    <w:rPr>
                      <w:b/>
                      <w:sz w:val="24"/>
                      <w:szCs w:val="24"/>
                    </w:rPr>
                  </w:pPr>
                  <w:r w:rsidRPr="00122CA9">
                    <w:rPr>
                      <w:b/>
                      <w:sz w:val="24"/>
                      <w:szCs w:val="24"/>
                    </w:rPr>
                    <w:t>2011 Sample Coverage</w:t>
                  </w:r>
                </w:p>
                <w:p w:rsidR="00DD6EEC" w:rsidRPr="00122CA9" w:rsidRDefault="00DD6EEC" w:rsidP="00DD6EEC">
                  <w:pPr>
                    <w:tabs>
                      <w:tab w:val="left" w:pos="330"/>
                    </w:tabs>
                    <w:ind w:right="-540"/>
                    <w:jc w:val="center"/>
                    <w:rPr>
                      <w:b/>
                      <w:sz w:val="24"/>
                      <w:szCs w:val="24"/>
                    </w:rPr>
                  </w:pPr>
                  <w:r>
                    <w:rPr>
                      <w:b/>
                      <w:sz w:val="24"/>
                      <w:szCs w:val="24"/>
                    </w:rPr>
                    <w:t>(p</w:t>
                  </w:r>
                  <w:r w:rsidRPr="00122CA9">
                    <w:rPr>
                      <w:b/>
                      <w:sz w:val="24"/>
                      <w:szCs w:val="24"/>
                    </w:rPr>
                    <w:t xml:space="preserve">ercent by </w:t>
                  </w:r>
                  <w:r>
                    <w:rPr>
                      <w:b/>
                      <w:sz w:val="24"/>
                      <w:szCs w:val="24"/>
                    </w:rPr>
                    <w:t>v</w:t>
                  </w:r>
                  <w:r w:rsidRPr="00122CA9">
                    <w:rPr>
                      <w:b/>
                      <w:sz w:val="24"/>
                      <w:szCs w:val="24"/>
                    </w:rPr>
                    <w:t>olume</w:t>
                  </w:r>
                  <w:r>
                    <w:rPr>
                      <w:b/>
                      <w:sz w:val="24"/>
                      <w:szCs w:val="24"/>
                    </w:rPr>
                    <w:t>)</w:t>
                  </w:r>
                </w:p>
              </w:tc>
            </w:tr>
            <w:tr w:rsidR="00DD6EEC" w:rsidRPr="00122CA9" w:rsidTr="00DD6EEC">
              <w:trPr>
                <w:jc w:val="center"/>
              </w:trPr>
              <w:tc>
                <w:tcPr>
                  <w:tcW w:w="2785" w:type="dxa"/>
                  <w:vAlign w:val="center"/>
                </w:tcPr>
                <w:p w:rsidR="00DD6EEC" w:rsidRPr="00122CA9" w:rsidRDefault="00DD6EEC" w:rsidP="00DD6EEC">
                  <w:pPr>
                    <w:ind w:right="-540"/>
                    <w:jc w:val="center"/>
                    <w:rPr>
                      <w:sz w:val="24"/>
                      <w:szCs w:val="24"/>
                    </w:rPr>
                  </w:pPr>
                  <w:r w:rsidRPr="00122CA9">
                    <w:rPr>
                      <w:sz w:val="24"/>
                      <w:szCs w:val="24"/>
                    </w:rPr>
                    <w:t>Coal</w:t>
                  </w:r>
                </w:p>
              </w:tc>
              <w:tc>
                <w:tcPr>
                  <w:tcW w:w="3060" w:type="dxa"/>
                  <w:vAlign w:val="center"/>
                </w:tcPr>
                <w:p w:rsidR="00DD6EEC" w:rsidRPr="00122CA9" w:rsidRDefault="00DD6EEC" w:rsidP="00DD6EEC">
                  <w:pPr>
                    <w:ind w:right="-540"/>
                    <w:jc w:val="center"/>
                    <w:rPr>
                      <w:sz w:val="24"/>
                      <w:szCs w:val="24"/>
                    </w:rPr>
                  </w:pPr>
                  <w:r w:rsidRPr="00122CA9">
                    <w:rPr>
                      <w:color w:val="000000"/>
                      <w:sz w:val="24"/>
                      <w:szCs w:val="24"/>
                    </w:rPr>
                    <w:t>97</w:t>
                  </w:r>
                </w:p>
              </w:tc>
            </w:tr>
            <w:tr w:rsidR="00DD6EEC" w:rsidRPr="00122CA9" w:rsidTr="00DD6EEC">
              <w:trPr>
                <w:jc w:val="center"/>
              </w:trPr>
              <w:tc>
                <w:tcPr>
                  <w:tcW w:w="2785" w:type="dxa"/>
                  <w:vAlign w:val="center"/>
                </w:tcPr>
                <w:p w:rsidR="00DD6EEC" w:rsidRPr="00122CA9" w:rsidRDefault="00DD6EEC" w:rsidP="00DD6EEC">
                  <w:pPr>
                    <w:tabs>
                      <w:tab w:val="left" w:pos="645"/>
                    </w:tabs>
                    <w:ind w:right="-540"/>
                    <w:jc w:val="center"/>
                    <w:rPr>
                      <w:sz w:val="24"/>
                      <w:szCs w:val="24"/>
                    </w:rPr>
                  </w:pPr>
                  <w:r w:rsidRPr="00122CA9">
                    <w:rPr>
                      <w:sz w:val="24"/>
                      <w:szCs w:val="24"/>
                    </w:rPr>
                    <w:t>Geothermal</w:t>
                  </w:r>
                </w:p>
              </w:tc>
              <w:tc>
                <w:tcPr>
                  <w:tcW w:w="3060" w:type="dxa"/>
                  <w:vAlign w:val="center"/>
                </w:tcPr>
                <w:p w:rsidR="00DD6EEC" w:rsidRPr="00122CA9" w:rsidRDefault="00DD6EEC" w:rsidP="00DD6EEC">
                  <w:pPr>
                    <w:ind w:right="-540"/>
                    <w:jc w:val="center"/>
                    <w:rPr>
                      <w:sz w:val="24"/>
                      <w:szCs w:val="24"/>
                    </w:rPr>
                  </w:pPr>
                  <w:r w:rsidRPr="00122CA9">
                    <w:rPr>
                      <w:color w:val="000000"/>
                      <w:sz w:val="24"/>
                      <w:szCs w:val="24"/>
                    </w:rPr>
                    <w:t>67</w:t>
                  </w:r>
                </w:p>
              </w:tc>
            </w:tr>
            <w:tr w:rsidR="00DD6EEC" w:rsidRPr="00122CA9" w:rsidTr="00DD6EEC">
              <w:trPr>
                <w:jc w:val="center"/>
              </w:trPr>
              <w:tc>
                <w:tcPr>
                  <w:tcW w:w="2785" w:type="dxa"/>
                  <w:vAlign w:val="center"/>
                </w:tcPr>
                <w:p w:rsidR="00DD6EEC" w:rsidRPr="00122CA9" w:rsidRDefault="00DD6EEC" w:rsidP="00DD6EEC">
                  <w:pPr>
                    <w:tabs>
                      <w:tab w:val="left" w:pos="420"/>
                    </w:tabs>
                    <w:ind w:right="-540"/>
                    <w:jc w:val="center"/>
                    <w:rPr>
                      <w:sz w:val="24"/>
                      <w:szCs w:val="24"/>
                    </w:rPr>
                  </w:pPr>
                  <w:r w:rsidRPr="00122CA9">
                    <w:rPr>
                      <w:sz w:val="24"/>
                      <w:szCs w:val="24"/>
                    </w:rPr>
                    <w:t>Hydroelectric</w:t>
                  </w:r>
                </w:p>
              </w:tc>
              <w:tc>
                <w:tcPr>
                  <w:tcW w:w="3060" w:type="dxa"/>
                  <w:vAlign w:val="center"/>
                </w:tcPr>
                <w:p w:rsidR="00DD6EEC" w:rsidRPr="00122CA9" w:rsidRDefault="00DD6EEC" w:rsidP="00DD6EEC">
                  <w:pPr>
                    <w:ind w:right="-540"/>
                    <w:jc w:val="center"/>
                    <w:rPr>
                      <w:sz w:val="24"/>
                      <w:szCs w:val="24"/>
                    </w:rPr>
                  </w:pPr>
                  <w:r w:rsidRPr="00122CA9">
                    <w:rPr>
                      <w:color w:val="000000"/>
                      <w:sz w:val="24"/>
                      <w:szCs w:val="24"/>
                    </w:rPr>
                    <w:t>77</w:t>
                  </w:r>
                </w:p>
              </w:tc>
            </w:tr>
            <w:tr w:rsidR="00DD6EEC" w:rsidRPr="00122CA9" w:rsidTr="00DD6EEC">
              <w:trPr>
                <w:jc w:val="center"/>
              </w:trPr>
              <w:tc>
                <w:tcPr>
                  <w:tcW w:w="2785" w:type="dxa"/>
                  <w:vAlign w:val="center"/>
                </w:tcPr>
                <w:p w:rsidR="00DD6EEC" w:rsidRPr="00122CA9" w:rsidRDefault="00DD6EEC" w:rsidP="00DD6EEC">
                  <w:pPr>
                    <w:ind w:right="-540"/>
                    <w:jc w:val="center"/>
                    <w:rPr>
                      <w:sz w:val="24"/>
                      <w:szCs w:val="24"/>
                    </w:rPr>
                  </w:pPr>
                  <w:r w:rsidRPr="00122CA9">
                    <w:rPr>
                      <w:sz w:val="24"/>
                      <w:szCs w:val="24"/>
                    </w:rPr>
                    <w:t>Natural Gas</w:t>
                  </w:r>
                </w:p>
              </w:tc>
              <w:tc>
                <w:tcPr>
                  <w:tcW w:w="3060" w:type="dxa"/>
                  <w:vAlign w:val="center"/>
                </w:tcPr>
                <w:p w:rsidR="00DD6EEC" w:rsidRPr="00122CA9" w:rsidRDefault="00DD6EEC" w:rsidP="00DD6EEC">
                  <w:pPr>
                    <w:ind w:right="-540"/>
                    <w:jc w:val="center"/>
                    <w:rPr>
                      <w:sz w:val="24"/>
                      <w:szCs w:val="24"/>
                    </w:rPr>
                  </w:pPr>
                  <w:r w:rsidRPr="00122CA9">
                    <w:rPr>
                      <w:color w:val="000000"/>
                      <w:sz w:val="24"/>
                      <w:szCs w:val="24"/>
                    </w:rPr>
                    <w:t>92</w:t>
                  </w:r>
                </w:p>
              </w:tc>
            </w:tr>
            <w:tr w:rsidR="00DD6EEC" w:rsidRPr="00122CA9" w:rsidTr="00DD6EEC">
              <w:trPr>
                <w:jc w:val="center"/>
              </w:trPr>
              <w:tc>
                <w:tcPr>
                  <w:tcW w:w="2785" w:type="dxa"/>
                  <w:vAlign w:val="center"/>
                </w:tcPr>
                <w:p w:rsidR="00DD6EEC" w:rsidRPr="00122CA9" w:rsidRDefault="00DD6EEC" w:rsidP="00DD6EEC">
                  <w:pPr>
                    <w:ind w:right="-540"/>
                    <w:jc w:val="center"/>
                    <w:rPr>
                      <w:sz w:val="24"/>
                      <w:szCs w:val="24"/>
                    </w:rPr>
                  </w:pPr>
                  <w:r w:rsidRPr="00122CA9">
                    <w:rPr>
                      <w:sz w:val="24"/>
                      <w:szCs w:val="24"/>
                    </w:rPr>
                    <w:t>Nuclear</w:t>
                  </w:r>
                </w:p>
              </w:tc>
              <w:tc>
                <w:tcPr>
                  <w:tcW w:w="3060" w:type="dxa"/>
                  <w:vAlign w:val="center"/>
                </w:tcPr>
                <w:p w:rsidR="00DD6EEC" w:rsidRPr="00122CA9" w:rsidRDefault="00DD6EEC" w:rsidP="00DD6EEC">
                  <w:pPr>
                    <w:ind w:right="-540"/>
                    <w:jc w:val="center"/>
                    <w:rPr>
                      <w:sz w:val="24"/>
                      <w:szCs w:val="24"/>
                    </w:rPr>
                  </w:pPr>
                  <w:r w:rsidRPr="00122CA9">
                    <w:rPr>
                      <w:color w:val="000000"/>
                      <w:sz w:val="24"/>
                      <w:szCs w:val="24"/>
                    </w:rPr>
                    <w:t>100</w:t>
                  </w:r>
                </w:p>
              </w:tc>
            </w:tr>
            <w:tr w:rsidR="00DD6EEC" w:rsidRPr="00122CA9" w:rsidTr="00DD6EEC">
              <w:trPr>
                <w:jc w:val="center"/>
              </w:trPr>
              <w:tc>
                <w:tcPr>
                  <w:tcW w:w="2785" w:type="dxa"/>
                  <w:vAlign w:val="center"/>
                </w:tcPr>
                <w:p w:rsidR="00DD6EEC" w:rsidRPr="00122CA9" w:rsidRDefault="00DD6EEC" w:rsidP="00DD6EEC">
                  <w:pPr>
                    <w:ind w:right="-540"/>
                    <w:jc w:val="center"/>
                    <w:rPr>
                      <w:sz w:val="24"/>
                      <w:szCs w:val="24"/>
                    </w:rPr>
                  </w:pPr>
                  <w:r w:rsidRPr="00122CA9">
                    <w:rPr>
                      <w:sz w:val="24"/>
                      <w:szCs w:val="24"/>
                    </w:rPr>
                    <w:t>Other Gas</w:t>
                  </w:r>
                </w:p>
              </w:tc>
              <w:tc>
                <w:tcPr>
                  <w:tcW w:w="3060" w:type="dxa"/>
                  <w:vAlign w:val="center"/>
                </w:tcPr>
                <w:p w:rsidR="00DD6EEC" w:rsidRPr="00122CA9" w:rsidRDefault="00DD6EEC" w:rsidP="00DD6EEC">
                  <w:pPr>
                    <w:ind w:right="-540"/>
                    <w:jc w:val="center"/>
                    <w:rPr>
                      <w:sz w:val="24"/>
                      <w:szCs w:val="24"/>
                    </w:rPr>
                  </w:pPr>
                  <w:r w:rsidRPr="00122CA9">
                    <w:rPr>
                      <w:color w:val="000000"/>
                      <w:sz w:val="24"/>
                      <w:szCs w:val="24"/>
                    </w:rPr>
                    <w:t>81</w:t>
                  </w:r>
                </w:p>
              </w:tc>
            </w:tr>
            <w:tr w:rsidR="00DD6EEC" w:rsidRPr="00122CA9" w:rsidTr="00DD6EEC">
              <w:trPr>
                <w:jc w:val="center"/>
              </w:trPr>
              <w:tc>
                <w:tcPr>
                  <w:tcW w:w="2785" w:type="dxa"/>
                  <w:vAlign w:val="center"/>
                </w:tcPr>
                <w:p w:rsidR="00DD6EEC" w:rsidRPr="00122CA9" w:rsidRDefault="00DD6EEC" w:rsidP="00DD6EEC">
                  <w:pPr>
                    <w:ind w:right="-540"/>
                    <w:jc w:val="center"/>
                    <w:rPr>
                      <w:sz w:val="24"/>
                      <w:szCs w:val="24"/>
                    </w:rPr>
                  </w:pPr>
                  <w:r w:rsidRPr="00122CA9">
                    <w:rPr>
                      <w:sz w:val="24"/>
                      <w:szCs w:val="24"/>
                    </w:rPr>
                    <w:t>Other Sources</w:t>
                  </w:r>
                </w:p>
              </w:tc>
              <w:tc>
                <w:tcPr>
                  <w:tcW w:w="3060" w:type="dxa"/>
                  <w:vAlign w:val="center"/>
                </w:tcPr>
                <w:p w:rsidR="00DD6EEC" w:rsidRPr="00122CA9" w:rsidRDefault="00DD6EEC" w:rsidP="00DD6EEC">
                  <w:pPr>
                    <w:ind w:right="-540"/>
                    <w:jc w:val="center"/>
                    <w:rPr>
                      <w:sz w:val="24"/>
                      <w:szCs w:val="24"/>
                    </w:rPr>
                  </w:pPr>
                  <w:r w:rsidRPr="00122CA9">
                    <w:rPr>
                      <w:color w:val="000000"/>
                      <w:sz w:val="24"/>
                      <w:szCs w:val="24"/>
                    </w:rPr>
                    <w:t>62</w:t>
                  </w:r>
                </w:p>
              </w:tc>
            </w:tr>
            <w:tr w:rsidR="00DD6EEC" w:rsidRPr="00122CA9" w:rsidTr="00DD6EEC">
              <w:trPr>
                <w:jc w:val="center"/>
              </w:trPr>
              <w:tc>
                <w:tcPr>
                  <w:tcW w:w="2785" w:type="dxa"/>
                  <w:vAlign w:val="center"/>
                </w:tcPr>
                <w:p w:rsidR="00DD6EEC" w:rsidRPr="00122CA9" w:rsidRDefault="00DD6EEC" w:rsidP="00DD6EEC">
                  <w:pPr>
                    <w:ind w:right="-540"/>
                    <w:jc w:val="center"/>
                    <w:rPr>
                      <w:sz w:val="24"/>
                      <w:szCs w:val="24"/>
                    </w:rPr>
                  </w:pPr>
                  <w:r w:rsidRPr="00122CA9">
                    <w:rPr>
                      <w:sz w:val="24"/>
                      <w:szCs w:val="24"/>
                    </w:rPr>
                    <w:t>Petroleum</w:t>
                  </w:r>
                </w:p>
              </w:tc>
              <w:tc>
                <w:tcPr>
                  <w:tcW w:w="3060" w:type="dxa"/>
                  <w:vAlign w:val="center"/>
                </w:tcPr>
                <w:p w:rsidR="00DD6EEC" w:rsidRPr="00122CA9" w:rsidRDefault="00DD6EEC" w:rsidP="00DD6EEC">
                  <w:pPr>
                    <w:ind w:right="-540"/>
                    <w:jc w:val="center"/>
                    <w:rPr>
                      <w:sz w:val="24"/>
                      <w:szCs w:val="24"/>
                    </w:rPr>
                  </w:pPr>
                  <w:r w:rsidRPr="00122CA9">
                    <w:rPr>
                      <w:color w:val="000000"/>
                      <w:sz w:val="24"/>
                      <w:szCs w:val="24"/>
                    </w:rPr>
                    <w:t>92</w:t>
                  </w:r>
                </w:p>
              </w:tc>
            </w:tr>
            <w:tr w:rsidR="00DD6EEC" w:rsidRPr="00122CA9" w:rsidTr="00DD6EEC">
              <w:trPr>
                <w:jc w:val="center"/>
              </w:trPr>
              <w:tc>
                <w:tcPr>
                  <w:tcW w:w="2785" w:type="dxa"/>
                  <w:vAlign w:val="center"/>
                </w:tcPr>
                <w:p w:rsidR="00DD6EEC" w:rsidRPr="00122CA9" w:rsidRDefault="00DD6EEC" w:rsidP="00DD6EEC">
                  <w:pPr>
                    <w:ind w:right="-540"/>
                    <w:jc w:val="center"/>
                    <w:rPr>
                      <w:sz w:val="24"/>
                      <w:szCs w:val="24"/>
                    </w:rPr>
                  </w:pPr>
                  <w:r w:rsidRPr="00122CA9">
                    <w:rPr>
                      <w:sz w:val="24"/>
                      <w:szCs w:val="24"/>
                    </w:rPr>
                    <w:t>Petroleum Coke</w:t>
                  </w:r>
                </w:p>
              </w:tc>
              <w:tc>
                <w:tcPr>
                  <w:tcW w:w="3060" w:type="dxa"/>
                  <w:vAlign w:val="center"/>
                </w:tcPr>
                <w:p w:rsidR="00DD6EEC" w:rsidRPr="00122CA9" w:rsidRDefault="00DD6EEC" w:rsidP="00DD6EEC">
                  <w:pPr>
                    <w:ind w:right="-540"/>
                    <w:jc w:val="center"/>
                    <w:rPr>
                      <w:sz w:val="24"/>
                      <w:szCs w:val="24"/>
                    </w:rPr>
                  </w:pPr>
                  <w:r w:rsidRPr="00122CA9">
                    <w:rPr>
                      <w:color w:val="000000"/>
                      <w:sz w:val="24"/>
                      <w:szCs w:val="24"/>
                    </w:rPr>
                    <w:t>87</w:t>
                  </w:r>
                </w:p>
              </w:tc>
            </w:tr>
            <w:tr w:rsidR="00DD6EEC" w:rsidRPr="00122CA9" w:rsidTr="00DD6EEC">
              <w:trPr>
                <w:jc w:val="center"/>
              </w:trPr>
              <w:tc>
                <w:tcPr>
                  <w:tcW w:w="2785" w:type="dxa"/>
                  <w:vAlign w:val="center"/>
                </w:tcPr>
                <w:p w:rsidR="00DD6EEC" w:rsidRPr="00122CA9" w:rsidRDefault="00DD6EEC" w:rsidP="00DD6EEC">
                  <w:pPr>
                    <w:ind w:right="-540"/>
                    <w:jc w:val="center"/>
                    <w:rPr>
                      <w:sz w:val="24"/>
                      <w:szCs w:val="24"/>
                    </w:rPr>
                  </w:pPr>
                  <w:r w:rsidRPr="00122CA9">
                    <w:rPr>
                      <w:sz w:val="24"/>
                      <w:szCs w:val="24"/>
                    </w:rPr>
                    <w:t>Pumped Storage</w:t>
                  </w:r>
                </w:p>
              </w:tc>
              <w:tc>
                <w:tcPr>
                  <w:tcW w:w="3060" w:type="dxa"/>
                  <w:vAlign w:val="center"/>
                </w:tcPr>
                <w:p w:rsidR="00DD6EEC" w:rsidRPr="00122CA9" w:rsidRDefault="00DD6EEC" w:rsidP="00DD6EEC">
                  <w:pPr>
                    <w:ind w:right="-540"/>
                    <w:jc w:val="center"/>
                    <w:rPr>
                      <w:sz w:val="24"/>
                      <w:szCs w:val="24"/>
                    </w:rPr>
                  </w:pPr>
                  <w:r w:rsidRPr="00122CA9">
                    <w:rPr>
                      <w:color w:val="000000"/>
                      <w:sz w:val="24"/>
                      <w:szCs w:val="24"/>
                    </w:rPr>
                    <w:t>100</w:t>
                  </w:r>
                </w:p>
              </w:tc>
            </w:tr>
            <w:tr w:rsidR="00DD6EEC" w:rsidRPr="00122CA9" w:rsidTr="00DD6EEC">
              <w:trPr>
                <w:jc w:val="center"/>
              </w:trPr>
              <w:tc>
                <w:tcPr>
                  <w:tcW w:w="2785" w:type="dxa"/>
                  <w:vAlign w:val="center"/>
                </w:tcPr>
                <w:p w:rsidR="00DD6EEC" w:rsidRPr="00122CA9" w:rsidRDefault="00DD6EEC" w:rsidP="00DD6EEC">
                  <w:pPr>
                    <w:ind w:right="-540"/>
                    <w:jc w:val="center"/>
                    <w:rPr>
                      <w:sz w:val="24"/>
                      <w:szCs w:val="24"/>
                    </w:rPr>
                  </w:pPr>
                  <w:r w:rsidRPr="00122CA9">
                    <w:rPr>
                      <w:sz w:val="24"/>
                      <w:szCs w:val="24"/>
                    </w:rPr>
                    <w:t>Solar</w:t>
                  </w:r>
                </w:p>
              </w:tc>
              <w:tc>
                <w:tcPr>
                  <w:tcW w:w="3060" w:type="dxa"/>
                  <w:vAlign w:val="center"/>
                </w:tcPr>
                <w:p w:rsidR="00DD6EEC" w:rsidRPr="00122CA9" w:rsidRDefault="00DD6EEC" w:rsidP="00DD6EEC">
                  <w:pPr>
                    <w:ind w:right="-540"/>
                    <w:jc w:val="center"/>
                    <w:rPr>
                      <w:sz w:val="24"/>
                      <w:szCs w:val="24"/>
                    </w:rPr>
                  </w:pPr>
                  <w:r w:rsidRPr="00122CA9">
                    <w:rPr>
                      <w:color w:val="000000"/>
                      <w:sz w:val="24"/>
                      <w:szCs w:val="24"/>
                    </w:rPr>
                    <w:t>95</w:t>
                  </w:r>
                </w:p>
              </w:tc>
            </w:tr>
            <w:tr w:rsidR="00DD6EEC" w:rsidRPr="00122CA9" w:rsidTr="00DD6EEC">
              <w:trPr>
                <w:jc w:val="center"/>
              </w:trPr>
              <w:tc>
                <w:tcPr>
                  <w:tcW w:w="2785" w:type="dxa"/>
                  <w:vAlign w:val="center"/>
                </w:tcPr>
                <w:p w:rsidR="00DD6EEC" w:rsidRPr="00122CA9" w:rsidRDefault="00DD6EEC" w:rsidP="00DD6EEC">
                  <w:pPr>
                    <w:ind w:right="-540"/>
                    <w:jc w:val="center"/>
                    <w:rPr>
                      <w:sz w:val="24"/>
                      <w:szCs w:val="24"/>
                    </w:rPr>
                  </w:pPr>
                  <w:r w:rsidRPr="00122CA9">
                    <w:rPr>
                      <w:sz w:val="24"/>
                      <w:szCs w:val="24"/>
                    </w:rPr>
                    <w:t>Waste</w:t>
                  </w:r>
                </w:p>
              </w:tc>
              <w:tc>
                <w:tcPr>
                  <w:tcW w:w="3060" w:type="dxa"/>
                  <w:vAlign w:val="center"/>
                </w:tcPr>
                <w:p w:rsidR="00DD6EEC" w:rsidRPr="00122CA9" w:rsidRDefault="00DD6EEC" w:rsidP="00DD6EEC">
                  <w:pPr>
                    <w:ind w:right="-540"/>
                    <w:jc w:val="center"/>
                    <w:rPr>
                      <w:sz w:val="24"/>
                      <w:szCs w:val="24"/>
                    </w:rPr>
                  </w:pPr>
                  <w:r w:rsidRPr="00122CA9">
                    <w:rPr>
                      <w:color w:val="000000"/>
                      <w:sz w:val="24"/>
                      <w:szCs w:val="24"/>
                    </w:rPr>
                    <w:t>43</w:t>
                  </w:r>
                </w:p>
              </w:tc>
            </w:tr>
            <w:tr w:rsidR="00DD6EEC" w:rsidRPr="00122CA9" w:rsidTr="00DD6EEC">
              <w:trPr>
                <w:jc w:val="center"/>
              </w:trPr>
              <w:tc>
                <w:tcPr>
                  <w:tcW w:w="2785" w:type="dxa"/>
                  <w:vAlign w:val="center"/>
                </w:tcPr>
                <w:p w:rsidR="00DD6EEC" w:rsidRPr="00122CA9" w:rsidRDefault="00DD6EEC" w:rsidP="00DD6EEC">
                  <w:pPr>
                    <w:ind w:right="-540"/>
                    <w:jc w:val="center"/>
                    <w:rPr>
                      <w:sz w:val="24"/>
                      <w:szCs w:val="24"/>
                    </w:rPr>
                  </w:pPr>
                  <w:r w:rsidRPr="00122CA9">
                    <w:rPr>
                      <w:sz w:val="24"/>
                      <w:szCs w:val="24"/>
                    </w:rPr>
                    <w:t>Wind</w:t>
                  </w:r>
                </w:p>
              </w:tc>
              <w:tc>
                <w:tcPr>
                  <w:tcW w:w="3060" w:type="dxa"/>
                  <w:vAlign w:val="center"/>
                </w:tcPr>
                <w:p w:rsidR="00DD6EEC" w:rsidRPr="00122CA9" w:rsidRDefault="00DD6EEC" w:rsidP="00DD6EEC">
                  <w:pPr>
                    <w:ind w:right="-540"/>
                    <w:jc w:val="center"/>
                    <w:rPr>
                      <w:sz w:val="24"/>
                      <w:szCs w:val="24"/>
                    </w:rPr>
                  </w:pPr>
                  <w:r w:rsidRPr="00122CA9">
                    <w:rPr>
                      <w:color w:val="000000"/>
                      <w:sz w:val="24"/>
                      <w:szCs w:val="24"/>
                    </w:rPr>
                    <w:t>80</w:t>
                  </w:r>
                </w:p>
              </w:tc>
            </w:tr>
            <w:tr w:rsidR="00DD6EEC" w:rsidRPr="00122CA9" w:rsidTr="00DD6EEC">
              <w:trPr>
                <w:jc w:val="center"/>
              </w:trPr>
              <w:tc>
                <w:tcPr>
                  <w:tcW w:w="2785" w:type="dxa"/>
                  <w:vAlign w:val="center"/>
                </w:tcPr>
                <w:p w:rsidR="00DD6EEC" w:rsidRPr="00122CA9" w:rsidRDefault="00DD6EEC" w:rsidP="00DD6EEC">
                  <w:pPr>
                    <w:ind w:right="-540"/>
                    <w:jc w:val="center"/>
                    <w:rPr>
                      <w:sz w:val="24"/>
                      <w:szCs w:val="24"/>
                    </w:rPr>
                  </w:pPr>
                  <w:r w:rsidRPr="00122CA9">
                    <w:rPr>
                      <w:sz w:val="24"/>
                      <w:szCs w:val="24"/>
                    </w:rPr>
                    <w:t>Wood</w:t>
                  </w:r>
                </w:p>
              </w:tc>
              <w:tc>
                <w:tcPr>
                  <w:tcW w:w="3060" w:type="dxa"/>
                  <w:vAlign w:val="center"/>
                </w:tcPr>
                <w:p w:rsidR="00DD6EEC" w:rsidRPr="00122CA9" w:rsidRDefault="00DD6EEC" w:rsidP="00DD6EEC">
                  <w:pPr>
                    <w:ind w:right="-540"/>
                    <w:jc w:val="center"/>
                    <w:rPr>
                      <w:sz w:val="24"/>
                      <w:szCs w:val="24"/>
                    </w:rPr>
                  </w:pPr>
                  <w:r w:rsidRPr="00122CA9">
                    <w:rPr>
                      <w:color w:val="000000"/>
                      <w:sz w:val="24"/>
                      <w:szCs w:val="24"/>
                    </w:rPr>
                    <w:t>65</w:t>
                  </w:r>
                </w:p>
              </w:tc>
            </w:tr>
            <w:tr w:rsidR="00DD6EEC" w:rsidRPr="00122CA9" w:rsidTr="00DD6EEC">
              <w:trPr>
                <w:jc w:val="center"/>
              </w:trPr>
              <w:tc>
                <w:tcPr>
                  <w:tcW w:w="2785" w:type="dxa"/>
                  <w:vAlign w:val="center"/>
                </w:tcPr>
                <w:p w:rsidR="00DD6EEC" w:rsidRPr="00122CA9" w:rsidRDefault="00DD6EEC" w:rsidP="00DD6EEC">
                  <w:pPr>
                    <w:tabs>
                      <w:tab w:val="left" w:pos="615"/>
                    </w:tabs>
                    <w:ind w:right="-540"/>
                    <w:jc w:val="center"/>
                    <w:rPr>
                      <w:sz w:val="24"/>
                      <w:szCs w:val="24"/>
                    </w:rPr>
                  </w:pPr>
                  <w:r w:rsidRPr="00122CA9">
                    <w:rPr>
                      <w:sz w:val="24"/>
                      <w:szCs w:val="24"/>
                    </w:rPr>
                    <w:t>Total</w:t>
                  </w:r>
                </w:p>
              </w:tc>
              <w:tc>
                <w:tcPr>
                  <w:tcW w:w="3060" w:type="dxa"/>
                  <w:vAlign w:val="center"/>
                </w:tcPr>
                <w:p w:rsidR="00DD6EEC" w:rsidRPr="00122CA9" w:rsidRDefault="00DD6EEC" w:rsidP="00DD6EEC">
                  <w:pPr>
                    <w:ind w:right="-540"/>
                    <w:jc w:val="center"/>
                    <w:rPr>
                      <w:sz w:val="24"/>
                      <w:szCs w:val="24"/>
                    </w:rPr>
                  </w:pPr>
                  <w:r w:rsidRPr="00122CA9">
                    <w:rPr>
                      <w:sz w:val="24"/>
                      <w:szCs w:val="24"/>
                    </w:rPr>
                    <w:t>94</w:t>
                  </w:r>
                </w:p>
              </w:tc>
            </w:tr>
          </w:tbl>
          <w:p w:rsidR="00DD6EEC" w:rsidRPr="00C40370" w:rsidRDefault="00DD6EEC" w:rsidP="00DD6EEC">
            <w:pPr>
              <w:ind w:right="-540"/>
              <w:rPr>
                <w:b/>
                <w:sz w:val="24"/>
                <w:szCs w:val="24"/>
              </w:rPr>
            </w:pPr>
          </w:p>
        </w:tc>
        <w:tc>
          <w:tcPr>
            <w:tcW w:w="1344" w:type="dxa"/>
            <w:vMerge w:val="restart"/>
            <w:shd w:val="clear" w:color="auto" w:fill="FFFFFF"/>
          </w:tcPr>
          <w:p w:rsidR="00DD6EEC" w:rsidRPr="00C40370" w:rsidRDefault="00DD6EEC" w:rsidP="00DD6EEC">
            <w:pPr>
              <w:ind w:right="-540"/>
              <w:rPr>
                <w:b/>
                <w:sz w:val="24"/>
                <w:szCs w:val="24"/>
              </w:rPr>
            </w:pPr>
          </w:p>
        </w:tc>
        <w:tc>
          <w:tcPr>
            <w:tcW w:w="3534" w:type="dxa"/>
            <w:gridSpan w:val="3"/>
            <w:shd w:val="clear" w:color="auto" w:fill="FFFFFF"/>
          </w:tcPr>
          <w:p w:rsidR="00DD6EEC" w:rsidRPr="00C40370" w:rsidRDefault="00DD6EEC" w:rsidP="00DD6EEC">
            <w:pPr>
              <w:tabs>
                <w:tab w:val="left" w:pos="330"/>
              </w:tabs>
              <w:ind w:right="-540"/>
              <w:rPr>
                <w:b/>
                <w:sz w:val="24"/>
                <w:szCs w:val="24"/>
              </w:rPr>
            </w:pPr>
          </w:p>
        </w:tc>
      </w:tr>
      <w:tr w:rsidR="00DD6EEC" w:rsidRPr="00C40370" w:rsidTr="00DD6EEC">
        <w:trPr>
          <w:trHeight w:val="825"/>
        </w:trPr>
        <w:tc>
          <w:tcPr>
            <w:tcW w:w="2250" w:type="dxa"/>
            <w:vMerge/>
            <w:shd w:val="clear" w:color="auto" w:fill="FFFFFF"/>
          </w:tcPr>
          <w:p w:rsidR="00DD6EEC" w:rsidRPr="00C40370" w:rsidRDefault="00DD6EEC" w:rsidP="00DD6EEC">
            <w:pPr>
              <w:ind w:right="-540"/>
              <w:rPr>
                <w:b/>
                <w:sz w:val="24"/>
                <w:szCs w:val="24"/>
              </w:rPr>
            </w:pPr>
          </w:p>
        </w:tc>
        <w:tc>
          <w:tcPr>
            <w:tcW w:w="1344" w:type="dxa"/>
            <w:vMerge/>
            <w:shd w:val="clear" w:color="auto" w:fill="FFFFFF"/>
          </w:tcPr>
          <w:p w:rsidR="00DD6EEC" w:rsidRPr="00C40370" w:rsidRDefault="00DD6EEC" w:rsidP="00DD6EEC">
            <w:pPr>
              <w:ind w:right="-540"/>
              <w:rPr>
                <w:b/>
                <w:sz w:val="24"/>
                <w:szCs w:val="24"/>
              </w:rPr>
            </w:pPr>
          </w:p>
        </w:tc>
        <w:tc>
          <w:tcPr>
            <w:tcW w:w="1012" w:type="dxa"/>
            <w:shd w:val="clear" w:color="auto" w:fill="FFFFFF"/>
          </w:tcPr>
          <w:p w:rsidR="00DD6EEC" w:rsidRPr="00C40370" w:rsidRDefault="00DD6EEC" w:rsidP="00DD6EEC">
            <w:pPr>
              <w:tabs>
                <w:tab w:val="left" w:pos="330"/>
              </w:tabs>
              <w:ind w:right="-540"/>
              <w:rPr>
                <w:b/>
                <w:sz w:val="24"/>
                <w:szCs w:val="24"/>
              </w:rPr>
            </w:pPr>
          </w:p>
        </w:tc>
        <w:tc>
          <w:tcPr>
            <w:tcW w:w="1178" w:type="dxa"/>
            <w:shd w:val="clear" w:color="auto" w:fill="FFFFFF"/>
          </w:tcPr>
          <w:p w:rsidR="00DD6EEC" w:rsidRPr="00C40370" w:rsidRDefault="00DD6EEC" w:rsidP="00DD6EEC">
            <w:pPr>
              <w:tabs>
                <w:tab w:val="left" w:pos="330"/>
              </w:tabs>
              <w:ind w:right="-540"/>
              <w:rPr>
                <w:b/>
                <w:sz w:val="24"/>
                <w:szCs w:val="24"/>
              </w:rPr>
            </w:pPr>
          </w:p>
        </w:tc>
        <w:tc>
          <w:tcPr>
            <w:tcW w:w="1344" w:type="dxa"/>
            <w:shd w:val="clear" w:color="auto" w:fill="FFFFFF"/>
          </w:tcPr>
          <w:p w:rsidR="00DD6EEC" w:rsidRPr="00C40370" w:rsidRDefault="00DD6EEC" w:rsidP="00DD6EEC">
            <w:pPr>
              <w:tabs>
                <w:tab w:val="left" w:pos="330"/>
              </w:tabs>
              <w:ind w:right="-540"/>
              <w:rPr>
                <w:b/>
                <w:sz w:val="24"/>
                <w:szCs w:val="24"/>
              </w:rPr>
            </w:pPr>
          </w:p>
        </w:tc>
      </w:tr>
      <w:tr w:rsidR="00DD6EEC" w:rsidRPr="00C40370" w:rsidTr="00DD6EEC">
        <w:trPr>
          <w:trHeight w:val="825"/>
        </w:trPr>
        <w:tc>
          <w:tcPr>
            <w:tcW w:w="2250" w:type="dxa"/>
            <w:shd w:val="clear" w:color="auto" w:fill="FFFFFF"/>
          </w:tcPr>
          <w:p w:rsidR="00DD6EEC" w:rsidRPr="00C40370" w:rsidRDefault="00DD6EEC" w:rsidP="00DD6EEC">
            <w:pPr>
              <w:rPr>
                <w:sz w:val="24"/>
                <w:szCs w:val="24"/>
              </w:rPr>
            </w:pPr>
          </w:p>
          <w:p w:rsidR="00DD6EEC" w:rsidRPr="00C40370" w:rsidRDefault="00DD6EEC" w:rsidP="00DD6EEC">
            <w:pPr>
              <w:rPr>
                <w:sz w:val="24"/>
                <w:szCs w:val="24"/>
              </w:rPr>
            </w:pPr>
            <w:r w:rsidRPr="00C40370">
              <w:rPr>
                <w:sz w:val="24"/>
                <w:szCs w:val="24"/>
              </w:rPr>
              <w:t xml:space="preserve">REFERENCES:  </w:t>
            </w:r>
          </w:p>
          <w:p w:rsidR="00DD6EEC" w:rsidRPr="00C40370" w:rsidRDefault="00DD6EEC" w:rsidP="00DD6EEC">
            <w:pPr>
              <w:rPr>
                <w:sz w:val="24"/>
                <w:szCs w:val="24"/>
              </w:rPr>
            </w:pPr>
          </w:p>
          <w:p w:rsidR="00DD6EEC" w:rsidRPr="00C40370" w:rsidRDefault="00DD6EEC" w:rsidP="00DD6EEC">
            <w:pPr>
              <w:rPr>
                <w:sz w:val="24"/>
                <w:szCs w:val="24"/>
              </w:rPr>
            </w:pPr>
            <w:r w:rsidRPr="00C40370">
              <w:rPr>
                <w:sz w:val="24"/>
                <w:szCs w:val="24"/>
              </w:rPr>
              <w:t xml:space="preserve">The regression estimation/imputation procedures used for the Form EIA-826 and Form EIA-923 are documented and discussed in the on-line statistics journal, </w:t>
            </w:r>
            <w:proofErr w:type="spellStart"/>
            <w:r w:rsidRPr="00C40370">
              <w:rPr>
                <w:b/>
                <w:bCs/>
                <w:i/>
                <w:iCs/>
                <w:sz w:val="24"/>
                <w:szCs w:val="24"/>
              </w:rPr>
              <w:t>InterStat</w:t>
            </w:r>
            <w:proofErr w:type="spellEnd"/>
            <w:r w:rsidRPr="00C40370">
              <w:rPr>
                <w:sz w:val="24"/>
                <w:szCs w:val="24"/>
              </w:rPr>
              <w:t xml:space="preserve">, in the following articles: </w:t>
            </w:r>
          </w:p>
          <w:p w:rsidR="00DD6EEC" w:rsidRPr="00C40370" w:rsidRDefault="00DD6EEC" w:rsidP="00DD6EEC">
            <w:pPr>
              <w:rPr>
                <w:sz w:val="24"/>
                <w:szCs w:val="24"/>
              </w:rPr>
            </w:pPr>
          </w:p>
          <w:p w:rsidR="00DD6EEC" w:rsidRPr="00C40370" w:rsidRDefault="00DD6EEC" w:rsidP="00DD6EEC">
            <w:pPr>
              <w:numPr>
                <w:ilvl w:val="0"/>
                <w:numId w:val="6"/>
              </w:numPr>
              <w:spacing w:after="0" w:line="240" w:lineRule="auto"/>
              <w:rPr>
                <w:sz w:val="24"/>
                <w:szCs w:val="24"/>
              </w:rPr>
            </w:pPr>
            <w:r w:rsidRPr="00C40370">
              <w:rPr>
                <w:sz w:val="24"/>
                <w:szCs w:val="24"/>
              </w:rPr>
              <w:t>“Using Prediction</w:t>
            </w:r>
            <w:r w:rsidRPr="00C40370">
              <w:rPr>
                <w:sz w:val="24"/>
                <w:szCs w:val="24"/>
              </w:rPr>
              <w:noBreakHyphen/>
            </w:r>
            <w:proofErr w:type="spellStart"/>
            <w:r w:rsidRPr="00C40370">
              <w:rPr>
                <w:sz w:val="24"/>
                <w:szCs w:val="24"/>
              </w:rPr>
              <w:t>Oriented</w:t>
            </w:r>
            <w:proofErr w:type="spellEnd"/>
            <w:r w:rsidRPr="00C40370">
              <w:rPr>
                <w:sz w:val="24"/>
                <w:szCs w:val="24"/>
              </w:rPr>
              <w:t xml:space="preserve"> Software for Survey Estimation,” at the following URL: </w:t>
            </w:r>
            <w:hyperlink r:id="rId11" w:history="1">
              <w:r w:rsidRPr="00C40370">
                <w:rPr>
                  <w:rStyle w:val="Hyperlink"/>
                  <w:sz w:val="24"/>
                  <w:szCs w:val="24"/>
                </w:rPr>
                <w:t>http://interstat.stat.vt.edu/interstat/articles/1999/abstracts/g99001.html</w:t>
              </w:r>
              <w:r w:rsidRPr="00C40370">
                <w:rPr>
                  <w:rStyle w:val="Hyperlink"/>
                  <w:sz w:val="24"/>
                  <w:szCs w:val="24"/>
                </w:rPr>
                <w:noBreakHyphen/>
                <w:t>ssi</w:t>
              </w:r>
            </w:hyperlink>
          </w:p>
          <w:p w:rsidR="00DD6EEC" w:rsidRPr="00C40370" w:rsidRDefault="00DD6EEC" w:rsidP="00DD6EEC">
            <w:pPr>
              <w:numPr>
                <w:ilvl w:val="0"/>
                <w:numId w:val="6"/>
              </w:numPr>
              <w:spacing w:after="0" w:line="240" w:lineRule="auto"/>
              <w:rPr>
                <w:sz w:val="24"/>
                <w:szCs w:val="24"/>
              </w:rPr>
            </w:pPr>
            <w:r w:rsidRPr="00C40370">
              <w:rPr>
                <w:sz w:val="24"/>
                <w:szCs w:val="24"/>
              </w:rPr>
              <w:t>“Using Prediction</w:t>
            </w:r>
            <w:r w:rsidRPr="00C40370">
              <w:rPr>
                <w:sz w:val="24"/>
                <w:szCs w:val="24"/>
              </w:rPr>
              <w:noBreakHyphen/>
            </w:r>
            <w:proofErr w:type="spellStart"/>
            <w:r w:rsidRPr="00C40370">
              <w:rPr>
                <w:sz w:val="24"/>
                <w:szCs w:val="24"/>
              </w:rPr>
              <w:t>Oriented</w:t>
            </w:r>
            <w:proofErr w:type="spellEnd"/>
            <w:r w:rsidRPr="00C40370">
              <w:rPr>
                <w:sz w:val="24"/>
                <w:szCs w:val="24"/>
              </w:rPr>
              <w:t xml:space="preserve"> Software for Survey Estimation </w:t>
            </w:r>
            <w:r w:rsidRPr="00C40370">
              <w:rPr>
                <w:sz w:val="24"/>
                <w:szCs w:val="24"/>
              </w:rPr>
              <w:noBreakHyphen/>
              <w:t xml:space="preserve"> Part II: Ratios of Totals,” at the following URL: </w:t>
            </w:r>
            <w:hyperlink r:id="rId12" w:history="1">
              <w:r w:rsidRPr="00C40370">
                <w:rPr>
                  <w:rStyle w:val="Hyperlink"/>
                  <w:sz w:val="24"/>
                  <w:szCs w:val="24"/>
                </w:rPr>
                <w:t>http://interstat.stat.vt.edu/interstat/articles/2000/abstracts/u00002.html</w:t>
              </w:r>
              <w:r w:rsidRPr="00C40370">
                <w:rPr>
                  <w:rStyle w:val="Hyperlink"/>
                  <w:sz w:val="24"/>
                  <w:szCs w:val="24"/>
                </w:rPr>
                <w:noBreakHyphen/>
                <w:t>ssi</w:t>
              </w:r>
            </w:hyperlink>
          </w:p>
          <w:p w:rsidR="00DD6EEC" w:rsidRPr="00C40370" w:rsidRDefault="00DD6EEC" w:rsidP="00DD6EEC">
            <w:pPr>
              <w:numPr>
                <w:ilvl w:val="0"/>
                <w:numId w:val="6"/>
              </w:numPr>
              <w:spacing w:after="0" w:line="240" w:lineRule="auto"/>
              <w:rPr>
                <w:sz w:val="24"/>
                <w:szCs w:val="24"/>
              </w:rPr>
            </w:pPr>
            <w:r w:rsidRPr="00C40370">
              <w:rPr>
                <w:sz w:val="24"/>
                <w:szCs w:val="24"/>
              </w:rPr>
              <w:t>“Using Prediction</w:t>
            </w:r>
            <w:r w:rsidRPr="00C40370">
              <w:rPr>
                <w:sz w:val="24"/>
                <w:szCs w:val="24"/>
              </w:rPr>
              <w:noBreakHyphen/>
            </w:r>
            <w:proofErr w:type="spellStart"/>
            <w:r w:rsidRPr="00C40370">
              <w:rPr>
                <w:sz w:val="24"/>
                <w:szCs w:val="24"/>
              </w:rPr>
              <w:t>Oriented</w:t>
            </w:r>
            <w:proofErr w:type="spellEnd"/>
            <w:r w:rsidRPr="00C40370">
              <w:rPr>
                <w:sz w:val="24"/>
                <w:szCs w:val="24"/>
              </w:rPr>
              <w:t xml:space="preserve"> Software for Survey Estimation </w:t>
            </w:r>
            <w:r w:rsidRPr="00C40370">
              <w:rPr>
                <w:sz w:val="24"/>
                <w:szCs w:val="24"/>
              </w:rPr>
              <w:noBreakHyphen/>
              <w:t xml:space="preserve"> Part III: Full Scale Study of Variance and Bias,” at the following URL: </w:t>
            </w:r>
            <w:hyperlink r:id="rId13" w:history="1">
              <w:r w:rsidRPr="00C40370">
                <w:rPr>
                  <w:rStyle w:val="Hyperlink"/>
                  <w:sz w:val="24"/>
                  <w:szCs w:val="24"/>
                </w:rPr>
                <w:t>http://interstat.stat.vt.edu/interstat/articles/2001/abstracts/u01001.html</w:t>
              </w:r>
              <w:r w:rsidRPr="00C40370">
                <w:rPr>
                  <w:rStyle w:val="Hyperlink"/>
                  <w:sz w:val="24"/>
                  <w:szCs w:val="24"/>
                </w:rPr>
                <w:noBreakHyphen/>
                <w:t>ssi</w:t>
              </w:r>
            </w:hyperlink>
            <w:r w:rsidRPr="00C40370">
              <w:rPr>
                <w:sz w:val="24"/>
                <w:szCs w:val="24"/>
              </w:rPr>
              <w:t>.</w:t>
            </w:r>
          </w:p>
          <w:p w:rsidR="00DD6EEC" w:rsidRPr="00C40370" w:rsidRDefault="00DD6EEC" w:rsidP="00DD6EEC">
            <w:pPr>
              <w:rPr>
                <w:sz w:val="24"/>
                <w:szCs w:val="24"/>
              </w:rPr>
            </w:pPr>
          </w:p>
          <w:p w:rsidR="00DD6EEC" w:rsidRPr="00C40370" w:rsidRDefault="00DD6EEC" w:rsidP="00DD6EEC">
            <w:pPr>
              <w:rPr>
                <w:sz w:val="24"/>
                <w:szCs w:val="24"/>
              </w:rPr>
            </w:pPr>
            <w:r w:rsidRPr="00C40370">
              <w:rPr>
                <w:sz w:val="24"/>
                <w:szCs w:val="24"/>
              </w:rPr>
              <w:t>The method described in these articles is generally useful for both small area estimation and imputation, with adjustments as described in those documents.</w:t>
            </w:r>
            <w:r w:rsidRPr="00C40370" w:rsidDel="00B46B13">
              <w:rPr>
                <w:sz w:val="24"/>
                <w:szCs w:val="24"/>
              </w:rPr>
              <w:t xml:space="preserve"> </w:t>
            </w:r>
            <w:r w:rsidRPr="00C40370">
              <w:rPr>
                <w:sz w:val="24"/>
                <w:szCs w:val="24"/>
              </w:rPr>
              <w:t xml:space="preserve"> Additional documentation and references include:  </w:t>
            </w:r>
          </w:p>
          <w:p w:rsidR="00DD6EEC" w:rsidRPr="00C40370" w:rsidRDefault="00DD6EEC" w:rsidP="00DD6EEC">
            <w:pPr>
              <w:rPr>
                <w:sz w:val="16"/>
                <w:szCs w:val="16"/>
              </w:rPr>
            </w:pPr>
          </w:p>
          <w:p w:rsidR="00DD6EEC" w:rsidRPr="00C40370" w:rsidRDefault="00DD6EEC" w:rsidP="00DD6EEC">
            <w:pPr>
              <w:rPr>
                <w:sz w:val="24"/>
                <w:szCs w:val="24"/>
              </w:rPr>
            </w:pPr>
            <w:r w:rsidRPr="00C40370">
              <w:rPr>
                <w:sz w:val="24"/>
                <w:szCs w:val="24"/>
              </w:rPr>
              <w:t xml:space="preserve">(1) “Model-Based Sampling, Inference and Imputation,” available on the EIA Web site at: </w:t>
            </w:r>
            <w:hyperlink r:id="rId14" w:history="1">
              <w:r w:rsidRPr="00C40370">
                <w:rPr>
                  <w:rStyle w:val="Hyperlink"/>
                  <w:sz w:val="24"/>
                  <w:szCs w:val="24"/>
                </w:rPr>
                <w:t>http://www.eia.doe.gov/cneaf/electricity/forms/eiawebme.pdf</w:t>
              </w:r>
            </w:hyperlink>
            <w:r w:rsidRPr="00C40370">
              <w:rPr>
                <w:sz w:val="24"/>
                <w:szCs w:val="24"/>
              </w:rPr>
              <w:t xml:space="preserve"> </w:t>
            </w:r>
          </w:p>
          <w:p w:rsidR="00DD6EEC" w:rsidRPr="00C40370" w:rsidRDefault="00DD6EEC" w:rsidP="00DD6EEC">
            <w:pPr>
              <w:rPr>
                <w:sz w:val="16"/>
                <w:szCs w:val="16"/>
              </w:rPr>
            </w:pPr>
          </w:p>
          <w:p w:rsidR="00DD6EEC" w:rsidRPr="00C40370" w:rsidRDefault="00DD6EEC" w:rsidP="00DD6EEC">
            <w:pPr>
              <w:rPr>
                <w:sz w:val="24"/>
                <w:szCs w:val="24"/>
              </w:rPr>
            </w:pPr>
            <w:r w:rsidRPr="00C40370">
              <w:rPr>
                <w:sz w:val="24"/>
                <w:szCs w:val="24"/>
              </w:rPr>
              <w:t xml:space="preserve">(2) “Weighting in Regression for Use in Survey Methodology," </w:t>
            </w:r>
            <w:proofErr w:type="spellStart"/>
            <w:r w:rsidRPr="00C40370">
              <w:rPr>
                <w:i/>
                <w:iCs/>
                <w:sz w:val="24"/>
                <w:szCs w:val="24"/>
              </w:rPr>
              <w:t>InterStat</w:t>
            </w:r>
            <w:proofErr w:type="spellEnd"/>
            <w:r w:rsidRPr="00C40370">
              <w:rPr>
                <w:sz w:val="24"/>
                <w:szCs w:val="24"/>
              </w:rPr>
              <w:t xml:space="preserve">, available at:  </w:t>
            </w:r>
          </w:p>
          <w:p w:rsidR="00DD6EEC" w:rsidRPr="00C40370" w:rsidRDefault="00DD6EEC" w:rsidP="00DD6EEC">
            <w:pPr>
              <w:rPr>
                <w:sz w:val="24"/>
                <w:szCs w:val="24"/>
              </w:rPr>
            </w:pPr>
            <w:hyperlink r:id="rId15" w:history="1">
              <w:r w:rsidRPr="00C40370">
                <w:rPr>
                  <w:rStyle w:val="Hyperlink"/>
                  <w:sz w:val="24"/>
                  <w:szCs w:val="24"/>
                </w:rPr>
                <w:t>http://interstat.stat.vt.edu/InterStat/ARTICLES/1997/abstracts/A97001.html--ssi</w:t>
              </w:r>
            </w:hyperlink>
            <w:r w:rsidRPr="00C40370">
              <w:rPr>
                <w:sz w:val="24"/>
                <w:szCs w:val="24"/>
              </w:rPr>
              <w:t xml:space="preserve">. </w:t>
            </w:r>
          </w:p>
          <w:p w:rsidR="00DD6EEC" w:rsidRPr="00C40370" w:rsidRDefault="00DD6EEC" w:rsidP="00DD6EEC">
            <w:pPr>
              <w:pStyle w:val="Heading2"/>
              <w:rPr>
                <w:b w:val="0"/>
                <w:bCs w:val="0"/>
                <w:i/>
                <w:iCs/>
                <w:sz w:val="24"/>
                <w:szCs w:val="24"/>
              </w:rPr>
            </w:pPr>
            <w:bookmarkStart w:id="18" w:name="_Toc261606923"/>
            <w:r w:rsidRPr="00C40370">
              <w:rPr>
                <w:b w:val="0"/>
                <w:sz w:val="24"/>
                <w:szCs w:val="24"/>
              </w:rPr>
              <w:t>(3) “Some Applications of Model Sampling to Electric Power Data,” ASA Proceedings of the Survey Research Methods Section, available at:</w:t>
            </w:r>
            <w:bookmarkEnd w:id="18"/>
            <w:r w:rsidRPr="00C40370">
              <w:rPr>
                <w:b w:val="0"/>
                <w:sz w:val="24"/>
                <w:szCs w:val="24"/>
              </w:rPr>
              <w:t xml:space="preserve"> </w:t>
            </w:r>
            <w:r w:rsidRPr="00C40370">
              <w:rPr>
                <w:b w:val="0"/>
                <w:bCs w:val="0"/>
                <w:sz w:val="24"/>
                <w:szCs w:val="24"/>
              </w:rPr>
              <w:t xml:space="preserve"> </w:t>
            </w:r>
          </w:p>
          <w:p w:rsidR="00DD6EEC" w:rsidRPr="00C40370" w:rsidRDefault="00DD6EEC" w:rsidP="00DD6EEC">
            <w:pPr>
              <w:rPr>
                <w:sz w:val="24"/>
                <w:szCs w:val="24"/>
              </w:rPr>
            </w:pPr>
            <w:hyperlink r:id="rId16" w:history="1">
              <w:r w:rsidRPr="00C40370">
                <w:rPr>
                  <w:rStyle w:val="Hyperlink"/>
                  <w:sz w:val="24"/>
                  <w:szCs w:val="24"/>
                </w:rPr>
                <w:t>www.amstat.org/sections/SRMS/proceedings/papers/1991_133.pdf</w:t>
              </w:r>
            </w:hyperlink>
            <w:r w:rsidRPr="00C40370">
              <w:rPr>
                <w:rStyle w:val="a"/>
                <w:szCs w:val="24"/>
              </w:rPr>
              <w:t xml:space="preserve"> </w:t>
            </w:r>
          </w:p>
          <w:p w:rsidR="00DD6EEC" w:rsidRPr="00C40370" w:rsidRDefault="00DD6EEC" w:rsidP="00DD6EEC">
            <w:pPr>
              <w:tabs>
                <w:tab w:val="left" w:pos="1152"/>
                <w:tab w:val="left" w:pos="2160"/>
                <w:tab w:val="left" w:pos="3024"/>
                <w:tab w:val="left" w:pos="4320"/>
                <w:tab w:val="left" w:pos="7776"/>
              </w:tabs>
              <w:rPr>
                <w:sz w:val="16"/>
                <w:szCs w:val="16"/>
              </w:rPr>
            </w:pPr>
          </w:p>
          <w:p w:rsidR="00DD6EEC" w:rsidRPr="00C40370" w:rsidRDefault="00DD6EEC" w:rsidP="00DD6EEC">
            <w:pPr>
              <w:autoSpaceDE w:val="0"/>
              <w:autoSpaceDN w:val="0"/>
              <w:adjustRightInd w:val="0"/>
              <w:rPr>
                <w:sz w:val="24"/>
                <w:szCs w:val="24"/>
              </w:rPr>
            </w:pPr>
            <w:r w:rsidRPr="00C40370">
              <w:rPr>
                <w:sz w:val="24"/>
                <w:szCs w:val="24"/>
              </w:rPr>
              <w:t xml:space="preserve">(4) Royall, R.M., and W.G. Cumberland (1978), "Variance Estimation in Finite Population Sampling," </w:t>
            </w:r>
            <w:r w:rsidRPr="00C40370">
              <w:rPr>
                <w:i/>
                <w:sz w:val="24"/>
                <w:szCs w:val="24"/>
              </w:rPr>
              <w:t>Journal of the American Statistical Association,</w:t>
            </w:r>
            <w:r w:rsidRPr="00C40370">
              <w:rPr>
                <w:sz w:val="24"/>
                <w:szCs w:val="24"/>
              </w:rPr>
              <w:t xml:space="preserve"> 73, 351-358</w:t>
            </w:r>
          </w:p>
          <w:p w:rsidR="00DD6EEC" w:rsidRPr="00C40370" w:rsidRDefault="00DD6EEC" w:rsidP="00DD6EEC">
            <w:pPr>
              <w:rPr>
                <w:sz w:val="16"/>
                <w:szCs w:val="16"/>
              </w:rPr>
            </w:pPr>
          </w:p>
          <w:p w:rsidR="00DD6EEC" w:rsidRPr="00C40370" w:rsidRDefault="00DD6EEC" w:rsidP="00DD6EEC">
            <w:pPr>
              <w:rPr>
                <w:sz w:val="24"/>
                <w:szCs w:val="24"/>
              </w:rPr>
            </w:pPr>
            <w:r w:rsidRPr="00C40370">
              <w:rPr>
                <w:sz w:val="24"/>
                <w:szCs w:val="24"/>
              </w:rPr>
              <w:t xml:space="preserve">(5) “The Classical Ratio Estimator,” </w:t>
            </w:r>
            <w:proofErr w:type="spellStart"/>
            <w:r w:rsidRPr="00C40370">
              <w:rPr>
                <w:i/>
                <w:sz w:val="24"/>
                <w:szCs w:val="24"/>
              </w:rPr>
              <w:t>InterStat</w:t>
            </w:r>
            <w:proofErr w:type="spellEnd"/>
            <w:r w:rsidRPr="00C40370">
              <w:rPr>
                <w:i/>
                <w:sz w:val="24"/>
                <w:szCs w:val="24"/>
              </w:rPr>
              <w:t>,</w:t>
            </w:r>
            <w:r w:rsidRPr="00C40370">
              <w:rPr>
                <w:sz w:val="24"/>
                <w:szCs w:val="24"/>
              </w:rPr>
              <w:t xml:space="preserve"> available at: </w:t>
            </w:r>
          </w:p>
          <w:p w:rsidR="00DD6EEC" w:rsidRPr="00C40370" w:rsidRDefault="00DD6EEC" w:rsidP="00DD6EEC">
            <w:pPr>
              <w:rPr>
                <w:sz w:val="24"/>
                <w:szCs w:val="24"/>
              </w:rPr>
            </w:pPr>
            <w:hyperlink r:id="rId17" w:history="1">
              <w:r w:rsidRPr="00C40370">
                <w:rPr>
                  <w:rStyle w:val="Hyperlink"/>
                  <w:sz w:val="24"/>
                  <w:szCs w:val="24"/>
                </w:rPr>
                <w:t>http://interstat.statjournals.net/YEAR/2005/abstracts/0510004.php</w:t>
              </w:r>
            </w:hyperlink>
            <w:r w:rsidRPr="00C40370">
              <w:rPr>
                <w:sz w:val="24"/>
                <w:szCs w:val="24"/>
              </w:rPr>
              <w:t xml:space="preserve"> </w:t>
            </w:r>
          </w:p>
          <w:p w:rsidR="00DD6EEC" w:rsidRPr="00C40370" w:rsidRDefault="00DD6EEC" w:rsidP="00DD6EEC">
            <w:pPr>
              <w:rPr>
                <w:sz w:val="16"/>
                <w:szCs w:val="16"/>
              </w:rPr>
            </w:pPr>
          </w:p>
          <w:p w:rsidR="00DD6EEC" w:rsidRPr="00C40370" w:rsidRDefault="00DD6EEC" w:rsidP="00DD6EEC">
            <w:pPr>
              <w:rPr>
                <w:sz w:val="24"/>
                <w:szCs w:val="24"/>
              </w:rPr>
            </w:pPr>
            <w:r w:rsidRPr="00C40370">
              <w:rPr>
                <w:sz w:val="24"/>
                <w:szCs w:val="24"/>
              </w:rPr>
              <w:t xml:space="preserve">(6) “Cutoff Sampling and Inference,” </w:t>
            </w:r>
            <w:proofErr w:type="spellStart"/>
            <w:r w:rsidRPr="00C40370">
              <w:rPr>
                <w:i/>
                <w:sz w:val="24"/>
                <w:szCs w:val="24"/>
              </w:rPr>
              <w:t>InterStat</w:t>
            </w:r>
            <w:proofErr w:type="spellEnd"/>
            <w:r w:rsidRPr="00C40370">
              <w:rPr>
                <w:i/>
                <w:sz w:val="24"/>
                <w:szCs w:val="24"/>
              </w:rPr>
              <w:t>,</w:t>
            </w:r>
            <w:r w:rsidRPr="00C40370">
              <w:rPr>
                <w:sz w:val="24"/>
                <w:szCs w:val="24"/>
              </w:rPr>
              <w:t xml:space="preserve"> available at: </w:t>
            </w:r>
          </w:p>
          <w:p w:rsidR="00DD6EEC" w:rsidRPr="00C40370" w:rsidRDefault="00DD6EEC" w:rsidP="00DD6EEC">
            <w:pPr>
              <w:rPr>
                <w:sz w:val="24"/>
                <w:szCs w:val="24"/>
              </w:rPr>
            </w:pPr>
            <w:hyperlink r:id="rId18" w:history="1">
              <w:r w:rsidRPr="00C40370">
                <w:rPr>
                  <w:rStyle w:val="Hyperlink"/>
                  <w:sz w:val="24"/>
                  <w:szCs w:val="24"/>
                </w:rPr>
                <w:t>http://interstat.statjournals.net/YEAR/2007/abstracts/0704006.php</w:t>
              </w:r>
            </w:hyperlink>
            <w:r w:rsidRPr="00C40370">
              <w:rPr>
                <w:sz w:val="24"/>
                <w:szCs w:val="24"/>
              </w:rPr>
              <w:t xml:space="preserve">. </w:t>
            </w:r>
          </w:p>
          <w:p w:rsidR="00DD6EEC" w:rsidRPr="00C40370" w:rsidRDefault="00DD6EEC" w:rsidP="00DD6EEC">
            <w:pPr>
              <w:rPr>
                <w:sz w:val="16"/>
                <w:szCs w:val="16"/>
              </w:rPr>
            </w:pPr>
          </w:p>
          <w:p w:rsidR="00DD6EEC" w:rsidRPr="00C40370" w:rsidRDefault="00DD6EEC" w:rsidP="00DD6EEC">
            <w:pPr>
              <w:rPr>
                <w:sz w:val="24"/>
                <w:szCs w:val="24"/>
              </w:rPr>
            </w:pPr>
            <w:r w:rsidRPr="00C40370">
              <w:rPr>
                <w:sz w:val="24"/>
                <w:szCs w:val="24"/>
              </w:rPr>
              <w:t xml:space="preserve">(7) “Cutoff vs. Design-Based Sampling and Inference For Establishment Surveys,” </w:t>
            </w:r>
            <w:proofErr w:type="spellStart"/>
            <w:r w:rsidRPr="00C40370">
              <w:rPr>
                <w:i/>
                <w:sz w:val="24"/>
                <w:szCs w:val="24"/>
              </w:rPr>
              <w:t>InterStat</w:t>
            </w:r>
            <w:proofErr w:type="spellEnd"/>
            <w:r w:rsidRPr="00C40370">
              <w:rPr>
                <w:i/>
                <w:sz w:val="24"/>
                <w:szCs w:val="24"/>
              </w:rPr>
              <w:t>,</w:t>
            </w:r>
            <w:r w:rsidRPr="00C40370">
              <w:rPr>
                <w:sz w:val="24"/>
                <w:szCs w:val="24"/>
              </w:rPr>
              <w:t xml:space="preserve"> available at: </w:t>
            </w:r>
            <w:hyperlink r:id="rId19" w:history="1">
              <w:r w:rsidRPr="00C40370">
                <w:rPr>
                  <w:rStyle w:val="Hyperlink"/>
                  <w:sz w:val="24"/>
                  <w:szCs w:val="24"/>
                </w:rPr>
                <w:t>http://interstat.statjournals.net/YEAR/2008/abstracts/0806005.php?Name=806005</w:t>
              </w:r>
            </w:hyperlink>
            <w:r w:rsidRPr="00C40370">
              <w:rPr>
                <w:sz w:val="24"/>
                <w:szCs w:val="24"/>
              </w:rPr>
              <w:t xml:space="preserve"> </w:t>
            </w:r>
          </w:p>
          <w:p w:rsidR="00DD6EEC" w:rsidRPr="00C40370" w:rsidRDefault="00DD6EEC" w:rsidP="00DD6EEC">
            <w:pPr>
              <w:rPr>
                <w:color w:val="3366FF"/>
                <w:sz w:val="16"/>
                <w:szCs w:val="16"/>
              </w:rPr>
            </w:pPr>
          </w:p>
          <w:p w:rsidR="00DD6EEC" w:rsidRDefault="00DD6EEC" w:rsidP="00DD6EEC">
            <w:r w:rsidRPr="00C40370">
              <w:rPr>
                <w:sz w:val="24"/>
                <w:szCs w:val="24"/>
              </w:rPr>
              <w:t xml:space="preserve">(8) </w:t>
            </w:r>
            <w:smartTag w:uri="urn:schemas-microsoft-com:office:smarttags" w:element="PersonName">
              <w:r w:rsidRPr="00C40370">
                <w:rPr>
                  <w:sz w:val="24"/>
                  <w:szCs w:val="24"/>
                </w:rPr>
                <w:t>Douglas, Joel</w:t>
              </w:r>
            </w:smartTag>
            <w:r w:rsidRPr="00C40370">
              <w:rPr>
                <w:sz w:val="24"/>
                <w:szCs w:val="24"/>
              </w:rPr>
              <w:t xml:space="preserve"> R.(2007), “Model-Based Sampling Methodology for the new EIA-923,” Presented to the American Statistical Association and EIA’s Joint Meeting on Energy Statistics, October 18, 2007, </w:t>
            </w:r>
            <w:hyperlink r:id="rId20" w:tooltip="http://www.eia.doe.gov/smg/asa_meeting_2007/fall/files/modeleia923.ppt" w:history="1">
              <w:r w:rsidRPr="00C40370">
                <w:rPr>
                  <w:rStyle w:val="Hyperlink"/>
                  <w:sz w:val="24"/>
                  <w:szCs w:val="24"/>
                </w:rPr>
                <w:t>http://www.eia.doe.gov/smg/asa_meeting_2007/fall/files/modeleia923.ppt</w:t>
              </w:r>
            </w:hyperlink>
            <w:r w:rsidRPr="00C40370">
              <w:rPr>
                <w:sz w:val="24"/>
                <w:szCs w:val="24"/>
              </w:rPr>
              <w:t>. </w:t>
            </w:r>
          </w:p>
          <w:p w:rsidR="00DD6EEC" w:rsidRDefault="00DD6EEC" w:rsidP="00DD6EEC"/>
          <w:p w:rsidR="00DD6EEC" w:rsidRDefault="00DD6EEC" w:rsidP="00DD6EEC">
            <w:pPr>
              <w:pStyle w:val="Heading3"/>
            </w:pPr>
            <w:bookmarkStart w:id="19" w:name="_Toc261606924"/>
            <w:r>
              <w:t>B.3. Methods to Maximize Response Rates</w:t>
            </w:r>
            <w:bookmarkEnd w:id="19"/>
          </w:p>
          <w:p w:rsidR="00DD6EEC" w:rsidRPr="00C40370" w:rsidRDefault="00DD6EEC" w:rsidP="00DD6EEC">
            <w:pPr>
              <w:tabs>
                <w:tab w:val="left" w:pos="1152"/>
                <w:tab w:val="left" w:pos="2160"/>
                <w:tab w:val="left" w:pos="3024"/>
                <w:tab w:val="left" w:pos="4320"/>
                <w:tab w:val="left" w:pos="7776"/>
              </w:tabs>
              <w:rPr>
                <w:b/>
                <w:bCs/>
                <w:sz w:val="24"/>
              </w:rPr>
            </w:pPr>
          </w:p>
          <w:p w:rsidR="00DD6EEC" w:rsidRPr="00C40370" w:rsidRDefault="00DD6EEC" w:rsidP="00DD6EEC">
            <w:pPr>
              <w:tabs>
                <w:tab w:val="left" w:pos="1152"/>
                <w:tab w:val="left" w:pos="2160"/>
                <w:tab w:val="left" w:pos="3024"/>
                <w:tab w:val="left" w:pos="4320"/>
                <w:tab w:val="left" w:pos="7776"/>
              </w:tabs>
              <w:rPr>
                <w:sz w:val="24"/>
              </w:rPr>
            </w:pPr>
            <w:r w:rsidRPr="00C40370">
              <w:rPr>
                <w:sz w:val="24"/>
              </w:rPr>
              <w:t>For all of the EIA electric power respondents, the response rates are close to or equal to 100 percent.  For 200</w:t>
            </w:r>
            <w:r>
              <w:rPr>
                <w:sz w:val="24"/>
              </w:rPr>
              <w:t>8</w:t>
            </w:r>
            <w:r w:rsidRPr="00C40370">
              <w:rPr>
                <w:sz w:val="24"/>
              </w:rPr>
              <w:t xml:space="preserve"> annual data, all </w:t>
            </w:r>
            <w:r>
              <w:rPr>
                <w:sz w:val="24"/>
              </w:rPr>
              <w:t>11,117</w:t>
            </w:r>
            <w:r w:rsidRPr="00C40370">
              <w:rPr>
                <w:sz w:val="24"/>
              </w:rPr>
              <w:t xml:space="preserve"> annual respondents (aggregated across all surveys) submitted their data and typically only about 3-7 out of 2,2</w:t>
            </w:r>
            <w:r>
              <w:rPr>
                <w:sz w:val="24"/>
              </w:rPr>
              <w:t>52</w:t>
            </w:r>
            <w:r w:rsidRPr="00C40370">
              <w:rPr>
                <w:sz w:val="24"/>
              </w:rPr>
              <w:t xml:space="preserve"> monthly 200</w:t>
            </w:r>
            <w:r>
              <w:rPr>
                <w:sz w:val="24"/>
              </w:rPr>
              <w:t>9</w:t>
            </w:r>
            <w:r w:rsidRPr="00C40370">
              <w:rPr>
                <w:sz w:val="24"/>
              </w:rPr>
              <w:t xml:space="preserve"> data respondents did not submit their data in any given month.  To maximize response rates, the EIA forms have been designed and the instructions have been written to be clear and concise to help the respondent complete the forms.  Data that are not expected to change from year-to-year or month-to-month are pre-populated on the forms.  Forms and/or notifications are mailed or </w:t>
            </w:r>
            <w:r>
              <w:rPr>
                <w:sz w:val="24"/>
              </w:rPr>
              <w:t>email</w:t>
            </w:r>
            <w:r w:rsidRPr="00C40370">
              <w:rPr>
                <w:sz w:val="24"/>
              </w:rPr>
              <w:t>ed early to maximize the time that respondents have to complete the surveys.  As noted, the EIA Internet Data Collection (IDC) System makes forms available on-line as soon as respondents obtain a secure ID and password.  Given the high IDC use rate in 200</w:t>
            </w:r>
            <w:r>
              <w:rPr>
                <w:sz w:val="24"/>
              </w:rPr>
              <w:t>9</w:t>
            </w:r>
            <w:r w:rsidRPr="00C40370">
              <w:rPr>
                <w:sz w:val="24"/>
              </w:rPr>
              <w:t xml:space="preserve"> (approximately 9</w:t>
            </w:r>
            <w:r>
              <w:rPr>
                <w:sz w:val="24"/>
              </w:rPr>
              <w:t>5</w:t>
            </w:r>
            <w:r w:rsidRPr="00C40370">
              <w:rPr>
                <w:sz w:val="24"/>
              </w:rPr>
              <w:t xml:space="preserve"> percent of the monthly reports </w:t>
            </w:r>
            <w:r>
              <w:rPr>
                <w:sz w:val="24"/>
              </w:rPr>
              <w:t>and an estimated 90 percent of the annual reports),</w:t>
            </w:r>
            <w:r w:rsidRPr="00C40370">
              <w:rPr>
                <w:sz w:val="24"/>
              </w:rPr>
              <w:t xml:space="preserve"> most of those respondents will merely log on in the next data collection period and access their required forms.  </w:t>
            </w:r>
            <w:r w:rsidRPr="00C40370">
              <w:rPr>
                <w:sz w:val="24"/>
              </w:rPr>
              <w:lastRenderedPageBreak/>
              <w:t>Form(s) due dates are the same each period so that respondents can schedule their completion activities.  The notification and due dates for each survey are provided in Table 6.</w:t>
            </w:r>
          </w:p>
          <w:p w:rsidR="00DD6EEC" w:rsidRPr="00C40370" w:rsidRDefault="00DD6EEC" w:rsidP="00DD6EEC">
            <w:pPr>
              <w:tabs>
                <w:tab w:val="left" w:pos="1152"/>
                <w:tab w:val="left" w:pos="2160"/>
                <w:tab w:val="left" w:pos="3024"/>
                <w:tab w:val="left" w:pos="4320"/>
                <w:tab w:val="left" w:pos="7776"/>
              </w:tabs>
              <w:rPr>
                <w:sz w:val="24"/>
              </w:rPr>
            </w:pPr>
            <w:r w:rsidRPr="00C40370">
              <w:rPr>
                <w:sz w:val="24"/>
              </w:rPr>
              <w:t xml:space="preserve">   </w:t>
            </w:r>
          </w:p>
          <w:p w:rsidR="00DD6EEC" w:rsidRPr="00C40370" w:rsidRDefault="00DD6EEC" w:rsidP="00DD6EEC">
            <w:pPr>
              <w:tabs>
                <w:tab w:val="left" w:pos="1152"/>
                <w:tab w:val="left" w:pos="2160"/>
                <w:tab w:val="left" w:pos="3024"/>
                <w:tab w:val="left" w:pos="4320"/>
                <w:tab w:val="left" w:pos="7776"/>
              </w:tabs>
              <w:rPr>
                <w:sz w:val="24"/>
              </w:rPr>
            </w:pPr>
            <w:r w:rsidRPr="00C40370">
              <w:rPr>
                <w:sz w:val="24"/>
              </w:rPr>
              <w:t xml:space="preserve">The non-respondents are contacted by </w:t>
            </w:r>
            <w:r>
              <w:rPr>
                <w:sz w:val="24"/>
              </w:rPr>
              <w:t>email</w:t>
            </w:r>
            <w:r w:rsidRPr="00C40370">
              <w:rPr>
                <w:sz w:val="24"/>
              </w:rPr>
              <w:t xml:space="preserve">, telephone, and letter to request data submission until an insignificant non-response rate is obtained.  Follow-up letters and </w:t>
            </w:r>
            <w:r>
              <w:rPr>
                <w:sz w:val="24"/>
              </w:rPr>
              <w:t>email</w:t>
            </w:r>
            <w:r w:rsidRPr="00C40370">
              <w:rPr>
                <w:sz w:val="24"/>
              </w:rPr>
              <w:t>s citing failure to file the required form are mailed to all non-respondents.  If no response occurs as a result of the letters, additional correspondence</w:t>
            </w:r>
            <w:r>
              <w:rPr>
                <w:sz w:val="24"/>
              </w:rPr>
              <w:t>,</w:t>
            </w:r>
            <w:r w:rsidRPr="00C40370">
              <w:rPr>
                <w:sz w:val="24"/>
              </w:rPr>
              <w:t xml:space="preserve"> </w:t>
            </w:r>
            <w:r>
              <w:rPr>
                <w:sz w:val="24"/>
              </w:rPr>
              <w:t xml:space="preserve">requesting immediate submission of the appropriate data, </w:t>
            </w:r>
            <w:r w:rsidRPr="00C40370">
              <w:rPr>
                <w:sz w:val="24"/>
              </w:rPr>
              <w:t xml:space="preserve">is sent </w:t>
            </w:r>
            <w:r>
              <w:rPr>
                <w:sz w:val="24"/>
              </w:rPr>
              <w:t xml:space="preserve">to the supervisor of the primary contact and, if necessary to higher-level management officials at the non-respondent entity.  These letters are sent from </w:t>
            </w:r>
            <w:r w:rsidRPr="00C40370">
              <w:rPr>
                <w:sz w:val="24"/>
              </w:rPr>
              <w:t>the Office Director</w:t>
            </w:r>
            <w:r>
              <w:rPr>
                <w:sz w:val="24"/>
              </w:rPr>
              <w:t xml:space="preserve"> or, if necessary, from the EIA</w:t>
            </w:r>
            <w:r w:rsidRPr="00C40370">
              <w:rPr>
                <w:sz w:val="24"/>
              </w:rPr>
              <w:t xml:space="preserve"> Administrator.  Statistical imputation fills any gaps created by the small amount of non-response.  </w:t>
            </w:r>
          </w:p>
          <w:p w:rsidR="00DD6EEC" w:rsidRPr="00C40370" w:rsidRDefault="00DD6EEC" w:rsidP="00DD6EEC">
            <w:pPr>
              <w:tabs>
                <w:tab w:val="left" w:pos="1152"/>
                <w:tab w:val="left" w:pos="2160"/>
                <w:tab w:val="left" w:pos="3024"/>
                <w:tab w:val="left" w:pos="4320"/>
                <w:tab w:val="left" w:pos="7776"/>
              </w:tabs>
              <w:rPr>
                <w:sz w:val="24"/>
              </w:rPr>
            </w:pPr>
          </w:p>
          <w:p w:rsidR="00DD6EEC" w:rsidRPr="00C40370" w:rsidRDefault="00DD6EEC" w:rsidP="00DD6EEC">
            <w:pPr>
              <w:tabs>
                <w:tab w:val="left" w:pos="1152"/>
                <w:tab w:val="left" w:pos="2160"/>
                <w:tab w:val="left" w:pos="3024"/>
                <w:tab w:val="left" w:pos="4320"/>
                <w:tab w:val="left" w:pos="7776"/>
              </w:tabs>
              <w:rPr>
                <w:sz w:val="24"/>
              </w:rPr>
            </w:pPr>
            <w:r w:rsidRPr="00C40370">
              <w:rPr>
                <w:sz w:val="24"/>
              </w:rPr>
              <w:t xml:space="preserve">Respondents who file via the IDC System are given the opportunity to either correct or explain unusual data during their submission.  The explanations are reviewed by the EIA staff.  Respondents are called if further clarification is needed.  For those respondents that do not file via the IDC, but rather on a hardcopy of the form, telephone calls are made to confirm corrections or clarifications of any unusual data.  </w:t>
            </w:r>
          </w:p>
          <w:p w:rsidR="00DD6EEC" w:rsidRPr="00C40370" w:rsidRDefault="00DD6EEC" w:rsidP="00DD6EEC">
            <w:pPr>
              <w:tabs>
                <w:tab w:val="left" w:pos="1152"/>
                <w:tab w:val="left" w:pos="2160"/>
                <w:tab w:val="left" w:pos="3024"/>
                <w:tab w:val="left" w:pos="4320"/>
                <w:tab w:val="left" w:pos="7776"/>
              </w:tabs>
              <w:rPr>
                <w:sz w:val="24"/>
              </w:rPr>
            </w:pPr>
          </w:p>
          <w:p w:rsidR="00DD6EEC" w:rsidRPr="00C40370" w:rsidRDefault="00DD6EEC" w:rsidP="00DD6EEC">
            <w:pPr>
              <w:tabs>
                <w:tab w:val="left" w:pos="1152"/>
                <w:tab w:val="left" w:pos="2160"/>
                <w:tab w:val="left" w:pos="3024"/>
                <w:tab w:val="left" w:pos="4320"/>
                <w:tab w:val="left" w:pos="7776"/>
              </w:tabs>
              <w:rPr>
                <w:sz w:val="24"/>
              </w:rPr>
            </w:pPr>
            <w:r w:rsidRPr="00C40370">
              <w:rPr>
                <w:sz w:val="24"/>
              </w:rPr>
              <w:t>In addition, the EIA has recently developed an improved centralized frame system which affords all survey staff almost immediate knowledge of changes in plant ownership and/or contacts; such changes contributed to non-response in the past.  The new system is integrated with the IDC System so that access can be given to new owners and/or contacts quickly.</w:t>
            </w:r>
          </w:p>
          <w:p w:rsidR="00DD6EEC" w:rsidRDefault="00DD6EEC" w:rsidP="00DD6EEC">
            <w:pPr>
              <w:pStyle w:val="Heading3"/>
              <w:ind w:firstLine="450"/>
            </w:pPr>
          </w:p>
          <w:p w:rsidR="00DD6EEC" w:rsidRDefault="00DD6EEC" w:rsidP="00DD6EEC">
            <w:pPr>
              <w:pStyle w:val="Heading3"/>
            </w:pPr>
            <w:r>
              <w:t>B.4. Tests of Procedures</w:t>
            </w:r>
          </w:p>
          <w:p w:rsidR="00DD6EEC" w:rsidRDefault="00DD6EEC" w:rsidP="00DD6EEC"/>
          <w:p w:rsidR="00DD6EEC" w:rsidRPr="00C40370" w:rsidRDefault="00DD6EEC" w:rsidP="00DD6EEC">
            <w:pPr>
              <w:rPr>
                <w:sz w:val="24"/>
                <w:szCs w:val="24"/>
              </w:rPr>
            </w:pPr>
            <w:r w:rsidRPr="00C40370">
              <w:rPr>
                <w:sz w:val="24"/>
                <w:szCs w:val="24"/>
              </w:rPr>
              <w:t>The electric power surveys are established continuing surveys</w:t>
            </w:r>
            <w:r>
              <w:rPr>
                <w:sz w:val="24"/>
                <w:szCs w:val="24"/>
              </w:rPr>
              <w:t xml:space="preserve"> and testing was done at the time they were being established.  It is the Electric Power Division’s policy to test in several phases.  </w:t>
            </w:r>
            <w:r w:rsidRPr="00C40370">
              <w:rPr>
                <w:sz w:val="24"/>
                <w:szCs w:val="24"/>
              </w:rPr>
              <w:t xml:space="preserve">First, the </w:t>
            </w:r>
            <w:r>
              <w:rPr>
                <w:sz w:val="24"/>
                <w:szCs w:val="24"/>
              </w:rPr>
              <w:t xml:space="preserve">proposed </w:t>
            </w:r>
            <w:r w:rsidRPr="00C40370">
              <w:rPr>
                <w:sz w:val="24"/>
                <w:szCs w:val="24"/>
              </w:rPr>
              <w:t xml:space="preserve">forms </w:t>
            </w:r>
            <w:r>
              <w:rPr>
                <w:sz w:val="24"/>
                <w:szCs w:val="24"/>
              </w:rPr>
              <w:t>are</w:t>
            </w:r>
            <w:r w:rsidRPr="00C40370">
              <w:rPr>
                <w:sz w:val="24"/>
                <w:szCs w:val="24"/>
              </w:rPr>
              <w:t xml:space="preserve"> reviewed by internal EIA subject matter and survey methodology experts.  The second phase of the testing </w:t>
            </w:r>
            <w:r w:rsidRPr="00C40370">
              <w:rPr>
                <w:sz w:val="24"/>
                <w:szCs w:val="24"/>
              </w:rPr>
              <w:lastRenderedPageBreak/>
              <w:t>involve</w:t>
            </w:r>
            <w:r>
              <w:rPr>
                <w:sz w:val="24"/>
                <w:szCs w:val="24"/>
              </w:rPr>
              <w:t>s</w:t>
            </w:r>
            <w:r w:rsidRPr="00C40370">
              <w:rPr>
                <w:sz w:val="24"/>
                <w:szCs w:val="24"/>
              </w:rPr>
              <w:t xml:space="preserve"> sending draft forms to representatives of the major segments of the electric power industry.  Finally</w:t>
            </w:r>
            <w:r>
              <w:rPr>
                <w:sz w:val="24"/>
                <w:szCs w:val="24"/>
              </w:rPr>
              <w:t>,</w:t>
            </w:r>
            <w:r w:rsidRPr="00C40370">
              <w:rPr>
                <w:sz w:val="24"/>
                <w:szCs w:val="24"/>
              </w:rPr>
              <w:t xml:space="preserve"> the </w:t>
            </w:r>
            <w:r>
              <w:rPr>
                <w:sz w:val="24"/>
                <w:szCs w:val="24"/>
              </w:rPr>
              <w:t>proposed</w:t>
            </w:r>
            <w:r w:rsidRPr="00C40370">
              <w:rPr>
                <w:sz w:val="24"/>
                <w:szCs w:val="24"/>
              </w:rPr>
              <w:t xml:space="preserve"> forms </w:t>
            </w:r>
            <w:r>
              <w:rPr>
                <w:sz w:val="24"/>
                <w:szCs w:val="24"/>
              </w:rPr>
              <w:t>are</w:t>
            </w:r>
            <w:r w:rsidRPr="00C40370">
              <w:rPr>
                <w:sz w:val="24"/>
                <w:szCs w:val="24"/>
              </w:rPr>
              <w:t xml:space="preserve"> tested with actual volunteer survey respondents.  The</w:t>
            </w:r>
            <w:r>
              <w:rPr>
                <w:sz w:val="24"/>
                <w:szCs w:val="24"/>
              </w:rPr>
              <w:t>se respondents are</w:t>
            </w:r>
            <w:r w:rsidRPr="00C40370">
              <w:rPr>
                <w:sz w:val="24"/>
                <w:szCs w:val="24"/>
              </w:rPr>
              <w:t xml:space="preserve"> asked to review the forms</w:t>
            </w:r>
            <w:r>
              <w:rPr>
                <w:sz w:val="24"/>
                <w:szCs w:val="24"/>
              </w:rPr>
              <w:t>,</w:t>
            </w:r>
            <w:r w:rsidRPr="00C40370">
              <w:rPr>
                <w:sz w:val="24"/>
                <w:szCs w:val="24"/>
              </w:rPr>
              <w:t xml:space="preserve"> and </w:t>
            </w:r>
            <w:r>
              <w:rPr>
                <w:sz w:val="24"/>
                <w:szCs w:val="24"/>
              </w:rPr>
              <w:t xml:space="preserve">then they are </w:t>
            </w:r>
            <w:r w:rsidRPr="00C40370">
              <w:rPr>
                <w:sz w:val="24"/>
                <w:szCs w:val="24"/>
              </w:rPr>
              <w:t>debriefed by EIA to make sure they underst</w:t>
            </w:r>
            <w:r>
              <w:rPr>
                <w:sz w:val="24"/>
                <w:szCs w:val="24"/>
              </w:rPr>
              <w:t>and</w:t>
            </w:r>
            <w:r w:rsidRPr="00C40370">
              <w:rPr>
                <w:sz w:val="24"/>
                <w:szCs w:val="24"/>
              </w:rPr>
              <w:t xml:space="preserve"> the concepts being measured, c</w:t>
            </w:r>
            <w:r>
              <w:rPr>
                <w:sz w:val="24"/>
                <w:szCs w:val="24"/>
              </w:rPr>
              <w:t>an</w:t>
            </w:r>
            <w:r w:rsidRPr="00C40370">
              <w:rPr>
                <w:sz w:val="24"/>
                <w:szCs w:val="24"/>
              </w:rPr>
              <w:t xml:space="preserve"> successfully navigate the forms, and ha</w:t>
            </w:r>
            <w:r>
              <w:rPr>
                <w:sz w:val="24"/>
                <w:szCs w:val="24"/>
              </w:rPr>
              <w:t>ve</w:t>
            </w:r>
            <w:r w:rsidRPr="00C40370">
              <w:rPr>
                <w:sz w:val="24"/>
                <w:szCs w:val="24"/>
              </w:rPr>
              <w:t xml:space="preserve"> the data in their business records.  Changes </w:t>
            </w:r>
            <w:r>
              <w:rPr>
                <w:sz w:val="24"/>
                <w:szCs w:val="24"/>
              </w:rPr>
              <w:t>are</w:t>
            </w:r>
            <w:r w:rsidRPr="00C40370">
              <w:rPr>
                <w:sz w:val="24"/>
                <w:szCs w:val="24"/>
              </w:rPr>
              <w:t xml:space="preserve"> made at all stages of testing to incorporate feedback.</w:t>
            </w:r>
          </w:p>
          <w:p w:rsidR="00DD6EEC" w:rsidRDefault="00DD6EEC" w:rsidP="00DD6EEC">
            <w:pPr>
              <w:pStyle w:val="Heading3"/>
            </w:pPr>
          </w:p>
          <w:p w:rsidR="00DD6EEC" w:rsidRDefault="00DD6EEC" w:rsidP="00DD6EEC">
            <w:pPr>
              <w:pStyle w:val="Heading3"/>
            </w:pPr>
            <w:r>
              <w:t>B.5. Forms Consultation</w:t>
            </w:r>
          </w:p>
          <w:p w:rsidR="00DD6EEC" w:rsidRPr="00C40370" w:rsidRDefault="00DD6EEC" w:rsidP="00DD6EEC">
            <w:pPr>
              <w:tabs>
                <w:tab w:val="left" w:pos="1152"/>
                <w:tab w:val="left" w:pos="2160"/>
                <w:tab w:val="left" w:pos="3024"/>
                <w:tab w:val="left" w:pos="4320"/>
                <w:tab w:val="left" w:pos="7776"/>
              </w:tabs>
              <w:rPr>
                <w:b/>
                <w:bCs/>
                <w:color w:val="FF0000"/>
                <w:sz w:val="24"/>
                <w:u w:val="single"/>
              </w:rPr>
            </w:pPr>
          </w:p>
          <w:p w:rsidR="00DD6EEC" w:rsidRPr="00C40370" w:rsidRDefault="00DD6EEC" w:rsidP="00DD6EEC">
            <w:pPr>
              <w:tabs>
                <w:tab w:val="left" w:pos="1152"/>
                <w:tab w:val="left" w:pos="2160"/>
                <w:tab w:val="left" w:pos="3024"/>
                <w:tab w:val="left" w:pos="4320"/>
                <w:tab w:val="left" w:pos="7776"/>
              </w:tabs>
              <w:rPr>
                <w:bCs/>
                <w:sz w:val="24"/>
              </w:rPr>
            </w:pPr>
            <w:r w:rsidRPr="00C40370">
              <w:rPr>
                <w:bCs/>
                <w:sz w:val="24"/>
              </w:rPr>
              <w:t>During 2009, the Electric Power Division met with a variety of stakeholders to make them aware of the general proposals for form changes and to elicit their suggestions, concerns</w:t>
            </w:r>
            <w:r>
              <w:rPr>
                <w:bCs/>
                <w:sz w:val="24"/>
              </w:rPr>
              <w:t>,</w:t>
            </w:r>
            <w:r w:rsidRPr="00C40370">
              <w:rPr>
                <w:bCs/>
                <w:sz w:val="24"/>
              </w:rPr>
              <w:t xml:space="preserve"> and needs.  The following is a list of </w:t>
            </w:r>
            <w:r>
              <w:rPr>
                <w:bCs/>
                <w:sz w:val="24"/>
              </w:rPr>
              <w:t xml:space="preserve">some of </w:t>
            </w:r>
            <w:r w:rsidRPr="00C40370">
              <w:rPr>
                <w:bCs/>
                <w:sz w:val="24"/>
              </w:rPr>
              <w:t>the organizations with whom the EIA met.</w:t>
            </w:r>
          </w:p>
          <w:p w:rsidR="00DD6EEC" w:rsidRPr="00C40370" w:rsidRDefault="00DD6EEC" w:rsidP="00DD6EEC">
            <w:pPr>
              <w:tabs>
                <w:tab w:val="left" w:pos="1152"/>
                <w:tab w:val="left" w:pos="2160"/>
                <w:tab w:val="left" w:pos="3024"/>
                <w:tab w:val="left" w:pos="4320"/>
                <w:tab w:val="left" w:pos="7776"/>
              </w:tabs>
              <w:rPr>
                <w:bCs/>
                <w:sz w:val="24"/>
              </w:rPr>
            </w:pPr>
          </w:p>
          <w:p w:rsidR="00DD6EEC" w:rsidRPr="00C40370" w:rsidRDefault="00DD6EEC" w:rsidP="00DD6EEC">
            <w:pPr>
              <w:numPr>
                <w:ilvl w:val="0"/>
                <w:numId w:val="2"/>
              </w:numPr>
              <w:tabs>
                <w:tab w:val="left" w:pos="1152"/>
                <w:tab w:val="left" w:pos="2160"/>
                <w:tab w:val="left" w:pos="3024"/>
                <w:tab w:val="left" w:pos="4320"/>
                <w:tab w:val="left" w:pos="7776"/>
              </w:tabs>
              <w:spacing w:after="0" w:line="240" w:lineRule="auto"/>
              <w:rPr>
                <w:bCs/>
                <w:sz w:val="24"/>
              </w:rPr>
            </w:pPr>
            <w:r w:rsidRPr="00C40370">
              <w:rPr>
                <w:bCs/>
                <w:sz w:val="24"/>
              </w:rPr>
              <w:t>American Council for an Energy Efficient Economy</w:t>
            </w:r>
          </w:p>
          <w:p w:rsidR="00DD6EEC" w:rsidRPr="00C40370" w:rsidRDefault="00DD6EEC" w:rsidP="00DD6EEC">
            <w:pPr>
              <w:numPr>
                <w:ilvl w:val="0"/>
                <w:numId w:val="2"/>
              </w:numPr>
              <w:tabs>
                <w:tab w:val="left" w:pos="1152"/>
                <w:tab w:val="left" w:pos="2160"/>
                <w:tab w:val="left" w:pos="3024"/>
                <w:tab w:val="left" w:pos="4320"/>
                <w:tab w:val="left" w:pos="7776"/>
              </w:tabs>
              <w:spacing w:after="0" w:line="240" w:lineRule="auto"/>
              <w:rPr>
                <w:bCs/>
                <w:sz w:val="24"/>
              </w:rPr>
            </w:pPr>
            <w:r w:rsidRPr="00C40370">
              <w:rPr>
                <w:bCs/>
                <w:sz w:val="24"/>
              </w:rPr>
              <w:t>American Public Power Association</w:t>
            </w:r>
          </w:p>
          <w:p w:rsidR="00DD6EEC" w:rsidRDefault="00DD6EEC" w:rsidP="00DD6EEC">
            <w:pPr>
              <w:numPr>
                <w:ilvl w:val="0"/>
                <w:numId w:val="2"/>
              </w:numPr>
              <w:tabs>
                <w:tab w:val="left" w:pos="1152"/>
                <w:tab w:val="left" w:pos="2160"/>
                <w:tab w:val="left" w:pos="3024"/>
                <w:tab w:val="left" w:pos="4320"/>
                <w:tab w:val="left" w:pos="7776"/>
              </w:tabs>
              <w:spacing w:after="0" w:line="240" w:lineRule="auto"/>
              <w:rPr>
                <w:bCs/>
                <w:sz w:val="24"/>
              </w:rPr>
            </w:pPr>
            <w:r w:rsidRPr="00C40370">
              <w:rPr>
                <w:bCs/>
                <w:sz w:val="24"/>
              </w:rPr>
              <w:t>American Statistic Association</w:t>
            </w:r>
          </w:p>
          <w:p w:rsidR="00DD6EEC" w:rsidRPr="00C40370" w:rsidRDefault="00DD6EEC" w:rsidP="00DD6EEC">
            <w:pPr>
              <w:numPr>
                <w:ilvl w:val="0"/>
                <w:numId w:val="2"/>
              </w:numPr>
              <w:tabs>
                <w:tab w:val="left" w:pos="1152"/>
                <w:tab w:val="left" w:pos="2160"/>
                <w:tab w:val="left" w:pos="3024"/>
                <w:tab w:val="left" w:pos="4320"/>
                <w:tab w:val="left" w:pos="7776"/>
              </w:tabs>
              <w:spacing w:after="0" w:line="240" w:lineRule="auto"/>
              <w:rPr>
                <w:bCs/>
                <w:sz w:val="24"/>
              </w:rPr>
            </w:pPr>
            <w:r>
              <w:rPr>
                <w:bCs/>
                <w:sz w:val="24"/>
              </w:rPr>
              <w:t>American Wind Energy Association</w:t>
            </w:r>
          </w:p>
          <w:p w:rsidR="00DD6EEC" w:rsidRPr="00C40370" w:rsidRDefault="00DD6EEC" w:rsidP="00DD6EEC">
            <w:pPr>
              <w:numPr>
                <w:ilvl w:val="0"/>
                <w:numId w:val="2"/>
              </w:numPr>
              <w:tabs>
                <w:tab w:val="left" w:pos="1152"/>
                <w:tab w:val="left" w:pos="2160"/>
                <w:tab w:val="left" w:pos="3024"/>
                <w:tab w:val="left" w:pos="4320"/>
                <w:tab w:val="left" w:pos="7776"/>
              </w:tabs>
              <w:spacing w:after="0" w:line="240" w:lineRule="auto"/>
              <w:rPr>
                <w:bCs/>
                <w:sz w:val="24"/>
              </w:rPr>
            </w:pPr>
            <w:r w:rsidRPr="00C40370">
              <w:rPr>
                <w:bCs/>
                <w:sz w:val="24"/>
              </w:rPr>
              <w:t>DOE, Office of Electricity Delivery and Energy Reliability</w:t>
            </w:r>
          </w:p>
          <w:p w:rsidR="00DD6EEC" w:rsidRPr="00C40370" w:rsidRDefault="00DD6EEC" w:rsidP="00DD6EEC">
            <w:pPr>
              <w:numPr>
                <w:ilvl w:val="0"/>
                <w:numId w:val="2"/>
              </w:numPr>
              <w:tabs>
                <w:tab w:val="left" w:pos="1152"/>
                <w:tab w:val="left" w:pos="2160"/>
                <w:tab w:val="left" w:pos="3024"/>
                <w:tab w:val="left" w:pos="4320"/>
                <w:tab w:val="left" w:pos="7776"/>
              </w:tabs>
              <w:spacing w:after="0" w:line="240" w:lineRule="auto"/>
              <w:rPr>
                <w:bCs/>
                <w:sz w:val="24"/>
              </w:rPr>
            </w:pPr>
            <w:r w:rsidRPr="00C40370">
              <w:rPr>
                <w:bCs/>
                <w:sz w:val="24"/>
              </w:rPr>
              <w:t>DOE, Office of Fossil Energy</w:t>
            </w:r>
          </w:p>
          <w:p w:rsidR="00DD6EEC" w:rsidRPr="00C40370" w:rsidRDefault="00DD6EEC" w:rsidP="00DD6EEC">
            <w:pPr>
              <w:numPr>
                <w:ilvl w:val="0"/>
                <w:numId w:val="2"/>
              </w:numPr>
              <w:tabs>
                <w:tab w:val="left" w:pos="1152"/>
                <w:tab w:val="left" w:pos="2160"/>
                <w:tab w:val="left" w:pos="3024"/>
                <w:tab w:val="left" w:pos="4320"/>
                <w:tab w:val="left" w:pos="7776"/>
              </w:tabs>
              <w:spacing w:after="0" w:line="240" w:lineRule="auto"/>
              <w:rPr>
                <w:bCs/>
                <w:sz w:val="24"/>
              </w:rPr>
            </w:pPr>
            <w:r w:rsidRPr="00C40370">
              <w:rPr>
                <w:bCs/>
                <w:sz w:val="24"/>
              </w:rPr>
              <w:t>Edison Electric Institute</w:t>
            </w:r>
          </w:p>
          <w:p w:rsidR="00DD6EEC" w:rsidRDefault="00DD6EEC" w:rsidP="00DD6EEC">
            <w:pPr>
              <w:numPr>
                <w:ilvl w:val="0"/>
                <w:numId w:val="2"/>
              </w:numPr>
              <w:tabs>
                <w:tab w:val="left" w:pos="1152"/>
                <w:tab w:val="left" w:pos="2160"/>
                <w:tab w:val="left" w:pos="3024"/>
                <w:tab w:val="left" w:pos="4320"/>
                <w:tab w:val="left" w:pos="7776"/>
              </w:tabs>
              <w:spacing w:after="0" w:line="240" w:lineRule="auto"/>
              <w:rPr>
                <w:bCs/>
                <w:sz w:val="24"/>
              </w:rPr>
            </w:pPr>
            <w:r w:rsidRPr="00C40370">
              <w:rPr>
                <w:bCs/>
                <w:sz w:val="24"/>
              </w:rPr>
              <w:t>Electricity Consumers Resource Council</w:t>
            </w:r>
          </w:p>
          <w:p w:rsidR="00DD6EEC" w:rsidRPr="00C40370" w:rsidRDefault="00DD6EEC" w:rsidP="00DD6EEC">
            <w:pPr>
              <w:numPr>
                <w:ilvl w:val="0"/>
                <w:numId w:val="2"/>
              </w:numPr>
              <w:tabs>
                <w:tab w:val="left" w:pos="1152"/>
                <w:tab w:val="left" w:pos="2160"/>
                <w:tab w:val="left" w:pos="3024"/>
                <w:tab w:val="left" w:pos="4320"/>
                <w:tab w:val="left" w:pos="7776"/>
              </w:tabs>
              <w:spacing w:after="0" w:line="240" w:lineRule="auto"/>
              <w:rPr>
                <w:bCs/>
                <w:sz w:val="24"/>
              </w:rPr>
            </w:pPr>
            <w:r>
              <w:rPr>
                <w:bCs/>
                <w:sz w:val="24"/>
              </w:rPr>
              <w:t>Electricity Storage Association</w:t>
            </w:r>
          </w:p>
          <w:p w:rsidR="00DD6EEC" w:rsidRPr="00C40370" w:rsidRDefault="00DD6EEC" w:rsidP="00DD6EEC">
            <w:pPr>
              <w:numPr>
                <w:ilvl w:val="0"/>
                <w:numId w:val="2"/>
              </w:numPr>
              <w:tabs>
                <w:tab w:val="left" w:pos="1152"/>
                <w:tab w:val="left" w:pos="2160"/>
                <w:tab w:val="left" w:pos="3024"/>
                <w:tab w:val="left" w:pos="4320"/>
                <w:tab w:val="left" w:pos="7776"/>
              </w:tabs>
              <w:spacing w:after="0" w:line="240" w:lineRule="auto"/>
              <w:rPr>
                <w:bCs/>
                <w:sz w:val="24"/>
              </w:rPr>
            </w:pPr>
            <w:r w:rsidRPr="00C40370">
              <w:rPr>
                <w:bCs/>
                <w:sz w:val="24"/>
              </w:rPr>
              <w:t>Electric Power Supply Association</w:t>
            </w:r>
          </w:p>
          <w:p w:rsidR="00DD6EEC" w:rsidRDefault="00DD6EEC" w:rsidP="00DD6EEC">
            <w:pPr>
              <w:numPr>
                <w:ilvl w:val="0"/>
                <w:numId w:val="2"/>
              </w:numPr>
              <w:tabs>
                <w:tab w:val="left" w:pos="1152"/>
                <w:tab w:val="left" w:pos="2160"/>
                <w:tab w:val="left" w:pos="3024"/>
                <w:tab w:val="left" w:pos="4320"/>
                <w:tab w:val="left" w:pos="7776"/>
              </w:tabs>
              <w:spacing w:after="0" w:line="240" w:lineRule="auto"/>
              <w:rPr>
                <w:bCs/>
                <w:sz w:val="24"/>
              </w:rPr>
            </w:pPr>
            <w:r w:rsidRPr="00C40370">
              <w:rPr>
                <w:bCs/>
                <w:sz w:val="24"/>
              </w:rPr>
              <w:t>Federal Energy Regulatory Commission</w:t>
            </w:r>
          </w:p>
          <w:p w:rsidR="00DD6EEC" w:rsidRDefault="00DD6EEC" w:rsidP="00DD6EEC">
            <w:pPr>
              <w:numPr>
                <w:ilvl w:val="0"/>
                <w:numId w:val="2"/>
              </w:numPr>
              <w:tabs>
                <w:tab w:val="left" w:pos="1152"/>
                <w:tab w:val="left" w:pos="2160"/>
                <w:tab w:val="left" w:pos="3024"/>
                <w:tab w:val="left" w:pos="4320"/>
                <w:tab w:val="left" w:pos="7776"/>
              </w:tabs>
              <w:spacing w:after="0" w:line="240" w:lineRule="auto"/>
              <w:rPr>
                <w:bCs/>
                <w:sz w:val="24"/>
              </w:rPr>
            </w:pPr>
            <w:r w:rsidRPr="00C40370">
              <w:rPr>
                <w:bCs/>
                <w:sz w:val="24"/>
              </w:rPr>
              <w:t>National Association of Regulatory Utility Commissioners</w:t>
            </w:r>
          </w:p>
          <w:p w:rsidR="00DD6EEC" w:rsidRDefault="00DD6EEC" w:rsidP="00DD6EEC">
            <w:pPr>
              <w:numPr>
                <w:ilvl w:val="0"/>
                <w:numId w:val="2"/>
              </w:numPr>
              <w:tabs>
                <w:tab w:val="left" w:pos="1152"/>
                <w:tab w:val="left" w:pos="2160"/>
                <w:tab w:val="left" w:pos="3024"/>
                <w:tab w:val="left" w:pos="4320"/>
                <w:tab w:val="left" w:pos="7776"/>
              </w:tabs>
              <w:spacing w:after="0" w:line="240" w:lineRule="auto"/>
              <w:rPr>
                <w:bCs/>
                <w:sz w:val="24"/>
              </w:rPr>
            </w:pPr>
            <w:r>
              <w:rPr>
                <w:bCs/>
                <w:sz w:val="24"/>
              </w:rPr>
              <w:t>National Association of State Utility Consumer Advocates</w:t>
            </w:r>
          </w:p>
          <w:p w:rsidR="00DD6EEC" w:rsidRPr="00C40370" w:rsidRDefault="00DD6EEC" w:rsidP="00DD6EEC">
            <w:pPr>
              <w:numPr>
                <w:ilvl w:val="0"/>
                <w:numId w:val="2"/>
              </w:numPr>
              <w:tabs>
                <w:tab w:val="left" w:pos="1152"/>
                <w:tab w:val="left" w:pos="2160"/>
                <w:tab w:val="left" w:pos="3024"/>
                <w:tab w:val="left" w:pos="4320"/>
                <w:tab w:val="left" w:pos="7776"/>
              </w:tabs>
              <w:spacing w:after="0" w:line="240" w:lineRule="auto"/>
              <w:rPr>
                <w:bCs/>
                <w:sz w:val="24"/>
              </w:rPr>
            </w:pPr>
            <w:r>
              <w:rPr>
                <w:bCs/>
                <w:sz w:val="24"/>
              </w:rPr>
              <w:t>National Hydropower Association</w:t>
            </w:r>
          </w:p>
          <w:p w:rsidR="00DD6EEC" w:rsidRDefault="00DD6EEC" w:rsidP="00DD6EEC">
            <w:pPr>
              <w:numPr>
                <w:ilvl w:val="0"/>
                <w:numId w:val="2"/>
              </w:numPr>
              <w:tabs>
                <w:tab w:val="left" w:pos="1152"/>
                <w:tab w:val="left" w:pos="2160"/>
                <w:tab w:val="left" w:pos="3024"/>
                <w:tab w:val="left" w:pos="4320"/>
                <w:tab w:val="left" w:pos="7776"/>
              </w:tabs>
              <w:spacing w:after="0" w:line="240" w:lineRule="auto"/>
              <w:rPr>
                <w:bCs/>
                <w:sz w:val="24"/>
              </w:rPr>
            </w:pPr>
            <w:r w:rsidRPr="00C40370">
              <w:rPr>
                <w:bCs/>
                <w:sz w:val="24"/>
              </w:rPr>
              <w:t>National Mining Association</w:t>
            </w:r>
          </w:p>
          <w:p w:rsidR="00DD6EEC" w:rsidRPr="00C40370" w:rsidRDefault="00DD6EEC" w:rsidP="00DD6EEC">
            <w:pPr>
              <w:numPr>
                <w:ilvl w:val="0"/>
                <w:numId w:val="2"/>
              </w:numPr>
              <w:tabs>
                <w:tab w:val="left" w:pos="1152"/>
                <w:tab w:val="left" w:pos="2160"/>
                <w:tab w:val="left" w:pos="3024"/>
                <w:tab w:val="left" w:pos="4320"/>
                <w:tab w:val="left" w:pos="7776"/>
              </w:tabs>
              <w:spacing w:after="0" w:line="240" w:lineRule="auto"/>
              <w:rPr>
                <w:bCs/>
                <w:sz w:val="24"/>
              </w:rPr>
            </w:pPr>
            <w:r w:rsidRPr="00C40370">
              <w:rPr>
                <w:bCs/>
                <w:sz w:val="24"/>
              </w:rPr>
              <w:t>National Rural Electric Cooperative Association</w:t>
            </w:r>
          </w:p>
          <w:p w:rsidR="00DD6EEC" w:rsidRPr="00C40370" w:rsidRDefault="00DD6EEC" w:rsidP="00DD6EEC">
            <w:pPr>
              <w:numPr>
                <w:ilvl w:val="0"/>
                <w:numId w:val="2"/>
              </w:numPr>
              <w:tabs>
                <w:tab w:val="left" w:pos="1152"/>
                <w:tab w:val="left" w:pos="2160"/>
                <w:tab w:val="left" w:pos="3024"/>
                <w:tab w:val="left" w:pos="4320"/>
                <w:tab w:val="left" w:pos="7776"/>
              </w:tabs>
              <w:spacing w:after="0" w:line="240" w:lineRule="auto"/>
              <w:rPr>
                <w:bCs/>
                <w:sz w:val="24"/>
              </w:rPr>
            </w:pPr>
            <w:r>
              <w:rPr>
                <w:bCs/>
                <w:sz w:val="24"/>
              </w:rPr>
              <w:t>Natural Resources Defense Council</w:t>
            </w:r>
          </w:p>
          <w:p w:rsidR="00DD6EEC" w:rsidRDefault="00DD6EEC" w:rsidP="00DD6EEC">
            <w:pPr>
              <w:numPr>
                <w:ilvl w:val="0"/>
                <w:numId w:val="2"/>
              </w:numPr>
              <w:tabs>
                <w:tab w:val="left" w:pos="1152"/>
                <w:tab w:val="left" w:pos="2160"/>
                <w:tab w:val="left" w:pos="3024"/>
                <w:tab w:val="left" w:pos="4320"/>
                <w:tab w:val="left" w:pos="7776"/>
              </w:tabs>
              <w:spacing w:after="0" w:line="240" w:lineRule="auto"/>
              <w:rPr>
                <w:bCs/>
                <w:sz w:val="24"/>
              </w:rPr>
            </w:pPr>
            <w:r w:rsidRPr="00C40370">
              <w:rPr>
                <w:bCs/>
                <w:sz w:val="24"/>
              </w:rPr>
              <w:t>North American Electric Reliability Corporation</w:t>
            </w:r>
          </w:p>
          <w:p w:rsidR="00DD6EEC" w:rsidRDefault="00DD6EEC" w:rsidP="00DD6EEC">
            <w:pPr>
              <w:numPr>
                <w:ilvl w:val="0"/>
                <w:numId w:val="2"/>
              </w:numPr>
              <w:tabs>
                <w:tab w:val="left" w:pos="1152"/>
                <w:tab w:val="left" w:pos="2160"/>
                <w:tab w:val="left" w:pos="3024"/>
                <w:tab w:val="left" w:pos="4320"/>
                <w:tab w:val="left" w:pos="7776"/>
              </w:tabs>
              <w:spacing w:after="0" w:line="240" w:lineRule="auto"/>
              <w:rPr>
                <w:bCs/>
                <w:sz w:val="24"/>
              </w:rPr>
            </w:pPr>
            <w:r>
              <w:rPr>
                <w:bCs/>
                <w:sz w:val="24"/>
              </w:rPr>
              <w:t>Ocean Renewable Power Company</w:t>
            </w:r>
          </w:p>
          <w:p w:rsidR="00DD6EEC" w:rsidRDefault="00DD6EEC" w:rsidP="00DD6EEC">
            <w:pPr>
              <w:numPr>
                <w:ilvl w:val="0"/>
                <w:numId w:val="2"/>
              </w:numPr>
              <w:tabs>
                <w:tab w:val="left" w:pos="1152"/>
                <w:tab w:val="left" w:pos="2160"/>
                <w:tab w:val="left" w:pos="3024"/>
                <w:tab w:val="left" w:pos="4320"/>
                <w:tab w:val="left" w:pos="7776"/>
              </w:tabs>
              <w:spacing w:after="0" w:line="240" w:lineRule="auto"/>
              <w:rPr>
                <w:bCs/>
                <w:sz w:val="24"/>
              </w:rPr>
            </w:pPr>
            <w:r>
              <w:rPr>
                <w:bCs/>
                <w:sz w:val="24"/>
              </w:rPr>
              <w:t>Ozone Transportation Commission</w:t>
            </w:r>
          </w:p>
          <w:p w:rsidR="00DD6EEC" w:rsidRDefault="00DD6EEC" w:rsidP="00DD6EEC">
            <w:pPr>
              <w:numPr>
                <w:ilvl w:val="0"/>
                <w:numId w:val="2"/>
              </w:numPr>
              <w:tabs>
                <w:tab w:val="left" w:pos="1152"/>
                <w:tab w:val="left" w:pos="2160"/>
                <w:tab w:val="left" w:pos="3024"/>
                <w:tab w:val="left" w:pos="4320"/>
                <w:tab w:val="left" w:pos="7776"/>
              </w:tabs>
              <w:spacing w:after="0" w:line="240" w:lineRule="auto"/>
              <w:rPr>
                <w:bCs/>
                <w:sz w:val="24"/>
              </w:rPr>
            </w:pPr>
            <w:proofErr w:type="spellStart"/>
            <w:r>
              <w:rPr>
                <w:bCs/>
                <w:sz w:val="24"/>
              </w:rPr>
              <w:t>Platts</w:t>
            </w:r>
            <w:proofErr w:type="spellEnd"/>
          </w:p>
          <w:p w:rsidR="00DD6EEC" w:rsidRDefault="00DD6EEC" w:rsidP="00DD6EEC">
            <w:pPr>
              <w:numPr>
                <w:ilvl w:val="0"/>
                <w:numId w:val="2"/>
              </w:numPr>
              <w:tabs>
                <w:tab w:val="left" w:pos="1152"/>
                <w:tab w:val="left" w:pos="2160"/>
                <w:tab w:val="left" w:pos="3024"/>
                <w:tab w:val="left" w:pos="4320"/>
                <w:tab w:val="left" w:pos="7776"/>
              </w:tabs>
              <w:spacing w:after="0" w:line="240" w:lineRule="auto"/>
              <w:rPr>
                <w:bCs/>
                <w:sz w:val="24"/>
              </w:rPr>
            </w:pPr>
            <w:r>
              <w:rPr>
                <w:bCs/>
                <w:sz w:val="24"/>
              </w:rPr>
              <w:t>Science and Technology Policy Institute</w:t>
            </w:r>
          </w:p>
          <w:p w:rsidR="00DD6EEC" w:rsidRDefault="00DD6EEC" w:rsidP="00DD6EEC">
            <w:pPr>
              <w:numPr>
                <w:ilvl w:val="0"/>
                <w:numId w:val="2"/>
              </w:numPr>
              <w:tabs>
                <w:tab w:val="left" w:pos="1152"/>
                <w:tab w:val="left" w:pos="2160"/>
                <w:tab w:val="left" w:pos="3024"/>
                <w:tab w:val="left" w:pos="4320"/>
                <w:tab w:val="left" w:pos="7776"/>
              </w:tabs>
              <w:spacing w:after="0" w:line="240" w:lineRule="auto"/>
              <w:rPr>
                <w:bCs/>
                <w:sz w:val="24"/>
              </w:rPr>
            </w:pPr>
            <w:r>
              <w:rPr>
                <w:bCs/>
                <w:sz w:val="24"/>
              </w:rPr>
              <w:lastRenderedPageBreak/>
              <w:t>Solar Energy Industries Association</w:t>
            </w:r>
          </w:p>
          <w:p w:rsidR="00DD6EEC" w:rsidRPr="00C40370" w:rsidRDefault="00DD6EEC" w:rsidP="00DD6EEC">
            <w:pPr>
              <w:numPr>
                <w:ilvl w:val="0"/>
                <w:numId w:val="2"/>
              </w:numPr>
              <w:tabs>
                <w:tab w:val="left" w:pos="1152"/>
                <w:tab w:val="left" w:pos="2160"/>
                <w:tab w:val="left" w:pos="3024"/>
                <w:tab w:val="left" w:pos="4320"/>
                <w:tab w:val="left" w:pos="7776"/>
              </w:tabs>
              <w:spacing w:after="0" w:line="240" w:lineRule="auto"/>
              <w:rPr>
                <w:bCs/>
                <w:sz w:val="24"/>
              </w:rPr>
            </w:pPr>
            <w:r>
              <w:rPr>
                <w:bCs/>
                <w:sz w:val="24"/>
              </w:rPr>
              <w:t>U. S. Environmental Protection Agency.</w:t>
            </w:r>
          </w:p>
          <w:p w:rsidR="00DD6EEC" w:rsidRDefault="00DD6EEC" w:rsidP="00DD6EEC">
            <w:pPr>
              <w:pStyle w:val="BodyText"/>
            </w:pPr>
          </w:p>
          <w:p w:rsidR="00DD6EEC" w:rsidRDefault="00DD6EEC" w:rsidP="00DD6EEC">
            <w:pPr>
              <w:pStyle w:val="BodyText"/>
            </w:pPr>
            <w:r>
              <w:t xml:space="preserve">For additional information concerning these surveys, please contact Rebecca A. Peterson at 202-586-4509 or at </w:t>
            </w:r>
            <w:hyperlink r:id="rId21" w:history="1">
              <w:r w:rsidRPr="00405C7A">
                <w:rPr>
                  <w:rStyle w:val="Hyperlink"/>
                </w:rPr>
                <w:t>rebecca.peterson@eia.doe.gov</w:t>
              </w:r>
            </w:hyperlink>
            <w:r>
              <w:t xml:space="preserve">.  For information concerning this request for OMB approval, please contact the agency Clearance Officer, Jason Worrall, at 202-586-6075 or at </w:t>
            </w:r>
            <w:hyperlink r:id="rId22" w:history="1">
              <w:r w:rsidRPr="00C02042">
                <w:rPr>
                  <w:rStyle w:val="Hyperlink"/>
                </w:rPr>
                <w:t>jason.worrall@eia.doe.gov</w:t>
              </w:r>
            </w:hyperlink>
            <w:r>
              <w:t>.</w:t>
            </w:r>
          </w:p>
          <w:p w:rsidR="00DD6EEC" w:rsidRPr="00C40370" w:rsidRDefault="00DD6EEC" w:rsidP="00DD6EEC">
            <w:pPr>
              <w:ind w:right="-540"/>
              <w:rPr>
                <w:sz w:val="24"/>
                <w:szCs w:val="24"/>
              </w:rPr>
            </w:pPr>
          </w:p>
        </w:tc>
        <w:tc>
          <w:tcPr>
            <w:tcW w:w="1344" w:type="dxa"/>
            <w:shd w:val="clear" w:color="auto" w:fill="FFFFFF"/>
          </w:tcPr>
          <w:p w:rsidR="00DD6EEC" w:rsidRPr="00C40370" w:rsidRDefault="00DD6EEC" w:rsidP="00DD6EEC">
            <w:pPr>
              <w:ind w:right="-540"/>
              <w:rPr>
                <w:sz w:val="24"/>
                <w:szCs w:val="24"/>
              </w:rPr>
            </w:pPr>
          </w:p>
        </w:tc>
        <w:tc>
          <w:tcPr>
            <w:tcW w:w="1012" w:type="dxa"/>
            <w:shd w:val="clear" w:color="auto" w:fill="FFFFFF"/>
          </w:tcPr>
          <w:p w:rsidR="00DD6EEC" w:rsidRPr="00C40370" w:rsidRDefault="00DD6EEC" w:rsidP="00DD6EEC">
            <w:pPr>
              <w:ind w:right="-540"/>
              <w:rPr>
                <w:sz w:val="24"/>
                <w:szCs w:val="24"/>
              </w:rPr>
            </w:pPr>
          </w:p>
        </w:tc>
        <w:tc>
          <w:tcPr>
            <w:tcW w:w="1178" w:type="dxa"/>
            <w:shd w:val="clear" w:color="auto" w:fill="FFFFFF"/>
          </w:tcPr>
          <w:p w:rsidR="00DD6EEC" w:rsidRPr="00C40370" w:rsidRDefault="00DD6EEC" w:rsidP="00DD6EEC">
            <w:pPr>
              <w:ind w:right="-540"/>
              <w:rPr>
                <w:sz w:val="24"/>
                <w:szCs w:val="24"/>
              </w:rPr>
            </w:pPr>
          </w:p>
        </w:tc>
        <w:tc>
          <w:tcPr>
            <w:tcW w:w="1344" w:type="dxa"/>
            <w:shd w:val="clear" w:color="auto" w:fill="FFFFFF"/>
          </w:tcPr>
          <w:p w:rsidR="00DD6EEC" w:rsidRPr="00C40370" w:rsidRDefault="00DD6EEC" w:rsidP="00DD6EEC">
            <w:pPr>
              <w:ind w:right="-540"/>
              <w:rPr>
                <w:sz w:val="24"/>
                <w:szCs w:val="24"/>
              </w:rPr>
            </w:pPr>
          </w:p>
        </w:tc>
      </w:tr>
      <w:tr w:rsidR="00DD6EEC" w:rsidRPr="00C40370" w:rsidTr="00DD6EEC">
        <w:trPr>
          <w:trHeight w:val="825"/>
        </w:trPr>
        <w:tc>
          <w:tcPr>
            <w:tcW w:w="2250" w:type="dxa"/>
            <w:shd w:val="clear" w:color="auto" w:fill="FFFFFF"/>
          </w:tcPr>
          <w:p w:rsidR="00DD6EEC" w:rsidRPr="00C40370" w:rsidRDefault="00DD6EEC" w:rsidP="00DD6EEC">
            <w:pPr>
              <w:tabs>
                <w:tab w:val="left" w:pos="645"/>
              </w:tabs>
              <w:ind w:right="-540"/>
              <w:rPr>
                <w:sz w:val="24"/>
                <w:szCs w:val="24"/>
              </w:rPr>
            </w:pPr>
          </w:p>
        </w:tc>
        <w:tc>
          <w:tcPr>
            <w:tcW w:w="1344" w:type="dxa"/>
            <w:shd w:val="clear" w:color="auto" w:fill="FFFFFF"/>
          </w:tcPr>
          <w:p w:rsidR="00DD6EEC" w:rsidRPr="00C40370" w:rsidRDefault="00DD6EEC" w:rsidP="00DD6EEC">
            <w:pPr>
              <w:ind w:right="-540"/>
              <w:rPr>
                <w:sz w:val="24"/>
                <w:szCs w:val="24"/>
              </w:rPr>
            </w:pPr>
          </w:p>
        </w:tc>
        <w:tc>
          <w:tcPr>
            <w:tcW w:w="1012" w:type="dxa"/>
            <w:shd w:val="clear" w:color="auto" w:fill="FFFFFF"/>
          </w:tcPr>
          <w:p w:rsidR="00DD6EEC" w:rsidRPr="00C40370" w:rsidRDefault="00DD6EEC" w:rsidP="00DD6EEC">
            <w:pPr>
              <w:ind w:right="-540"/>
              <w:rPr>
                <w:sz w:val="24"/>
                <w:szCs w:val="24"/>
              </w:rPr>
            </w:pPr>
          </w:p>
        </w:tc>
        <w:tc>
          <w:tcPr>
            <w:tcW w:w="1178" w:type="dxa"/>
            <w:shd w:val="clear" w:color="auto" w:fill="FFFFFF"/>
          </w:tcPr>
          <w:p w:rsidR="00DD6EEC" w:rsidRPr="00C40370" w:rsidRDefault="00DD6EEC" w:rsidP="00DD6EEC">
            <w:pPr>
              <w:ind w:right="-540"/>
              <w:rPr>
                <w:sz w:val="24"/>
                <w:szCs w:val="24"/>
              </w:rPr>
            </w:pPr>
          </w:p>
        </w:tc>
        <w:tc>
          <w:tcPr>
            <w:tcW w:w="1344" w:type="dxa"/>
            <w:shd w:val="clear" w:color="auto" w:fill="FFFFFF"/>
          </w:tcPr>
          <w:p w:rsidR="00DD6EEC" w:rsidRPr="00C40370" w:rsidRDefault="00DD6EEC" w:rsidP="00DD6EEC">
            <w:pPr>
              <w:ind w:right="-540"/>
              <w:rPr>
                <w:sz w:val="24"/>
                <w:szCs w:val="24"/>
              </w:rPr>
            </w:pPr>
          </w:p>
        </w:tc>
      </w:tr>
    </w:tbl>
    <w:p w:rsidR="00DD6EEC" w:rsidRPr="00DD6EEC" w:rsidRDefault="00DD6EEC" w:rsidP="00DD6EEC"/>
    <w:p w:rsidR="006F7B30" w:rsidRPr="006F7B30" w:rsidRDefault="006F7B30" w:rsidP="006F7B30"/>
    <w:p w:rsidR="00D56ED2" w:rsidRDefault="00D56ED2" w:rsidP="00C77E4B">
      <w:pPr>
        <w:spacing w:before="120"/>
        <w:jc w:val="both"/>
      </w:pPr>
    </w:p>
    <w:p w:rsidR="00C77E4B" w:rsidRDefault="00C77E4B" w:rsidP="00C77E4B"/>
    <w:p w:rsidR="00317B41" w:rsidRDefault="00317B41"/>
    <w:p w:rsidR="00C77E4B" w:rsidRDefault="00C77E4B"/>
    <w:sectPr w:rsidR="00C77E4B" w:rsidSect="000B7257">
      <w:headerReference w:type="default" r:id="rId23"/>
      <w:footerReference w:type="even" r:id="rId24"/>
      <w:footerReference w:type="default" r:id="rId25"/>
      <w:headerReference w:type="first" r:id="rId26"/>
      <w:pgSz w:w="12240" w:h="15840" w:code="1"/>
      <w:pgMar w:top="1440" w:right="1440" w:bottom="1440" w:left="1440" w:header="720" w:footer="720" w:gutter="0"/>
      <w:pgNumType w:start="1"/>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30E94" w:rsidRDefault="00130E94" w:rsidP="00C77E4B">
      <w:pPr>
        <w:spacing w:after="0" w:line="240" w:lineRule="auto"/>
      </w:pPr>
      <w:r>
        <w:separator/>
      </w:r>
    </w:p>
  </w:endnote>
  <w:endnote w:type="continuationSeparator" w:id="0">
    <w:p w:rsidR="00130E94" w:rsidRDefault="00130E94" w:rsidP="00C77E4B">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Arial Black">
    <w:panose1 w:val="020B0A04020102020204"/>
    <w:charset w:val="00"/>
    <w:family w:val="swiss"/>
    <w:pitch w:val="variable"/>
    <w:sig w:usb0="00000287" w:usb1="00000000" w:usb2="00000000" w:usb3="00000000" w:csb0="0000009F" w:csb1="00000000"/>
  </w:font>
  <w:font w:name="Cambria">
    <w:panose1 w:val="02040503050406030204"/>
    <w:charset w:val="00"/>
    <w:family w:val="roman"/>
    <w:pitch w:val="variable"/>
    <w:sig w:usb0="A00002EF" w:usb1="4000004B" w:usb2="00000000" w:usb3="00000000" w:csb0="0000009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00000000" w:usb2="00000000"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D6EEC" w:rsidRDefault="00DD6EEC" w:rsidP="00683F67">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DD6EEC" w:rsidRDefault="00DD6EEC" w:rsidP="00683F67">
    <w:pPr>
      <w:pStyle w:val="Footer"/>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78873001"/>
      <w:docPartObj>
        <w:docPartGallery w:val="Page Numbers (Bottom of Page)"/>
        <w:docPartUnique/>
      </w:docPartObj>
    </w:sdtPr>
    <w:sdtContent>
      <w:p w:rsidR="00DD6EEC" w:rsidRDefault="00DD6EEC">
        <w:pPr>
          <w:pStyle w:val="Footer"/>
          <w:jc w:val="right"/>
        </w:pPr>
        <w:fldSimple w:instr=" PAGE   \* MERGEFORMAT ">
          <w:r>
            <w:rPr>
              <w:noProof/>
            </w:rPr>
            <w:t>28</w:t>
          </w:r>
        </w:fldSimple>
      </w:p>
    </w:sdtContent>
  </w:sdt>
  <w:p w:rsidR="00DD6EEC" w:rsidRDefault="00DD6EEC" w:rsidP="00683F67">
    <w:pPr>
      <w:pStyle w:val="Footer"/>
      <w:tabs>
        <w:tab w:val="clear" w:pos="8640"/>
        <w:tab w:val="right" w:pos="7380"/>
      </w:tabs>
      <w:ind w:right="360"/>
      <w:jc w:val="cen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30E94" w:rsidRDefault="00130E94" w:rsidP="00C77E4B">
      <w:pPr>
        <w:spacing w:after="0" w:line="240" w:lineRule="auto"/>
      </w:pPr>
      <w:r>
        <w:separator/>
      </w:r>
    </w:p>
  </w:footnote>
  <w:footnote w:type="continuationSeparator" w:id="0">
    <w:p w:rsidR="00130E94" w:rsidRDefault="00130E94" w:rsidP="00C77E4B">
      <w:pPr>
        <w:spacing w:after="0" w:line="240" w:lineRule="auto"/>
      </w:pPr>
      <w:r>
        <w:continuationSeparator/>
      </w:r>
    </w:p>
  </w:footnote>
  <w:footnote w:id="1">
    <w:p w:rsidR="00DD6EEC" w:rsidRPr="00110EC6" w:rsidRDefault="00DD6EEC" w:rsidP="006F7B30">
      <w:pPr>
        <w:pStyle w:val="FootnoteText"/>
        <w:jc w:val="both"/>
        <w:rPr>
          <w:sz w:val="18"/>
          <w:szCs w:val="18"/>
        </w:rPr>
      </w:pPr>
      <w:r w:rsidRPr="00110EC6">
        <w:rPr>
          <w:rStyle w:val="FootnoteReference"/>
          <w:sz w:val="18"/>
          <w:szCs w:val="18"/>
        </w:rPr>
        <w:footnoteRef/>
      </w:r>
      <w:r w:rsidRPr="00110EC6">
        <w:rPr>
          <w:sz w:val="18"/>
          <w:szCs w:val="18"/>
        </w:rPr>
        <w:t xml:space="preserve"> Respondents refer to entities in a survey frame.</w:t>
      </w:r>
    </w:p>
    <w:p w:rsidR="00DD6EEC" w:rsidRDefault="00DD6EEC" w:rsidP="006F7B30">
      <w:pPr>
        <w:pStyle w:val="FootnoteText"/>
      </w:pPr>
    </w:p>
  </w:footnote>
  <w:footnote w:id="2">
    <w:p w:rsidR="00DD6EEC" w:rsidRPr="005F6A5C" w:rsidRDefault="00DD6EEC" w:rsidP="009139DA">
      <w:pPr>
        <w:pStyle w:val="FootnoteText"/>
        <w:jc w:val="both"/>
        <w:rPr>
          <w:rFonts w:asciiTheme="minorHAnsi" w:hAnsiTheme="minorHAnsi"/>
          <w:sz w:val="18"/>
          <w:szCs w:val="18"/>
        </w:rPr>
      </w:pPr>
      <w:r w:rsidRPr="00F77884">
        <w:rPr>
          <w:rStyle w:val="FootnoteReference"/>
          <w:rFonts w:asciiTheme="minorHAnsi" w:hAnsiTheme="minorHAnsi"/>
          <w:sz w:val="18"/>
          <w:szCs w:val="18"/>
        </w:rPr>
        <w:footnoteRef/>
      </w:r>
      <w:r w:rsidRPr="00F77884">
        <w:rPr>
          <w:rFonts w:asciiTheme="minorHAnsi" w:hAnsiTheme="minorHAnsi"/>
          <w:sz w:val="18"/>
          <w:szCs w:val="18"/>
        </w:rPr>
        <w:t xml:space="preserve"> TVA and WPPI Energy (the latter a consortium of public power utilities in the Midwest) consolidate responses for their wholesale customers and deliver the information to EIA.  </w:t>
      </w:r>
      <w:r w:rsidRPr="005F6A5C">
        <w:rPr>
          <w:rFonts w:asciiTheme="minorHAnsi" w:hAnsiTheme="minorHAnsi"/>
          <w:sz w:val="18"/>
          <w:szCs w:val="18"/>
        </w:rPr>
        <w:t>Extract</w:t>
      </w:r>
      <w:r>
        <w:rPr>
          <w:rFonts w:asciiTheme="minorHAnsi" w:hAnsiTheme="minorHAnsi"/>
          <w:sz w:val="18"/>
          <w:szCs w:val="18"/>
        </w:rPr>
        <w:t>ing</w:t>
      </w:r>
      <w:r w:rsidRPr="005F6A5C">
        <w:rPr>
          <w:rFonts w:asciiTheme="minorHAnsi" w:hAnsiTheme="minorHAnsi"/>
          <w:sz w:val="18"/>
          <w:szCs w:val="18"/>
        </w:rPr>
        <w:t xml:space="preserve"> a subset of utilities from the joint filings </w:t>
      </w:r>
      <w:r>
        <w:rPr>
          <w:rFonts w:asciiTheme="minorHAnsi" w:hAnsiTheme="minorHAnsi"/>
          <w:sz w:val="18"/>
          <w:szCs w:val="18"/>
        </w:rPr>
        <w:t>of TVA and WPPI</w:t>
      </w:r>
      <w:r w:rsidRPr="00F77884">
        <w:rPr>
          <w:rFonts w:asciiTheme="minorHAnsi" w:hAnsiTheme="minorHAnsi"/>
          <w:sz w:val="18"/>
          <w:szCs w:val="18"/>
        </w:rPr>
        <w:t xml:space="preserve"> would be administratively cumbersome</w:t>
      </w:r>
      <w:r>
        <w:rPr>
          <w:rFonts w:asciiTheme="minorHAnsi" w:hAnsiTheme="minorHAnsi"/>
          <w:sz w:val="18"/>
          <w:szCs w:val="18"/>
        </w:rPr>
        <w:t xml:space="preserve"> and would </w:t>
      </w:r>
      <w:r w:rsidRPr="005F6A5C">
        <w:rPr>
          <w:rFonts w:asciiTheme="minorHAnsi" w:hAnsiTheme="minorHAnsi"/>
          <w:sz w:val="18"/>
          <w:szCs w:val="18"/>
        </w:rPr>
        <w:t>defeat the purpose of the proposed change to the Form EIA-861 frame, which is to reduce the cost of managing the survey</w:t>
      </w:r>
      <w:r>
        <w:rPr>
          <w:rFonts w:asciiTheme="minorHAnsi" w:hAnsiTheme="minorHAnsi"/>
          <w:sz w:val="18"/>
          <w:szCs w:val="18"/>
        </w:rPr>
        <w:t xml:space="preserve"> for both EIA and respondents</w:t>
      </w:r>
      <w:r w:rsidRPr="005F6A5C">
        <w:rPr>
          <w:rFonts w:asciiTheme="minorHAnsi" w:hAnsiTheme="minorHAnsi"/>
          <w:sz w:val="18"/>
          <w:szCs w:val="18"/>
        </w:rPr>
        <w:t>.</w:t>
      </w:r>
    </w:p>
  </w:footnote>
  <w:footnote w:id="3">
    <w:p w:rsidR="00DD6EEC" w:rsidRDefault="00DD6EEC" w:rsidP="00441CD1">
      <w:pPr>
        <w:pStyle w:val="FootnoteText"/>
        <w:spacing w:after="120"/>
      </w:pPr>
      <w:r>
        <w:rPr>
          <w:rStyle w:val="FootnoteReference"/>
        </w:rPr>
        <w:footnoteRef/>
      </w:r>
      <w:r>
        <w:t xml:space="preserve"> It is important to distinguish the </w:t>
      </w:r>
      <w:r w:rsidRPr="00781442">
        <w:rPr>
          <w:i/>
        </w:rPr>
        <w:t>fuel receipts data</w:t>
      </w:r>
      <w:r>
        <w:t xml:space="preserve"> collected on Schedule 2 of the Form EIA-923 from the </w:t>
      </w:r>
      <w:r w:rsidRPr="00781442">
        <w:rPr>
          <w:i/>
        </w:rPr>
        <w:t>fuel consumption data and as-burned fuel quality data</w:t>
      </w:r>
      <w:r>
        <w:t xml:space="preserve"> collected on other schedules of the survey.  There will no change to the coverage of these other schedules.  For additional information see Part A of the supporting statement.</w:t>
      </w:r>
    </w:p>
  </w:footnote>
  <w:footnote w:id="4">
    <w:p w:rsidR="00DD6EEC" w:rsidRDefault="00DD6EEC" w:rsidP="00441CD1">
      <w:pPr>
        <w:pStyle w:val="FootnoteText"/>
        <w:spacing w:after="120"/>
      </w:pPr>
      <w:r>
        <w:rPr>
          <w:rStyle w:val="FootnoteReference"/>
        </w:rPr>
        <w:footnoteRef/>
      </w:r>
      <w:r>
        <w:t xml:space="preserve"> </w:t>
      </w:r>
      <w:r w:rsidRPr="007833E6">
        <w:t xml:space="preserve">In practice, few if any respondents to the </w:t>
      </w:r>
      <w:r>
        <w:t xml:space="preserve">Form </w:t>
      </w:r>
      <w:r w:rsidRPr="007833E6">
        <w:t>EIA-861S will have retail sales to the transportation sector (mass transit system</w:t>
      </w:r>
      <w:r>
        <w:t>s</w:t>
      </w:r>
      <w:r w:rsidRPr="007833E6">
        <w:t xml:space="preserve"> and electrified inter-city rail) so the issue is using statistical imputation to allocate between the residential, commercial, and industrial sector.</w:t>
      </w:r>
    </w:p>
  </w:footnote>
  <w:footnote w:id="5">
    <w:p w:rsidR="00DD6EEC" w:rsidRDefault="00DD6EEC" w:rsidP="00441CD1">
      <w:pPr>
        <w:pStyle w:val="FootnoteText"/>
        <w:spacing w:after="120"/>
      </w:pPr>
      <w:r>
        <w:rPr>
          <w:rStyle w:val="FootnoteReference"/>
        </w:rPr>
        <w:footnoteRef/>
      </w:r>
      <w:r>
        <w:t xml:space="preserve"> </w:t>
      </w:r>
      <w:r w:rsidRPr="005C1511">
        <w:t>Knaub, J.R., Jr. (1999), “</w:t>
      </w:r>
      <w:r w:rsidRPr="00535355">
        <w:t>Model-Based Sampling, Inference and Imputation</w:t>
      </w:r>
      <w:r w:rsidRPr="005C1511">
        <w:t>,”</w:t>
      </w:r>
      <w:r>
        <w:t xml:space="preserve"> </w:t>
      </w:r>
      <w:hyperlink r:id="rId1" w:history="1">
        <w:r w:rsidRPr="00A75D22">
          <w:t>http://www.eia.gov/cneaf/electricity/forms/eiawebme.pdf</w:t>
        </w:r>
      </w:hyperlink>
    </w:p>
  </w:footnote>
  <w:footnote w:id="6">
    <w:p w:rsidR="00DD6EEC" w:rsidRDefault="00DD6EEC" w:rsidP="005B5270">
      <w:pPr>
        <w:pStyle w:val="FootnoteText"/>
        <w:jc w:val="both"/>
      </w:pPr>
      <w:r>
        <w:rPr>
          <w:rStyle w:val="FootnoteReference"/>
        </w:rPr>
        <w:footnoteRef/>
      </w:r>
      <w:r>
        <w:t xml:space="preserve"> </w:t>
      </w:r>
      <w:r w:rsidRPr="00112620">
        <w:t>EIA’s policy is to test in several phases.  First, the proposed forms are reviewed by internal EIA subject matter and survey methodology experts.  The second phase of this testing involves sending draft forms to representatives of the major segments of the electric power industry.  Finally, the proposed forms are tested with actual volunteer survey respondents.  These respondents are asked to review the forms, and then they are debriefed by EIA to make sure they understand the concepts being measured, can successfully navigate the forms, and have the response data in their business records.  Changes are made at all stages of testing to incorporate feedback.</w:t>
      </w:r>
    </w:p>
  </w:footnote>
  <w:footnote w:id="7">
    <w:p w:rsidR="00DD6EEC" w:rsidRDefault="00DD6EEC" w:rsidP="00DD6EEC">
      <w:pPr>
        <w:pStyle w:val="FootnoteText"/>
      </w:pPr>
      <w:r>
        <w:rPr>
          <w:rStyle w:val="FootnoteReference"/>
        </w:rPr>
        <w:footnoteRef/>
      </w:r>
      <w:r>
        <w:t xml:space="preserve"> Respondents refer to entities in a survey frame.</w:t>
      </w:r>
    </w:p>
    <w:p w:rsidR="00DD6EEC" w:rsidRDefault="00DD6EEC" w:rsidP="00DD6EEC">
      <w:pPr>
        <w:pStyle w:val="FootnoteText"/>
      </w:pPr>
    </w:p>
  </w:footnote>
  <w:footnote w:id="8">
    <w:p w:rsidR="00DD6EEC" w:rsidRDefault="00DD6EEC" w:rsidP="00DD6EEC">
      <w:pPr>
        <w:pStyle w:val="FootnoteText"/>
        <w:ind w:left="-360" w:right="-540"/>
      </w:pPr>
      <w:r>
        <w:rPr>
          <w:rStyle w:val="FootnoteReference"/>
        </w:rPr>
        <w:footnoteRef/>
      </w:r>
      <w:r>
        <w:t xml:space="preserve"> Pumped Storage facilities do not actually report energy source code HPS, rather they report energy source code WAT combined with a prime mover code of PS to differentiate them from conventional hydroelectric facilities.  The energy source is renamed to HPS for simplicity sake only.</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D6EEC" w:rsidRDefault="00DD6EEC" w:rsidP="00066330">
    <w:pPr>
      <w:pStyle w:val="Header"/>
      <w:jc w:val="right"/>
    </w:pPr>
    <w:r>
      <w:t>Supporting Statement, Part B</w: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D6EEC" w:rsidRDefault="00DD6EEC">
    <w:r>
      <w:cr/>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D33CA1"/>
    <w:multiLevelType w:val="hybridMultilevel"/>
    <w:tmpl w:val="7D20BFD0"/>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
    <w:nsid w:val="10942074"/>
    <w:multiLevelType w:val="hybridMultilevel"/>
    <w:tmpl w:val="9872DDB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1DB67E13"/>
    <w:multiLevelType w:val="hybridMultilevel"/>
    <w:tmpl w:val="C45ED6F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3BA13D27"/>
    <w:multiLevelType w:val="hybridMultilevel"/>
    <w:tmpl w:val="8C14839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4B704B64"/>
    <w:multiLevelType w:val="hybridMultilevel"/>
    <w:tmpl w:val="E24881D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nsid w:val="4EEF71FC"/>
    <w:multiLevelType w:val="hybridMultilevel"/>
    <w:tmpl w:val="5958041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612229C6"/>
    <w:multiLevelType w:val="hybridMultilevel"/>
    <w:tmpl w:val="F26A6D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66202FE9"/>
    <w:multiLevelType w:val="hybridMultilevel"/>
    <w:tmpl w:val="5F26C8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67B44006"/>
    <w:multiLevelType w:val="hybridMultilevel"/>
    <w:tmpl w:val="C4BA95B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nsid w:val="6BA43DAC"/>
    <w:multiLevelType w:val="hybridMultilevel"/>
    <w:tmpl w:val="6D3ADF34"/>
    <w:lvl w:ilvl="0" w:tplc="04090011">
      <w:start w:val="1"/>
      <w:numFmt w:val="bullet"/>
      <w:lvlText w:val=""/>
      <w:lvlJc w:val="left"/>
      <w:pPr>
        <w:tabs>
          <w:tab w:val="num" w:pos="720"/>
        </w:tabs>
        <w:ind w:left="720" w:hanging="360"/>
      </w:pPr>
      <w:rPr>
        <w:rFonts w:ascii="Symbol" w:hAnsi="Symbol" w:hint="default"/>
      </w:rPr>
    </w:lvl>
    <w:lvl w:ilvl="1" w:tplc="04090019" w:tentative="1">
      <w:start w:val="1"/>
      <w:numFmt w:val="bullet"/>
      <w:lvlText w:val="o"/>
      <w:lvlJc w:val="left"/>
      <w:pPr>
        <w:tabs>
          <w:tab w:val="num" w:pos="1440"/>
        </w:tabs>
        <w:ind w:left="1440" w:hanging="360"/>
      </w:pPr>
      <w:rPr>
        <w:rFonts w:ascii="Courier New" w:hAnsi="Courier New" w:cs="Courier New" w:hint="default"/>
      </w:rPr>
    </w:lvl>
    <w:lvl w:ilvl="2" w:tplc="0409001B"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cs="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cs="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10">
    <w:nsid w:val="78B76620"/>
    <w:multiLevelType w:val="hybridMultilevel"/>
    <w:tmpl w:val="5E8ECD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8"/>
  </w:num>
  <w:num w:numId="3">
    <w:abstractNumId w:val="7"/>
  </w:num>
  <w:num w:numId="4">
    <w:abstractNumId w:val="6"/>
  </w:num>
  <w:num w:numId="5">
    <w:abstractNumId w:val="10"/>
  </w:num>
  <w:num w:numId="6">
    <w:abstractNumId w:val="0"/>
  </w:num>
  <w:num w:numId="7">
    <w:abstractNumId w:val="9"/>
  </w:num>
  <w:num w:numId="8">
    <w:abstractNumId w:val="1"/>
  </w:num>
  <w:num w:numId="9">
    <w:abstractNumId w:val="3"/>
  </w:num>
  <w:num w:numId="10">
    <w:abstractNumId w:val="5"/>
  </w:num>
  <w:num w:numId="11">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drawingGridHorizontalSpacing w:val="110"/>
  <w:displayHorizontalDrawingGridEvery w:val="2"/>
  <w:characterSpacingControl w:val="doNotCompress"/>
  <w:hdrShapeDefaults>
    <o:shapedefaults v:ext="edit" spidmax="35842"/>
  </w:hdrShapeDefaults>
  <w:footnotePr>
    <w:footnote w:id="-1"/>
    <w:footnote w:id="0"/>
  </w:footnotePr>
  <w:endnotePr>
    <w:endnote w:id="-1"/>
    <w:endnote w:id="0"/>
  </w:endnotePr>
  <w:compat/>
  <w:rsids>
    <w:rsidRoot w:val="00C77E4B"/>
    <w:rsid w:val="00066330"/>
    <w:rsid w:val="00091BC5"/>
    <w:rsid w:val="000B7257"/>
    <w:rsid w:val="000D70E1"/>
    <w:rsid w:val="00112620"/>
    <w:rsid w:val="00130E94"/>
    <w:rsid w:val="00180890"/>
    <w:rsid w:val="00194DEB"/>
    <w:rsid w:val="001B3862"/>
    <w:rsid w:val="001F0686"/>
    <w:rsid w:val="002757E3"/>
    <w:rsid w:val="00277C25"/>
    <w:rsid w:val="00300165"/>
    <w:rsid w:val="003005BC"/>
    <w:rsid w:val="00306937"/>
    <w:rsid w:val="0031617A"/>
    <w:rsid w:val="00317B41"/>
    <w:rsid w:val="0034647B"/>
    <w:rsid w:val="00351F5F"/>
    <w:rsid w:val="00377F50"/>
    <w:rsid w:val="00380430"/>
    <w:rsid w:val="003917DF"/>
    <w:rsid w:val="0039473E"/>
    <w:rsid w:val="003A0B45"/>
    <w:rsid w:val="003A46AD"/>
    <w:rsid w:val="003A693A"/>
    <w:rsid w:val="003B2E76"/>
    <w:rsid w:val="003B30F6"/>
    <w:rsid w:val="003D4480"/>
    <w:rsid w:val="003F3D56"/>
    <w:rsid w:val="00435129"/>
    <w:rsid w:val="00441CD1"/>
    <w:rsid w:val="004612BB"/>
    <w:rsid w:val="004E3766"/>
    <w:rsid w:val="005051AC"/>
    <w:rsid w:val="005263E9"/>
    <w:rsid w:val="00580F30"/>
    <w:rsid w:val="005B14E1"/>
    <w:rsid w:val="005B5270"/>
    <w:rsid w:val="005D7B99"/>
    <w:rsid w:val="00644765"/>
    <w:rsid w:val="00683381"/>
    <w:rsid w:val="00683F67"/>
    <w:rsid w:val="006F6F4F"/>
    <w:rsid w:val="006F7B30"/>
    <w:rsid w:val="007528EF"/>
    <w:rsid w:val="00781442"/>
    <w:rsid w:val="007833E6"/>
    <w:rsid w:val="007D1A28"/>
    <w:rsid w:val="007E5414"/>
    <w:rsid w:val="008608EE"/>
    <w:rsid w:val="0086149A"/>
    <w:rsid w:val="008763A1"/>
    <w:rsid w:val="009139DA"/>
    <w:rsid w:val="009C7A04"/>
    <w:rsid w:val="00A50553"/>
    <w:rsid w:val="00A72191"/>
    <w:rsid w:val="00A86516"/>
    <w:rsid w:val="00AD2003"/>
    <w:rsid w:val="00AE39FB"/>
    <w:rsid w:val="00B03CAA"/>
    <w:rsid w:val="00B2510D"/>
    <w:rsid w:val="00B4069B"/>
    <w:rsid w:val="00B9308B"/>
    <w:rsid w:val="00BC40BB"/>
    <w:rsid w:val="00BC4966"/>
    <w:rsid w:val="00BE7315"/>
    <w:rsid w:val="00BE76B7"/>
    <w:rsid w:val="00C15977"/>
    <w:rsid w:val="00C263E5"/>
    <w:rsid w:val="00C476CE"/>
    <w:rsid w:val="00C53F57"/>
    <w:rsid w:val="00C77E4B"/>
    <w:rsid w:val="00CE536C"/>
    <w:rsid w:val="00D21173"/>
    <w:rsid w:val="00D32DEF"/>
    <w:rsid w:val="00D56ED2"/>
    <w:rsid w:val="00D77865"/>
    <w:rsid w:val="00D8258E"/>
    <w:rsid w:val="00DD01A1"/>
    <w:rsid w:val="00DD2F89"/>
    <w:rsid w:val="00DD6EEC"/>
    <w:rsid w:val="00E041AF"/>
    <w:rsid w:val="00E20A35"/>
    <w:rsid w:val="00E36C9F"/>
    <w:rsid w:val="00E71451"/>
    <w:rsid w:val="00E948C5"/>
    <w:rsid w:val="00EA1726"/>
    <w:rsid w:val="00EB4951"/>
    <w:rsid w:val="00EE125D"/>
    <w:rsid w:val="00F12BC5"/>
    <w:rsid w:val="00F346CC"/>
    <w:rsid w:val="00FA7139"/>
    <w:rsid w:val="00FB55E1"/>
    <w:rsid w:val="00FC7F55"/>
    <w:rsid w:val="00FF01A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martTagType w:namespaceuri="urn:schemas-microsoft-com:office:smarttags" w:name="State"/>
  <w:smartTagType w:namespaceuri="urn:schemas-microsoft-com:office:smarttags" w:name="country-region"/>
  <w:smartTagType w:namespaceuri="urn:schemas-microsoft-com:office:smarttags" w:name="City"/>
  <w:smartTagType w:namespaceuri="urn:schemas-microsoft-com:office:smarttags" w:name="place"/>
  <w:shapeDefaults>
    <o:shapedefaults v:ext="edit" spidmax="3584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HTML Top of Form"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77E4B"/>
    <w:rPr>
      <w:rFonts w:ascii="Calibri" w:eastAsia="Calibri" w:hAnsi="Calibri" w:cs="Times New Roman"/>
    </w:rPr>
  </w:style>
  <w:style w:type="paragraph" w:styleId="Heading1">
    <w:name w:val="heading 1"/>
    <w:basedOn w:val="Normal"/>
    <w:next w:val="Normal"/>
    <w:link w:val="Heading1Char"/>
    <w:uiPriority w:val="9"/>
    <w:qFormat/>
    <w:rsid w:val="00435129"/>
    <w:pPr>
      <w:keepNext/>
      <w:keepLines/>
      <w:spacing w:before="480" w:after="0"/>
      <w:outlineLvl w:val="0"/>
    </w:pPr>
    <w:rPr>
      <w:rFonts w:ascii="Arial Black" w:eastAsiaTheme="majorEastAsia" w:hAnsi="Arial Black" w:cstheme="majorBidi"/>
      <w:bCs/>
      <w:sz w:val="24"/>
      <w:szCs w:val="28"/>
    </w:rPr>
  </w:style>
  <w:style w:type="paragraph" w:styleId="Heading2">
    <w:name w:val="heading 2"/>
    <w:basedOn w:val="Normal"/>
    <w:next w:val="Normal"/>
    <w:link w:val="Heading2Char"/>
    <w:uiPriority w:val="9"/>
    <w:unhideWhenUsed/>
    <w:qFormat/>
    <w:rsid w:val="00C77E4B"/>
    <w:pPr>
      <w:keepNext/>
      <w:keepLines/>
      <w:spacing w:before="100" w:beforeAutospacing="1" w:after="0"/>
      <w:outlineLvl w:val="1"/>
    </w:pPr>
    <w:rPr>
      <w:rFonts w:ascii="Arial Black" w:eastAsiaTheme="majorEastAsia" w:hAnsi="Arial Black" w:cstheme="majorBidi"/>
      <w:b/>
      <w:bCs/>
      <w:szCs w:val="26"/>
    </w:rPr>
  </w:style>
  <w:style w:type="paragraph" w:styleId="Heading3">
    <w:name w:val="heading 3"/>
    <w:basedOn w:val="Normal"/>
    <w:next w:val="Normal"/>
    <w:link w:val="Heading3Char"/>
    <w:uiPriority w:val="9"/>
    <w:semiHidden/>
    <w:unhideWhenUsed/>
    <w:qFormat/>
    <w:rsid w:val="00D56ED2"/>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C77E4B"/>
    <w:rPr>
      <w:rFonts w:ascii="Arial Black" w:eastAsiaTheme="majorEastAsia" w:hAnsi="Arial Black" w:cstheme="majorBidi"/>
      <w:b/>
      <w:bCs/>
      <w:szCs w:val="26"/>
    </w:rPr>
  </w:style>
  <w:style w:type="paragraph" w:styleId="ListParagraph">
    <w:name w:val="List Paragraph"/>
    <w:basedOn w:val="Normal"/>
    <w:uiPriority w:val="34"/>
    <w:qFormat/>
    <w:rsid w:val="00C77E4B"/>
    <w:pPr>
      <w:ind w:left="720"/>
      <w:contextualSpacing/>
    </w:pPr>
  </w:style>
  <w:style w:type="paragraph" w:styleId="BodyText3">
    <w:name w:val="Body Text 3"/>
    <w:basedOn w:val="Normal"/>
    <w:link w:val="BodyText3Char"/>
    <w:uiPriority w:val="99"/>
    <w:unhideWhenUsed/>
    <w:rsid w:val="00C77E4B"/>
    <w:pPr>
      <w:spacing w:after="120"/>
    </w:pPr>
    <w:rPr>
      <w:sz w:val="16"/>
      <w:szCs w:val="16"/>
    </w:rPr>
  </w:style>
  <w:style w:type="character" w:customStyle="1" w:styleId="BodyText3Char">
    <w:name w:val="Body Text 3 Char"/>
    <w:basedOn w:val="DefaultParagraphFont"/>
    <w:link w:val="BodyText3"/>
    <w:uiPriority w:val="99"/>
    <w:rsid w:val="00C77E4B"/>
    <w:rPr>
      <w:rFonts w:ascii="Calibri" w:eastAsia="Calibri" w:hAnsi="Calibri" w:cs="Times New Roman"/>
      <w:sz w:val="16"/>
      <w:szCs w:val="16"/>
    </w:rPr>
  </w:style>
  <w:style w:type="character" w:styleId="FootnoteReference">
    <w:name w:val="footnote reference"/>
    <w:basedOn w:val="DefaultParagraphFont"/>
    <w:semiHidden/>
    <w:rsid w:val="00C77E4B"/>
    <w:rPr>
      <w:vertAlign w:val="superscript"/>
    </w:rPr>
  </w:style>
  <w:style w:type="paragraph" w:customStyle="1" w:styleId="Footnote">
    <w:name w:val="Footnote"/>
    <w:basedOn w:val="FootnoteText"/>
    <w:qFormat/>
    <w:rsid w:val="00C77E4B"/>
    <w:pPr>
      <w:spacing w:after="200"/>
    </w:pPr>
    <w:rPr>
      <w:rFonts w:eastAsia="Times New Roman"/>
      <w:sz w:val="18"/>
      <w:szCs w:val="18"/>
    </w:rPr>
  </w:style>
  <w:style w:type="paragraph" w:styleId="FootnoteText">
    <w:name w:val="footnote text"/>
    <w:basedOn w:val="Normal"/>
    <w:link w:val="FootnoteTextChar"/>
    <w:semiHidden/>
    <w:unhideWhenUsed/>
    <w:rsid w:val="00C77E4B"/>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C77E4B"/>
    <w:rPr>
      <w:rFonts w:ascii="Calibri" w:eastAsia="Calibri" w:hAnsi="Calibri" w:cs="Times New Roman"/>
      <w:sz w:val="20"/>
      <w:szCs w:val="20"/>
    </w:rPr>
  </w:style>
  <w:style w:type="character" w:customStyle="1" w:styleId="Heading3Char">
    <w:name w:val="Heading 3 Char"/>
    <w:basedOn w:val="DefaultParagraphFont"/>
    <w:link w:val="Heading3"/>
    <w:uiPriority w:val="9"/>
    <w:semiHidden/>
    <w:rsid w:val="00D56ED2"/>
    <w:rPr>
      <w:rFonts w:asciiTheme="majorHAnsi" w:eastAsiaTheme="majorEastAsia" w:hAnsiTheme="majorHAnsi" w:cstheme="majorBidi"/>
      <w:b/>
      <w:bCs/>
      <w:color w:val="4F81BD" w:themeColor="accent1"/>
    </w:rPr>
  </w:style>
  <w:style w:type="paragraph" w:styleId="BalloonText">
    <w:name w:val="Balloon Text"/>
    <w:basedOn w:val="Normal"/>
    <w:link w:val="BalloonTextChar"/>
    <w:uiPriority w:val="99"/>
    <w:semiHidden/>
    <w:unhideWhenUsed/>
    <w:rsid w:val="006F7B3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F7B30"/>
    <w:rPr>
      <w:rFonts w:ascii="Tahoma" w:eastAsia="Calibri" w:hAnsi="Tahoma" w:cs="Tahoma"/>
      <w:sz w:val="16"/>
      <w:szCs w:val="16"/>
    </w:rPr>
  </w:style>
  <w:style w:type="paragraph" w:styleId="BodyText">
    <w:name w:val="Body Text"/>
    <w:basedOn w:val="Normal"/>
    <w:link w:val="BodyTextChar"/>
    <w:uiPriority w:val="99"/>
    <w:semiHidden/>
    <w:unhideWhenUsed/>
    <w:rsid w:val="006F7B30"/>
    <w:pPr>
      <w:spacing w:after="120"/>
    </w:pPr>
  </w:style>
  <w:style w:type="character" w:customStyle="1" w:styleId="BodyTextChar">
    <w:name w:val="Body Text Char"/>
    <w:basedOn w:val="DefaultParagraphFont"/>
    <w:link w:val="BodyText"/>
    <w:uiPriority w:val="99"/>
    <w:semiHidden/>
    <w:rsid w:val="006F7B30"/>
    <w:rPr>
      <w:rFonts w:ascii="Calibri" w:eastAsia="Calibri" w:hAnsi="Calibri" w:cs="Times New Roman"/>
    </w:rPr>
  </w:style>
  <w:style w:type="character" w:styleId="CommentReference">
    <w:name w:val="annotation reference"/>
    <w:basedOn w:val="DefaultParagraphFont"/>
    <w:uiPriority w:val="99"/>
    <w:semiHidden/>
    <w:unhideWhenUsed/>
    <w:rsid w:val="006F7B30"/>
    <w:rPr>
      <w:sz w:val="16"/>
      <w:szCs w:val="16"/>
    </w:rPr>
  </w:style>
  <w:style w:type="paragraph" w:styleId="CommentText">
    <w:name w:val="annotation text"/>
    <w:basedOn w:val="Normal"/>
    <w:link w:val="CommentTextChar"/>
    <w:uiPriority w:val="99"/>
    <w:semiHidden/>
    <w:unhideWhenUsed/>
    <w:rsid w:val="006F7B30"/>
    <w:pPr>
      <w:spacing w:after="0" w:line="240" w:lineRule="auto"/>
    </w:pPr>
    <w:rPr>
      <w:rFonts w:ascii="Times New Roman" w:eastAsia="Times New Roman" w:hAnsi="Times New Roman"/>
      <w:sz w:val="20"/>
      <w:szCs w:val="20"/>
    </w:rPr>
  </w:style>
  <w:style w:type="character" w:customStyle="1" w:styleId="CommentTextChar">
    <w:name w:val="Comment Text Char"/>
    <w:basedOn w:val="DefaultParagraphFont"/>
    <w:link w:val="CommentText"/>
    <w:uiPriority w:val="99"/>
    <w:semiHidden/>
    <w:rsid w:val="006F7B30"/>
    <w:rPr>
      <w:rFonts w:ascii="Times New Roman" w:eastAsia="Times New Roman" w:hAnsi="Times New Roman" w:cs="Times New Roman"/>
      <w:sz w:val="20"/>
      <w:szCs w:val="20"/>
    </w:rPr>
  </w:style>
  <w:style w:type="paragraph" w:styleId="NoSpacing">
    <w:name w:val="No Spacing"/>
    <w:uiPriority w:val="1"/>
    <w:qFormat/>
    <w:rsid w:val="006F7B30"/>
    <w:pPr>
      <w:spacing w:after="0" w:line="240" w:lineRule="auto"/>
    </w:pPr>
    <w:rPr>
      <w:rFonts w:ascii="Calibri" w:eastAsia="Calibri" w:hAnsi="Calibri" w:cs="Times New Roman"/>
    </w:rPr>
  </w:style>
  <w:style w:type="paragraph" w:styleId="Footer">
    <w:name w:val="footer"/>
    <w:basedOn w:val="Normal"/>
    <w:link w:val="FooterChar"/>
    <w:uiPriority w:val="99"/>
    <w:rsid w:val="003917DF"/>
    <w:pPr>
      <w:tabs>
        <w:tab w:val="center" w:pos="4320"/>
        <w:tab w:val="right" w:pos="8640"/>
      </w:tabs>
      <w:spacing w:after="0" w:line="240" w:lineRule="auto"/>
    </w:pPr>
    <w:rPr>
      <w:rFonts w:ascii="Times New Roman" w:eastAsia="Times New Roman" w:hAnsi="Times New Roman"/>
      <w:sz w:val="20"/>
      <w:szCs w:val="20"/>
    </w:rPr>
  </w:style>
  <w:style w:type="character" w:customStyle="1" w:styleId="FooterChar">
    <w:name w:val="Footer Char"/>
    <w:basedOn w:val="DefaultParagraphFont"/>
    <w:link w:val="Footer"/>
    <w:uiPriority w:val="99"/>
    <w:rsid w:val="003917DF"/>
    <w:rPr>
      <w:rFonts w:ascii="Times New Roman" w:eastAsia="Times New Roman" w:hAnsi="Times New Roman" w:cs="Times New Roman"/>
      <w:sz w:val="20"/>
      <w:szCs w:val="20"/>
    </w:rPr>
  </w:style>
  <w:style w:type="character" w:styleId="PageNumber">
    <w:name w:val="page number"/>
    <w:basedOn w:val="DefaultParagraphFont"/>
    <w:rsid w:val="003917DF"/>
  </w:style>
  <w:style w:type="paragraph" w:styleId="TOC1">
    <w:name w:val="toc 1"/>
    <w:basedOn w:val="Normal"/>
    <w:next w:val="Normal"/>
    <w:autoRedefine/>
    <w:uiPriority w:val="39"/>
    <w:qFormat/>
    <w:rsid w:val="003917DF"/>
    <w:pPr>
      <w:spacing w:before="120" w:after="120" w:line="240" w:lineRule="auto"/>
    </w:pPr>
    <w:rPr>
      <w:rFonts w:asciiTheme="minorHAnsi" w:eastAsia="Times New Roman" w:hAnsiTheme="minorHAnsi"/>
      <w:b/>
      <w:bCs/>
      <w:caps/>
      <w:sz w:val="20"/>
      <w:szCs w:val="20"/>
    </w:rPr>
  </w:style>
  <w:style w:type="paragraph" w:styleId="TOC2">
    <w:name w:val="toc 2"/>
    <w:basedOn w:val="Normal"/>
    <w:next w:val="Normal"/>
    <w:autoRedefine/>
    <w:uiPriority w:val="39"/>
    <w:qFormat/>
    <w:rsid w:val="003917DF"/>
    <w:pPr>
      <w:spacing w:after="0" w:line="240" w:lineRule="auto"/>
      <w:ind w:left="200"/>
    </w:pPr>
    <w:rPr>
      <w:rFonts w:asciiTheme="minorHAnsi" w:eastAsia="Times New Roman" w:hAnsiTheme="minorHAnsi"/>
      <w:smallCaps/>
      <w:sz w:val="20"/>
      <w:szCs w:val="20"/>
    </w:rPr>
  </w:style>
  <w:style w:type="paragraph" w:styleId="TOC3">
    <w:name w:val="toc 3"/>
    <w:basedOn w:val="Normal"/>
    <w:next w:val="Normal"/>
    <w:autoRedefine/>
    <w:uiPriority w:val="39"/>
    <w:qFormat/>
    <w:rsid w:val="00066330"/>
    <w:pPr>
      <w:tabs>
        <w:tab w:val="right" w:leader="dot" w:pos="8630"/>
      </w:tabs>
      <w:spacing w:after="0" w:line="240" w:lineRule="auto"/>
      <w:ind w:left="400"/>
    </w:pPr>
    <w:rPr>
      <w:rFonts w:asciiTheme="minorHAnsi" w:eastAsia="Times New Roman" w:hAnsiTheme="minorHAnsi"/>
      <w:i/>
      <w:iCs/>
      <w:sz w:val="20"/>
      <w:szCs w:val="20"/>
    </w:rPr>
  </w:style>
  <w:style w:type="character" w:customStyle="1" w:styleId="Heading1Char">
    <w:name w:val="Heading 1 Char"/>
    <w:basedOn w:val="DefaultParagraphFont"/>
    <w:link w:val="Heading1"/>
    <w:uiPriority w:val="9"/>
    <w:rsid w:val="00435129"/>
    <w:rPr>
      <w:rFonts w:ascii="Arial Black" w:eastAsiaTheme="majorEastAsia" w:hAnsi="Arial Black" w:cstheme="majorBidi"/>
      <w:bCs/>
      <w:sz w:val="24"/>
      <w:szCs w:val="28"/>
    </w:rPr>
  </w:style>
  <w:style w:type="paragraph" w:styleId="TOCHeading">
    <w:name w:val="TOC Heading"/>
    <w:basedOn w:val="Heading1"/>
    <w:next w:val="Normal"/>
    <w:uiPriority w:val="39"/>
    <w:unhideWhenUsed/>
    <w:qFormat/>
    <w:rsid w:val="003917DF"/>
    <w:pPr>
      <w:outlineLvl w:val="9"/>
    </w:pPr>
  </w:style>
  <w:style w:type="paragraph" w:styleId="Header">
    <w:name w:val="header"/>
    <w:basedOn w:val="Normal"/>
    <w:link w:val="HeaderChar"/>
    <w:uiPriority w:val="99"/>
    <w:semiHidden/>
    <w:unhideWhenUsed/>
    <w:rsid w:val="00066330"/>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066330"/>
    <w:rPr>
      <w:rFonts w:ascii="Calibri" w:eastAsia="Calibri" w:hAnsi="Calibri" w:cs="Times New Roman"/>
    </w:rPr>
  </w:style>
  <w:style w:type="character" w:styleId="Hyperlink">
    <w:name w:val="Hyperlink"/>
    <w:basedOn w:val="DefaultParagraphFont"/>
    <w:uiPriority w:val="99"/>
    <w:unhideWhenUsed/>
    <w:rsid w:val="001F0686"/>
    <w:rPr>
      <w:color w:val="0000FF" w:themeColor="hyperlink"/>
      <w:u w:val="single"/>
    </w:rPr>
  </w:style>
  <w:style w:type="paragraph" w:styleId="z-TopofForm">
    <w:name w:val="HTML Top of Form"/>
    <w:basedOn w:val="Normal"/>
    <w:link w:val="z-TopofFormChar"/>
    <w:rsid w:val="00DD6EEC"/>
    <w:pPr>
      <w:spacing w:after="0" w:line="240" w:lineRule="auto"/>
    </w:pPr>
    <w:rPr>
      <w:rFonts w:ascii="Times New Roman" w:eastAsia="Times New Roman" w:hAnsi="Times New Roman"/>
      <w:sz w:val="24"/>
      <w:szCs w:val="20"/>
    </w:rPr>
  </w:style>
  <w:style w:type="character" w:customStyle="1" w:styleId="z-TopofFormChar">
    <w:name w:val="z-Top of Form Char"/>
    <w:basedOn w:val="DefaultParagraphFont"/>
    <w:link w:val="z-TopofForm"/>
    <w:rsid w:val="00DD6EEC"/>
    <w:rPr>
      <w:rFonts w:ascii="Times New Roman" w:eastAsia="Times New Roman" w:hAnsi="Times New Roman" w:cs="Times New Roman"/>
      <w:sz w:val="24"/>
      <w:szCs w:val="20"/>
    </w:rPr>
  </w:style>
  <w:style w:type="paragraph" w:customStyle="1" w:styleId="Default">
    <w:name w:val="Default"/>
    <w:rsid w:val="00DD6EEC"/>
    <w:pPr>
      <w:autoSpaceDE w:val="0"/>
      <w:autoSpaceDN w:val="0"/>
      <w:adjustRightInd w:val="0"/>
      <w:spacing w:after="0" w:line="240" w:lineRule="auto"/>
    </w:pPr>
    <w:rPr>
      <w:rFonts w:ascii="Times New Roman" w:eastAsia="Times New Roman" w:hAnsi="Times New Roman" w:cs="Times New Roman"/>
      <w:color w:val="000000"/>
      <w:sz w:val="24"/>
      <w:szCs w:val="24"/>
    </w:rPr>
  </w:style>
  <w:style w:type="character" w:customStyle="1" w:styleId="a">
    <w:name w:val="a"/>
    <w:basedOn w:val="DefaultParagraphFont"/>
    <w:rsid w:val="00DD6EEC"/>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interstat.stat.vt.edu/interstat/articles/2001/abstracts/u01001.htmlssi" TargetMode="External"/><Relationship Id="rId18" Type="http://schemas.openxmlformats.org/officeDocument/2006/relationships/hyperlink" Target="http://interstat.statjournals.net/YEAR/2007/abstracts/0704006.php" TargetMode="External"/><Relationship Id="rId26" Type="http://schemas.openxmlformats.org/officeDocument/2006/relationships/header" Target="header2.xml"/><Relationship Id="rId3" Type="http://schemas.openxmlformats.org/officeDocument/2006/relationships/styles" Target="styles.xml"/><Relationship Id="rId21" Type="http://schemas.openxmlformats.org/officeDocument/2006/relationships/hyperlink" Target="mailto:rebecca.peterson@eia.doe.gov" TargetMode="External"/><Relationship Id="rId7" Type="http://schemas.openxmlformats.org/officeDocument/2006/relationships/endnotes" Target="endnotes.xml"/><Relationship Id="rId12" Type="http://schemas.openxmlformats.org/officeDocument/2006/relationships/hyperlink" Target="http://interstat.stat.vt.edu/interstat/articles/2000/abstracts/u00002.htmlssi" TargetMode="External"/><Relationship Id="rId17" Type="http://schemas.openxmlformats.org/officeDocument/2006/relationships/hyperlink" Target="http://interstat.statjournals.net/YEAR/2005/abstracts/0510004.php" TargetMode="External"/><Relationship Id="rId25"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yperlink" Target="http://www.amstat.org/sections/SRMS/proceedings/papers/1991_133.pdf" TargetMode="External"/><Relationship Id="rId20" Type="http://schemas.openxmlformats.org/officeDocument/2006/relationships/hyperlink" Target="http://www.eia.doe.gov/smg/asa_meeting_2007/fall/files/modeleia923.ppt"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interstat.stat.vt.edu/interstat/articles/1999/abstracts/g99001.htmlssi" TargetMode="External"/><Relationship Id="rId24"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http://interstat.stat.vt.edu/InterStat/ARTICLES/1997/abstracts/A97001.html--ssi" TargetMode="External"/><Relationship Id="rId23" Type="http://schemas.openxmlformats.org/officeDocument/2006/relationships/header" Target="header1.xml"/><Relationship Id="rId28" Type="http://schemas.openxmlformats.org/officeDocument/2006/relationships/theme" Target="theme/theme1.xml"/><Relationship Id="rId10" Type="http://schemas.openxmlformats.org/officeDocument/2006/relationships/hyperlink" Target="mailto:alethea.jennings@eia.gov" TargetMode="External"/><Relationship Id="rId19" Type="http://schemas.openxmlformats.org/officeDocument/2006/relationships/hyperlink" Target="http://interstat.statjournals.net/YEAR/2008/abstracts/0806005.php?Name=806005" TargetMode="External"/><Relationship Id="rId4" Type="http://schemas.openxmlformats.org/officeDocument/2006/relationships/settings" Target="settings.xml"/><Relationship Id="rId9" Type="http://schemas.openxmlformats.org/officeDocument/2006/relationships/hyperlink" Target="mailto:ERUS2013@eia.gov" TargetMode="External"/><Relationship Id="rId14" Type="http://schemas.openxmlformats.org/officeDocument/2006/relationships/hyperlink" Target="http://www.eia.doe.gov/cneaf/electricity/forms/eiawebme.pdf" TargetMode="External"/><Relationship Id="rId22" Type="http://schemas.openxmlformats.org/officeDocument/2006/relationships/hyperlink" Target="mailto:jason.worrall@eia.doe.gov" TargetMode="External"/><Relationship Id="rId27"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www.eia.gov/cneaf/electricity/forms/eiawebme.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40767E7-3AD4-4A58-87E6-C29FCEEB67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28</Pages>
  <Words>7667</Words>
  <Characters>43706</Characters>
  <Application>Microsoft Office Word</Application>
  <DocSecurity>0</DocSecurity>
  <Lines>364</Lines>
  <Paragraphs>102</Paragraphs>
  <ScaleCrop>false</ScaleCrop>
  <HeadingPairs>
    <vt:vector size="2" baseType="variant">
      <vt:variant>
        <vt:lpstr>Title</vt:lpstr>
      </vt:variant>
      <vt:variant>
        <vt:i4>1</vt:i4>
      </vt:variant>
    </vt:vector>
  </HeadingPairs>
  <TitlesOfParts>
    <vt:vector size="1" baseType="lpstr">
      <vt:lpstr/>
    </vt:vector>
  </TitlesOfParts>
  <Company>DOE/EIA</Company>
  <LinksUpToDate>false</LinksUpToDate>
  <CharactersWithSpaces>51271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Rebecca McNerney</dc:creator>
  <cp:keywords/>
  <dc:description/>
  <cp:lastModifiedBy>Rebecca McNerney</cp:lastModifiedBy>
  <cp:revision>2</cp:revision>
  <cp:lastPrinted>2012-08-02T19:01:00Z</cp:lastPrinted>
  <dcterms:created xsi:type="dcterms:W3CDTF">2012-10-22T17:38:00Z</dcterms:created>
  <dcterms:modified xsi:type="dcterms:W3CDTF">2012-10-22T17:38:00Z</dcterms:modified>
</cp:coreProperties>
</file>