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1AAF" w:rsidRDefault="002645D2">
      <w:r>
        <w:rPr>
          <w:noProof/>
        </w:rPr>
        <w:pict>
          <v:shapetype id="_x0000_t202" coordsize="21600,21600" o:spt="202" path="m,l,21600r21600,l21600,xe">
            <v:stroke joinstyle="miter"/>
            <v:path gradientshapeok="t" o:connecttype="rect"/>
          </v:shapetype>
          <v:shape id="Text Box 2" o:spid="_x0000_s1026" type="#_x0000_t202" style="position:absolute;margin-left:11.7pt;margin-top:10.3pt;width:300.6pt;height:97.9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" stroked="f">
            <v:textbox>
              <w:txbxContent>
                <w:p w:rsidR="00532022" w:rsidRPr="00955EC2" w:rsidRDefault="00532022" w:rsidP="00955EC2">
                  <w:pPr>
                    <w:rPr>
                      <w:rFonts w:ascii="Arial" w:hAnsi="Arial" w:cs="Arial"/>
                      <w:b/>
                      <w:sz w:val="24"/>
                    </w:rPr>
                  </w:pPr>
                  <w:r w:rsidRPr="00955EC2">
                    <w:rPr>
                      <w:rFonts w:ascii="Arial" w:hAnsi="Arial" w:cs="Arial"/>
                      <w:b/>
                      <w:sz w:val="24"/>
                    </w:rPr>
                    <w:t>U.S. Energy Information Administration</w:t>
                  </w:r>
                </w:p>
                <w:p w:rsidR="00532022" w:rsidRPr="00955EC2" w:rsidRDefault="00532022" w:rsidP="00955EC2">
                  <w:pPr>
                    <w:rPr>
                      <w:rFonts w:ascii="Arial" w:hAnsi="Arial" w:cs="Arial"/>
                      <w:b/>
                      <w:sz w:val="24"/>
                    </w:rPr>
                  </w:pPr>
                  <w:r w:rsidRPr="00955EC2">
                    <w:rPr>
                      <w:rFonts w:ascii="Arial" w:hAnsi="Arial" w:cs="Arial"/>
                      <w:b/>
                      <w:sz w:val="24"/>
                    </w:rPr>
                    <w:t>Office of Energy Statistics</w:t>
                  </w:r>
                </w:p>
                <w:p w:rsidR="00532022" w:rsidRPr="00955EC2" w:rsidRDefault="00532022" w:rsidP="00955EC2">
                  <w:pPr>
                    <w:rPr>
                      <w:rFonts w:ascii="Arial" w:hAnsi="Arial" w:cs="Arial"/>
                      <w:b/>
                      <w:sz w:val="24"/>
                    </w:rPr>
                  </w:pPr>
                  <w:r w:rsidRPr="00955EC2">
                    <w:rPr>
                      <w:rFonts w:ascii="Arial" w:hAnsi="Arial" w:cs="Arial"/>
                      <w:b/>
                      <w:sz w:val="24"/>
                    </w:rPr>
                    <w:t>Office of Electric</w:t>
                  </w:r>
                  <w:r>
                    <w:rPr>
                      <w:rFonts w:ascii="Arial" w:hAnsi="Arial" w:cs="Arial"/>
                      <w:b/>
                      <w:sz w:val="24"/>
                    </w:rPr>
                    <w:t>ity</w:t>
                  </w:r>
                  <w:r w:rsidRPr="00955EC2">
                    <w:rPr>
                      <w:rFonts w:ascii="Arial" w:hAnsi="Arial" w:cs="Arial"/>
                      <w:b/>
                      <w:sz w:val="24"/>
                    </w:rPr>
                    <w:t>, Renewables, and Uranium Statistics</w:t>
                  </w:r>
                </w:p>
                <w:p w:rsidR="00532022" w:rsidRDefault="00532022"/>
              </w:txbxContent>
            </v:textbox>
          </v:shape>
        </w:pict>
      </w:r>
      <w:r w:rsidR="0010095D">
        <w:rPr>
          <w:noProof/>
        </w:rPr>
        <w:drawing>
          <wp:anchor distT="0" distB="0" distL="114300" distR="114300" simplePos="0" relativeHeight="251658240" behindDoc="0" locked="0" layoutInCell="1" allowOverlap="1">
            <wp:simplePos x="0" y="0"/>
            <wp:positionH relativeFrom="column">
              <wp:posOffset>-241300</wp:posOffset>
            </wp:positionH>
            <wp:positionV relativeFrom="paragraph">
              <wp:posOffset>82550</wp:posOffset>
            </wp:positionV>
            <wp:extent cx="1273810" cy="1246505"/>
            <wp:effectExtent l="19050" t="0" r="2540" b="0"/>
            <wp:wrapSquare wrapText="right"/>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73810" cy="1246505"/>
                    </a:xfrm>
                    <a:prstGeom prst="rect">
                      <a:avLst/>
                    </a:prstGeom>
                    <a:noFill/>
                    <a:ln w="9525">
                      <a:noFill/>
                      <a:miter lim="800000"/>
                      <a:headEnd/>
                      <a:tailEnd/>
                    </a:ln>
                  </pic:spPr>
                </pic:pic>
              </a:graphicData>
            </a:graphic>
          </wp:anchor>
        </w:drawing>
      </w:r>
    </w:p>
    <w:p w:rsidR="00955EC2" w:rsidRDefault="00955EC2"/>
    <w:p w:rsidR="00955EC2" w:rsidRDefault="00955EC2"/>
    <w:p w:rsidR="00955EC2" w:rsidRDefault="00955EC2"/>
    <w:p w:rsidR="00071AAF" w:rsidRDefault="00071AAF"/>
    <w:p w:rsidR="00955EC2" w:rsidRDefault="00955EC2">
      <w:pPr>
        <w:rPr>
          <w:rFonts w:ascii="Arial Black" w:hAnsi="Arial Black"/>
          <w:sz w:val="28"/>
        </w:rPr>
      </w:pPr>
    </w:p>
    <w:p w:rsidR="00071AAF" w:rsidRPr="00071AAF" w:rsidRDefault="00071AAF">
      <w:pPr>
        <w:rPr>
          <w:rFonts w:ascii="Arial Black" w:hAnsi="Arial Black"/>
          <w:sz w:val="28"/>
        </w:rPr>
      </w:pPr>
      <w:r w:rsidRPr="00071AAF">
        <w:rPr>
          <w:rFonts w:ascii="Arial Black" w:hAnsi="Arial Black"/>
          <w:sz w:val="28"/>
        </w:rPr>
        <w:t>Supporting Statement for Survey Clearance</w:t>
      </w:r>
    </w:p>
    <w:p w:rsidR="00071AAF" w:rsidRPr="00071AAF" w:rsidRDefault="00071AAF">
      <w:pPr>
        <w:rPr>
          <w:rFonts w:ascii="Arial Black" w:hAnsi="Arial Black"/>
        </w:rPr>
      </w:pPr>
    </w:p>
    <w:p w:rsidR="00C54D13" w:rsidRDefault="00C54D13">
      <w:pPr>
        <w:rPr>
          <w:rFonts w:ascii="Arial Black" w:hAnsi="Arial Black"/>
        </w:rPr>
      </w:pPr>
      <w:r>
        <w:rPr>
          <w:rFonts w:ascii="Arial Black" w:hAnsi="Arial Black"/>
        </w:rPr>
        <w:t>Electric Power Surveys</w:t>
      </w:r>
    </w:p>
    <w:p w:rsidR="00C2252D" w:rsidRDefault="00071AAF">
      <w:pPr>
        <w:rPr>
          <w:rFonts w:ascii="Arial Black" w:hAnsi="Arial Black"/>
        </w:rPr>
      </w:pPr>
      <w:r w:rsidRPr="00071AAF">
        <w:rPr>
          <w:rFonts w:ascii="Arial Black" w:hAnsi="Arial Black"/>
        </w:rPr>
        <w:t>F</w:t>
      </w:r>
      <w:r w:rsidR="00C2252D">
        <w:rPr>
          <w:rFonts w:ascii="Arial Black" w:hAnsi="Arial Black"/>
        </w:rPr>
        <w:t>ORM</w:t>
      </w:r>
      <w:r w:rsidRPr="00071AAF">
        <w:rPr>
          <w:rFonts w:ascii="Arial Black" w:hAnsi="Arial Black"/>
        </w:rPr>
        <w:t xml:space="preserve"> EIA-</w:t>
      </w:r>
      <w:r w:rsidR="00C2252D">
        <w:rPr>
          <w:rFonts w:ascii="Arial Black" w:hAnsi="Arial Black"/>
        </w:rPr>
        <w:t>923, POWER PLANT OPERATIONS REPORT, Schedule 2, Cost and Quality of Fuel Purchases – Plant Level;</w:t>
      </w:r>
    </w:p>
    <w:p w:rsidR="00C2252D" w:rsidRDefault="00C2252D">
      <w:pPr>
        <w:rPr>
          <w:rFonts w:ascii="Arial Black" w:hAnsi="Arial Black"/>
        </w:rPr>
      </w:pPr>
      <w:r>
        <w:rPr>
          <w:rFonts w:ascii="Arial Black" w:hAnsi="Arial Black"/>
        </w:rPr>
        <w:t>FORM EIA-861, ANNUAL ELECTRIC POWER INDUSTRY REPORT;</w:t>
      </w:r>
    </w:p>
    <w:p w:rsidR="00071AAF" w:rsidRDefault="00C2252D">
      <w:pPr>
        <w:rPr>
          <w:rFonts w:ascii="Arial Black" w:hAnsi="Arial Black"/>
        </w:rPr>
      </w:pPr>
      <w:r>
        <w:rPr>
          <w:rFonts w:ascii="Arial Black" w:hAnsi="Arial Black"/>
        </w:rPr>
        <w:t>FORM EIA-861S, ANNUAL ELECTRIC POWER INDUSTRY REPORT (SHORT FORM)</w:t>
      </w:r>
    </w:p>
    <w:p w:rsidR="00C54D13" w:rsidRPr="00071AAF" w:rsidRDefault="00C54D13">
      <w:pPr>
        <w:rPr>
          <w:rFonts w:ascii="Arial Black" w:hAnsi="Arial Black"/>
        </w:rPr>
      </w:pPr>
      <w:r>
        <w:rPr>
          <w:rFonts w:ascii="Arial Black" w:hAnsi="Arial Black"/>
        </w:rPr>
        <w:t xml:space="preserve">OMB No. </w:t>
      </w:r>
      <w:r w:rsidR="001C302D">
        <w:rPr>
          <w:rFonts w:ascii="Arial Black" w:hAnsi="Arial Black"/>
        </w:rPr>
        <w:t>1905</w:t>
      </w:r>
      <w:r>
        <w:rPr>
          <w:rFonts w:ascii="Arial Black" w:hAnsi="Arial Black"/>
        </w:rPr>
        <w:t>-0129</w:t>
      </w:r>
    </w:p>
    <w:p w:rsidR="00071AAF" w:rsidRDefault="00071A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88"/>
      </w:tblGrid>
      <w:tr w:rsidR="00634A3A" w:rsidRPr="0035705F" w:rsidTr="00F23134">
        <w:tc>
          <w:tcPr>
            <w:tcW w:w="7488" w:type="dxa"/>
            <w:vAlign w:val="center"/>
          </w:tcPr>
          <w:p w:rsidR="00E81E11" w:rsidRPr="0035705F" w:rsidRDefault="00634A3A" w:rsidP="0035705F">
            <w:pPr>
              <w:rPr>
                <w:rFonts w:ascii="Arial Black" w:hAnsi="Arial Black"/>
              </w:rPr>
            </w:pPr>
            <w:r w:rsidRPr="0035705F">
              <w:rPr>
                <w:rFonts w:ascii="Arial Black" w:hAnsi="Arial Black"/>
              </w:rPr>
              <w:t>Background and Proposal</w:t>
            </w:r>
          </w:p>
          <w:p w:rsidR="00F23134" w:rsidRPr="0035705F" w:rsidRDefault="00634A3A" w:rsidP="0035705F">
            <w:pPr>
              <w:rPr>
                <w:rFonts w:ascii="Arial Black" w:hAnsi="Arial Black"/>
              </w:rPr>
            </w:pPr>
            <w:r w:rsidRPr="0035705F">
              <w:rPr>
                <w:rFonts w:ascii="Arial Black" w:hAnsi="Arial Black"/>
              </w:rPr>
              <w:t xml:space="preserve">Part A </w:t>
            </w:r>
          </w:p>
          <w:p w:rsidR="00B944D4" w:rsidRPr="0035705F" w:rsidRDefault="00537FF8" w:rsidP="0035705F">
            <w:pPr>
              <w:rPr>
                <w:rFonts w:ascii="Arial Black" w:hAnsi="Arial Black"/>
              </w:rPr>
            </w:pPr>
            <w:bookmarkStart w:id="0" w:name="_Toc343524140"/>
            <w:r w:rsidRPr="0035705F">
              <w:rPr>
                <w:rFonts w:ascii="Arial Black" w:hAnsi="Arial Black"/>
              </w:rPr>
              <w:t>Appendi</w:t>
            </w:r>
            <w:r w:rsidR="00B944D4" w:rsidRPr="0035705F">
              <w:rPr>
                <w:rFonts w:ascii="Arial Black" w:hAnsi="Arial Black"/>
              </w:rPr>
              <w:t>ces</w:t>
            </w:r>
            <w:r w:rsidRPr="0035705F">
              <w:rPr>
                <w:rFonts w:ascii="Arial Black" w:hAnsi="Arial Black"/>
              </w:rPr>
              <w:t xml:space="preserve"> A-1</w:t>
            </w:r>
            <w:r w:rsidR="00B944D4" w:rsidRPr="0035705F">
              <w:rPr>
                <w:rFonts w:ascii="Arial Black" w:hAnsi="Arial Black"/>
              </w:rPr>
              <w:t xml:space="preserve"> and A-2</w:t>
            </w:r>
            <w:r w:rsidR="00F23134" w:rsidRPr="0035705F">
              <w:rPr>
                <w:rFonts w:ascii="Arial Black" w:hAnsi="Arial Black"/>
              </w:rPr>
              <w:t>: Summary of Comments Received in Response to the Open Federal Register Notice</w:t>
            </w:r>
            <w:r w:rsidR="00B944D4" w:rsidRPr="0035705F">
              <w:rPr>
                <w:rFonts w:ascii="Arial Black" w:hAnsi="Arial Black"/>
              </w:rPr>
              <w:t>s</w:t>
            </w:r>
            <w:r w:rsidR="00E81E11" w:rsidRPr="0035705F">
              <w:rPr>
                <w:rFonts w:ascii="Arial Black" w:hAnsi="Arial Black"/>
              </w:rPr>
              <w:t>; Appendix A-3 Part A of the Original Clearance Package Supporting Statement, September 2010</w:t>
            </w:r>
            <w:bookmarkEnd w:id="0"/>
          </w:p>
        </w:tc>
      </w:tr>
    </w:tbl>
    <w:p w:rsidR="00B944D4" w:rsidRDefault="00B944D4"/>
    <w:p w:rsidR="00B944D4" w:rsidRDefault="00B944D4"/>
    <w:p w:rsidR="00071AAF" w:rsidRDefault="00FC0B67">
      <w:r>
        <w:t>Revised</w:t>
      </w:r>
      <w:r w:rsidR="00071AAF">
        <w:t xml:space="preserve">: </w:t>
      </w:r>
      <w:r w:rsidR="00B57B1B">
        <w:t xml:space="preserve">December </w:t>
      </w:r>
      <w:r w:rsidR="00E81E11">
        <w:t>2</w:t>
      </w:r>
      <w:r w:rsidR="00B57B1B">
        <w:t>0</w:t>
      </w:r>
      <w:r w:rsidR="00A1416F">
        <w:t xml:space="preserve">, </w:t>
      </w:r>
      <w:r w:rsidR="00071AAF">
        <w:t>2012</w:t>
      </w:r>
    </w:p>
    <w:p w:rsidR="00995E34" w:rsidRDefault="00995E34">
      <w:pPr>
        <w:sectPr w:rsidR="00995E34" w:rsidSect="00995E34">
          <w:headerReference w:type="default" r:id="rId9"/>
          <w:footerReference w:type="default" r:id="rId10"/>
          <w:footerReference w:type="first" r:id="rId11"/>
          <w:pgSz w:w="12240" w:h="15840"/>
          <w:pgMar w:top="1440" w:right="1440" w:bottom="1440" w:left="1440" w:header="720" w:footer="720" w:gutter="0"/>
          <w:pgNumType w:fmt="lowerRoman" w:start="1"/>
          <w:cols w:space="720"/>
          <w:titlePg/>
          <w:docGrid w:linePitch="360"/>
        </w:sectPr>
      </w:pPr>
    </w:p>
    <w:sdt>
      <w:sdtPr>
        <w:rPr>
          <w:rFonts w:asciiTheme="minorHAnsi" w:eastAsia="Calibri" w:hAnsiTheme="minorHAnsi" w:cs="Times New Roman"/>
          <w:b w:val="0"/>
          <w:bCs w:val="0"/>
          <w:sz w:val="22"/>
          <w:szCs w:val="24"/>
        </w:rPr>
        <w:id w:val="768395005"/>
        <w:docPartObj>
          <w:docPartGallery w:val="Table of Contents"/>
          <w:docPartUnique/>
        </w:docPartObj>
      </w:sdtPr>
      <w:sdtEndPr>
        <w:rPr>
          <w:rFonts w:ascii="Calibri" w:hAnsi="Calibri"/>
          <w:szCs w:val="22"/>
        </w:rPr>
      </w:sdtEndPr>
      <w:sdtContent>
        <w:p w:rsidR="001C5EED" w:rsidRPr="0035705F" w:rsidRDefault="0035705F" w:rsidP="0035705F">
          <w:pPr>
            <w:pStyle w:val="TOCHeading"/>
            <w:spacing w:before="60" w:beforeAutospacing="0" w:after="60" w:line="240" w:lineRule="auto"/>
            <w:rPr>
              <w:rFonts w:asciiTheme="minorHAnsi" w:hAnsiTheme="minorHAnsi"/>
              <w:szCs w:val="24"/>
            </w:rPr>
          </w:pPr>
          <w:r>
            <w:rPr>
              <w:rFonts w:asciiTheme="minorHAnsi" w:hAnsiTheme="minorHAnsi"/>
              <w:szCs w:val="24"/>
            </w:rPr>
            <w:t>TABLE OF CONTENTS</w:t>
          </w:r>
        </w:p>
        <w:p w:rsidR="0035705F" w:rsidRPr="0035705F" w:rsidRDefault="002645D2" w:rsidP="0035705F">
          <w:pPr>
            <w:pStyle w:val="TOC1"/>
            <w:spacing w:before="100" w:after="100" w:line="240" w:lineRule="auto"/>
            <w:rPr>
              <w:sz w:val="22"/>
              <w:szCs w:val="22"/>
            </w:rPr>
          </w:pPr>
          <w:r w:rsidRPr="002645D2">
            <w:rPr>
              <w:sz w:val="22"/>
              <w:szCs w:val="22"/>
            </w:rPr>
            <w:fldChar w:fldCharType="begin"/>
          </w:r>
          <w:r w:rsidR="001C5EED" w:rsidRPr="0035705F">
            <w:rPr>
              <w:sz w:val="22"/>
              <w:szCs w:val="22"/>
            </w:rPr>
            <w:instrText xml:space="preserve"> TOC \o "1-3" \h \z \u </w:instrText>
          </w:r>
          <w:r w:rsidRPr="002645D2">
            <w:rPr>
              <w:sz w:val="22"/>
              <w:szCs w:val="22"/>
            </w:rPr>
            <w:fldChar w:fldCharType="separate"/>
          </w:r>
          <w:hyperlink w:anchor="_Toc343524144" w:history="1">
            <w:r w:rsidR="0035705F" w:rsidRPr="0035705F">
              <w:rPr>
                <w:rStyle w:val="Hyperlink"/>
                <w:sz w:val="22"/>
                <w:szCs w:val="22"/>
              </w:rPr>
              <w:t>A. Justification</w:t>
            </w:r>
            <w:r w:rsidR="0035705F" w:rsidRPr="0035705F">
              <w:rPr>
                <w:webHidden/>
                <w:sz w:val="22"/>
                <w:szCs w:val="22"/>
              </w:rPr>
              <w:tab/>
            </w:r>
            <w:r w:rsidRPr="0035705F">
              <w:rPr>
                <w:webHidden/>
                <w:sz w:val="22"/>
                <w:szCs w:val="22"/>
              </w:rPr>
              <w:fldChar w:fldCharType="begin"/>
            </w:r>
            <w:r w:rsidR="0035705F" w:rsidRPr="0035705F">
              <w:rPr>
                <w:webHidden/>
                <w:sz w:val="22"/>
                <w:szCs w:val="22"/>
              </w:rPr>
              <w:instrText xml:space="preserve"> PAGEREF _Toc343524144 \h </w:instrText>
            </w:r>
            <w:r w:rsidRPr="0035705F">
              <w:rPr>
                <w:webHidden/>
                <w:sz w:val="22"/>
                <w:szCs w:val="22"/>
              </w:rPr>
            </w:r>
            <w:r w:rsidRPr="0035705F">
              <w:rPr>
                <w:webHidden/>
                <w:sz w:val="22"/>
                <w:szCs w:val="22"/>
              </w:rPr>
              <w:fldChar w:fldCharType="separate"/>
            </w:r>
            <w:r w:rsidR="0035705F" w:rsidRPr="0035705F">
              <w:rPr>
                <w:webHidden/>
                <w:sz w:val="22"/>
                <w:szCs w:val="22"/>
              </w:rPr>
              <w:t>3</w:t>
            </w:r>
            <w:r w:rsidRPr="0035705F">
              <w:rPr>
                <w:webHidden/>
                <w:sz w:val="22"/>
                <w:szCs w:val="22"/>
              </w:rPr>
              <w:fldChar w:fldCharType="end"/>
            </w:r>
          </w:hyperlink>
        </w:p>
        <w:p w:rsidR="0035705F" w:rsidRPr="0035705F" w:rsidRDefault="002645D2" w:rsidP="0035705F">
          <w:pPr>
            <w:pStyle w:val="TOC2"/>
            <w:spacing w:before="100" w:line="240" w:lineRule="auto"/>
            <w:rPr>
              <w:noProof/>
            </w:rPr>
          </w:pPr>
          <w:hyperlink w:anchor="_Toc343524145" w:history="1">
            <w:r w:rsidR="0035705F" w:rsidRPr="0035705F">
              <w:rPr>
                <w:rStyle w:val="Hyperlink"/>
                <w:noProof/>
              </w:rPr>
              <w:t>A.1. Legal Justification</w:t>
            </w:r>
            <w:r w:rsidR="0035705F" w:rsidRPr="0035705F">
              <w:rPr>
                <w:noProof/>
                <w:webHidden/>
              </w:rPr>
              <w:tab/>
            </w:r>
            <w:r w:rsidRPr="0035705F">
              <w:rPr>
                <w:noProof/>
                <w:webHidden/>
              </w:rPr>
              <w:fldChar w:fldCharType="begin"/>
            </w:r>
            <w:r w:rsidR="0035705F" w:rsidRPr="0035705F">
              <w:rPr>
                <w:noProof/>
                <w:webHidden/>
              </w:rPr>
              <w:instrText xml:space="preserve"> PAGEREF _Toc343524145 \h </w:instrText>
            </w:r>
            <w:r w:rsidRPr="0035705F">
              <w:rPr>
                <w:noProof/>
                <w:webHidden/>
              </w:rPr>
            </w:r>
            <w:r w:rsidRPr="0035705F">
              <w:rPr>
                <w:noProof/>
                <w:webHidden/>
              </w:rPr>
              <w:fldChar w:fldCharType="separate"/>
            </w:r>
            <w:r w:rsidR="0035705F" w:rsidRPr="0035705F">
              <w:rPr>
                <w:noProof/>
                <w:webHidden/>
              </w:rPr>
              <w:t>3</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46" w:history="1">
            <w:r w:rsidR="0035705F" w:rsidRPr="0035705F">
              <w:rPr>
                <w:rStyle w:val="Hyperlink"/>
                <w:rFonts w:eastAsia="Calibri" w:cs="Times New Roman"/>
                <w:noProof/>
              </w:rPr>
              <w:t>A.2. Needs and Uses of Data</w:t>
            </w:r>
            <w:r w:rsidR="0035705F" w:rsidRPr="0035705F">
              <w:rPr>
                <w:noProof/>
                <w:webHidden/>
              </w:rPr>
              <w:tab/>
            </w:r>
            <w:r w:rsidRPr="0035705F">
              <w:rPr>
                <w:noProof/>
                <w:webHidden/>
              </w:rPr>
              <w:fldChar w:fldCharType="begin"/>
            </w:r>
            <w:r w:rsidR="0035705F" w:rsidRPr="0035705F">
              <w:rPr>
                <w:noProof/>
                <w:webHidden/>
              </w:rPr>
              <w:instrText xml:space="preserve"> PAGEREF _Toc343524146 \h </w:instrText>
            </w:r>
            <w:r w:rsidRPr="0035705F">
              <w:rPr>
                <w:noProof/>
                <w:webHidden/>
              </w:rPr>
            </w:r>
            <w:r w:rsidRPr="0035705F">
              <w:rPr>
                <w:noProof/>
                <w:webHidden/>
              </w:rPr>
              <w:fldChar w:fldCharType="separate"/>
            </w:r>
            <w:r w:rsidR="0035705F" w:rsidRPr="0035705F">
              <w:rPr>
                <w:noProof/>
                <w:webHidden/>
              </w:rPr>
              <w:t>5</w:t>
            </w:r>
            <w:r w:rsidRPr="0035705F">
              <w:rPr>
                <w:noProof/>
                <w:webHidden/>
              </w:rPr>
              <w:fldChar w:fldCharType="end"/>
            </w:r>
          </w:hyperlink>
        </w:p>
        <w:p w:rsidR="0035705F" w:rsidRPr="0035705F" w:rsidRDefault="002645D2" w:rsidP="0035705F">
          <w:pPr>
            <w:pStyle w:val="TOC3"/>
            <w:tabs>
              <w:tab w:val="right" w:leader="dot" w:pos="9350"/>
            </w:tabs>
            <w:spacing w:before="100" w:line="240" w:lineRule="auto"/>
            <w:rPr>
              <w:noProof/>
            </w:rPr>
          </w:pPr>
          <w:hyperlink w:anchor="_Toc343524147" w:history="1">
            <w:r w:rsidR="0035705F" w:rsidRPr="0035705F">
              <w:rPr>
                <w:rStyle w:val="Hyperlink"/>
                <w:noProof/>
              </w:rPr>
              <w:t>A.2.1. Overview of Data Needs and Uses</w:t>
            </w:r>
            <w:r w:rsidR="0035705F" w:rsidRPr="0035705F">
              <w:rPr>
                <w:noProof/>
                <w:webHidden/>
              </w:rPr>
              <w:tab/>
            </w:r>
            <w:r w:rsidRPr="0035705F">
              <w:rPr>
                <w:noProof/>
                <w:webHidden/>
              </w:rPr>
              <w:fldChar w:fldCharType="begin"/>
            </w:r>
            <w:r w:rsidR="0035705F" w:rsidRPr="0035705F">
              <w:rPr>
                <w:noProof/>
                <w:webHidden/>
              </w:rPr>
              <w:instrText xml:space="preserve"> PAGEREF _Toc343524147 \h </w:instrText>
            </w:r>
            <w:r w:rsidRPr="0035705F">
              <w:rPr>
                <w:noProof/>
                <w:webHidden/>
              </w:rPr>
            </w:r>
            <w:r w:rsidRPr="0035705F">
              <w:rPr>
                <w:noProof/>
                <w:webHidden/>
              </w:rPr>
              <w:fldChar w:fldCharType="separate"/>
            </w:r>
            <w:r w:rsidR="0035705F" w:rsidRPr="0035705F">
              <w:rPr>
                <w:noProof/>
                <w:webHidden/>
              </w:rPr>
              <w:t>5</w:t>
            </w:r>
            <w:r w:rsidRPr="0035705F">
              <w:rPr>
                <w:noProof/>
                <w:webHidden/>
              </w:rPr>
              <w:fldChar w:fldCharType="end"/>
            </w:r>
          </w:hyperlink>
        </w:p>
        <w:p w:rsidR="0035705F" w:rsidRPr="0035705F" w:rsidRDefault="002645D2" w:rsidP="0035705F">
          <w:pPr>
            <w:pStyle w:val="TOC3"/>
            <w:tabs>
              <w:tab w:val="right" w:leader="dot" w:pos="9350"/>
            </w:tabs>
            <w:spacing w:before="100" w:line="240" w:lineRule="auto"/>
            <w:rPr>
              <w:noProof/>
            </w:rPr>
          </w:pPr>
          <w:hyperlink w:anchor="_Toc343524148" w:history="1">
            <w:r w:rsidR="0035705F" w:rsidRPr="0035705F">
              <w:rPr>
                <w:rStyle w:val="Hyperlink"/>
                <w:noProof/>
              </w:rPr>
              <w:t>A.2.2. Overview of Data Collections</w:t>
            </w:r>
            <w:r w:rsidR="0035705F" w:rsidRPr="0035705F">
              <w:rPr>
                <w:noProof/>
                <w:webHidden/>
              </w:rPr>
              <w:tab/>
            </w:r>
            <w:r w:rsidRPr="0035705F">
              <w:rPr>
                <w:noProof/>
                <w:webHidden/>
              </w:rPr>
              <w:fldChar w:fldCharType="begin"/>
            </w:r>
            <w:r w:rsidR="0035705F" w:rsidRPr="0035705F">
              <w:rPr>
                <w:noProof/>
                <w:webHidden/>
              </w:rPr>
              <w:instrText xml:space="preserve"> PAGEREF _Toc343524148 \h </w:instrText>
            </w:r>
            <w:r w:rsidRPr="0035705F">
              <w:rPr>
                <w:noProof/>
                <w:webHidden/>
              </w:rPr>
            </w:r>
            <w:r w:rsidRPr="0035705F">
              <w:rPr>
                <w:noProof/>
                <w:webHidden/>
              </w:rPr>
              <w:fldChar w:fldCharType="separate"/>
            </w:r>
            <w:r w:rsidR="0035705F" w:rsidRPr="0035705F">
              <w:rPr>
                <w:noProof/>
                <w:webHidden/>
              </w:rPr>
              <w:t>5</w:t>
            </w:r>
            <w:r w:rsidRPr="0035705F">
              <w:rPr>
                <w:noProof/>
                <w:webHidden/>
              </w:rPr>
              <w:fldChar w:fldCharType="end"/>
            </w:r>
          </w:hyperlink>
        </w:p>
        <w:p w:rsidR="0035705F" w:rsidRPr="0035705F" w:rsidRDefault="002645D2" w:rsidP="0035705F">
          <w:pPr>
            <w:pStyle w:val="TOC3"/>
            <w:tabs>
              <w:tab w:val="right" w:leader="dot" w:pos="9350"/>
            </w:tabs>
            <w:spacing w:before="100" w:line="240" w:lineRule="auto"/>
            <w:rPr>
              <w:noProof/>
            </w:rPr>
          </w:pPr>
          <w:hyperlink w:anchor="_Toc343524149" w:history="1">
            <w:r w:rsidR="0035705F" w:rsidRPr="0035705F">
              <w:rPr>
                <w:rStyle w:val="Hyperlink"/>
                <w:noProof/>
              </w:rPr>
              <w:t>A.2.3. Individual Form Data Uses and Modifications</w:t>
            </w:r>
            <w:r w:rsidR="0035705F" w:rsidRPr="0035705F">
              <w:rPr>
                <w:noProof/>
                <w:webHidden/>
              </w:rPr>
              <w:tab/>
            </w:r>
            <w:r w:rsidRPr="0035705F">
              <w:rPr>
                <w:noProof/>
                <w:webHidden/>
              </w:rPr>
              <w:fldChar w:fldCharType="begin"/>
            </w:r>
            <w:r w:rsidR="0035705F" w:rsidRPr="0035705F">
              <w:rPr>
                <w:noProof/>
                <w:webHidden/>
              </w:rPr>
              <w:instrText xml:space="preserve"> PAGEREF _Toc343524149 \h </w:instrText>
            </w:r>
            <w:r w:rsidRPr="0035705F">
              <w:rPr>
                <w:noProof/>
                <w:webHidden/>
              </w:rPr>
            </w:r>
            <w:r w:rsidRPr="0035705F">
              <w:rPr>
                <w:noProof/>
                <w:webHidden/>
              </w:rPr>
              <w:fldChar w:fldCharType="separate"/>
            </w:r>
            <w:r w:rsidR="0035705F" w:rsidRPr="0035705F">
              <w:rPr>
                <w:noProof/>
                <w:webHidden/>
              </w:rPr>
              <w:t>6</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50" w:history="1">
            <w:r w:rsidR="0035705F" w:rsidRPr="0035705F">
              <w:rPr>
                <w:rStyle w:val="Hyperlink"/>
                <w:noProof/>
              </w:rPr>
              <w:t>A.3. Use of Technology</w:t>
            </w:r>
            <w:r w:rsidR="0035705F" w:rsidRPr="0035705F">
              <w:rPr>
                <w:noProof/>
                <w:webHidden/>
              </w:rPr>
              <w:tab/>
            </w:r>
            <w:r w:rsidRPr="0035705F">
              <w:rPr>
                <w:noProof/>
                <w:webHidden/>
              </w:rPr>
              <w:fldChar w:fldCharType="begin"/>
            </w:r>
            <w:r w:rsidR="0035705F" w:rsidRPr="0035705F">
              <w:rPr>
                <w:noProof/>
                <w:webHidden/>
              </w:rPr>
              <w:instrText xml:space="preserve"> PAGEREF _Toc343524150 \h </w:instrText>
            </w:r>
            <w:r w:rsidRPr="0035705F">
              <w:rPr>
                <w:noProof/>
                <w:webHidden/>
              </w:rPr>
            </w:r>
            <w:r w:rsidRPr="0035705F">
              <w:rPr>
                <w:noProof/>
                <w:webHidden/>
              </w:rPr>
              <w:fldChar w:fldCharType="separate"/>
            </w:r>
            <w:r w:rsidR="0035705F" w:rsidRPr="0035705F">
              <w:rPr>
                <w:noProof/>
                <w:webHidden/>
              </w:rPr>
              <w:t>10</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51" w:history="1">
            <w:r w:rsidR="0035705F" w:rsidRPr="0035705F">
              <w:rPr>
                <w:rStyle w:val="Hyperlink"/>
                <w:noProof/>
              </w:rPr>
              <w:t>A.4. Efforts to Reduce Duplication</w:t>
            </w:r>
            <w:r w:rsidR="0035705F" w:rsidRPr="0035705F">
              <w:rPr>
                <w:noProof/>
                <w:webHidden/>
              </w:rPr>
              <w:tab/>
            </w:r>
            <w:r w:rsidRPr="0035705F">
              <w:rPr>
                <w:noProof/>
                <w:webHidden/>
              </w:rPr>
              <w:fldChar w:fldCharType="begin"/>
            </w:r>
            <w:r w:rsidR="0035705F" w:rsidRPr="0035705F">
              <w:rPr>
                <w:noProof/>
                <w:webHidden/>
              </w:rPr>
              <w:instrText xml:space="preserve"> PAGEREF _Toc343524151 \h </w:instrText>
            </w:r>
            <w:r w:rsidRPr="0035705F">
              <w:rPr>
                <w:noProof/>
                <w:webHidden/>
              </w:rPr>
            </w:r>
            <w:r w:rsidRPr="0035705F">
              <w:rPr>
                <w:noProof/>
                <w:webHidden/>
              </w:rPr>
              <w:fldChar w:fldCharType="separate"/>
            </w:r>
            <w:r w:rsidR="0035705F" w:rsidRPr="0035705F">
              <w:rPr>
                <w:noProof/>
                <w:webHidden/>
              </w:rPr>
              <w:t>12</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52" w:history="1">
            <w:r w:rsidR="0035705F" w:rsidRPr="0035705F">
              <w:rPr>
                <w:rStyle w:val="Hyperlink"/>
                <w:noProof/>
              </w:rPr>
              <w:t>A.5. Provisions for Reducing Burden on Small Businesses</w:t>
            </w:r>
            <w:r w:rsidR="0035705F" w:rsidRPr="0035705F">
              <w:rPr>
                <w:noProof/>
                <w:webHidden/>
              </w:rPr>
              <w:tab/>
            </w:r>
            <w:r w:rsidRPr="0035705F">
              <w:rPr>
                <w:noProof/>
                <w:webHidden/>
              </w:rPr>
              <w:fldChar w:fldCharType="begin"/>
            </w:r>
            <w:r w:rsidR="0035705F" w:rsidRPr="0035705F">
              <w:rPr>
                <w:noProof/>
                <w:webHidden/>
              </w:rPr>
              <w:instrText xml:space="preserve"> PAGEREF _Toc343524152 \h </w:instrText>
            </w:r>
            <w:r w:rsidRPr="0035705F">
              <w:rPr>
                <w:noProof/>
                <w:webHidden/>
              </w:rPr>
            </w:r>
            <w:r w:rsidRPr="0035705F">
              <w:rPr>
                <w:noProof/>
                <w:webHidden/>
              </w:rPr>
              <w:fldChar w:fldCharType="separate"/>
            </w:r>
            <w:r w:rsidR="0035705F" w:rsidRPr="0035705F">
              <w:rPr>
                <w:noProof/>
                <w:webHidden/>
              </w:rPr>
              <w:t>14</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53" w:history="1">
            <w:r w:rsidR="0035705F" w:rsidRPr="0035705F">
              <w:rPr>
                <w:rStyle w:val="Hyperlink"/>
                <w:noProof/>
              </w:rPr>
              <w:t>A.6. Consequences of Less-Frequent Reporting</w:t>
            </w:r>
            <w:r w:rsidR="0035705F" w:rsidRPr="0035705F">
              <w:rPr>
                <w:noProof/>
                <w:webHidden/>
              </w:rPr>
              <w:tab/>
            </w:r>
            <w:r w:rsidRPr="0035705F">
              <w:rPr>
                <w:noProof/>
                <w:webHidden/>
              </w:rPr>
              <w:fldChar w:fldCharType="begin"/>
            </w:r>
            <w:r w:rsidR="0035705F" w:rsidRPr="0035705F">
              <w:rPr>
                <w:noProof/>
                <w:webHidden/>
              </w:rPr>
              <w:instrText xml:space="preserve"> PAGEREF _Toc343524153 \h </w:instrText>
            </w:r>
            <w:r w:rsidRPr="0035705F">
              <w:rPr>
                <w:noProof/>
                <w:webHidden/>
              </w:rPr>
            </w:r>
            <w:r w:rsidRPr="0035705F">
              <w:rPr>
                <w:noProof/>
                <w:webHidden/>
              </w:rPr>
              <w:fldChar w:fldCharType="separate"/>
            </w:r>
            <w:r w:rsidR="0035705F" w:rsidRPr="0035705F">
              <w:rPr>
                <w:noProof/>
                <w:webHidden/>
              </w:rPr>
              <w:t>15</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54" w:history="1">
            <w:r w:rsidR="0035705F" w:rsidRPr="0035705F">
              <w:rPr>
                <w:rStyle w:val="Hyperlink"/>
                <w:noProof/>
              </w:rPr>
              <w:t>A.7. Compliance with 5 CFR 1320.5</w:t>
            </w:r>
            <w:r w:rsidR="0035705F" w:rsidRPr="0035705F">
              <w:rPr>
                <w:noProof/>
                <w:webHidden/>
              </w:rPr>
              <w:tab/>
            </w:r>
            <w:r w:rsidRPr="0035705F">
              <w:rPr>
                <w:noProof/>
                <w:webHidden/>
              </w:rPr>
              <w:fldChar w:fldCharType="begin"/>
            </w:r>
            <w:r w:rsidR="0035705F" w:rsidRPr="0035705F">
              <w:rPr>
                <w:noProof/>
                <w:webHidden/>
              </w:rPr>
              <w:instrText xml:space="preserve"> PAGEREF _Toc343524154 \h </w:instrText>
            </w:r>
            <w:r w:rsidRPr="0035705F">
              <w:rPr>
                <w:noProof/>
                <w:webHidden/>
              </w:rPr>
            </w:r>
            <w:r w:rsidRPr="0035705F">
              <w:rPr>
                <w:noProof/>
                <w:webHidden/>
              </w:rPr>
              <w:fldChar w:fldCharType="separate"/>
            </w:r>
            <w:r w:rsidR="0035705F" w:rsidRPr="0035705F">
              <w:rPr>
                <w:noProof/>
                <w:webHidden/>
              </w:rPr>
              <w:t>15</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55" w:history="1">
            <w:r w:rsidR="0035705F" w:rsidRPr="0035705F">
              <w:rPr>
                <w:rStyle w:val="Hyperlink"/>
                <w:noProof/>
              </w:rPr>
              <w:t>A.8. Summary of Consultations outside the Agency</w:t>
            </w:r>
            <w:r w:rsidR="0035705F" w:rsidRPr="0035705F">
              <w:rPr>
                <w:noProof/>
                <w:webHidden/>
              </w:rPr>
              <w:tab/>
            </w:r>
            <w:r w:rsidRPr="0035705F">
              <w:rPr>
                <w:noProof/>
                <w:webHidden/>
              </w:rPr>
              <w:fldChar w:fldCharType="begin"/>
            </w:r>
            <w:r w:rsidR="0035705F" w:rsidRPr="0035705F">
              <w:rPr>
                <w:noProof/>
                <w:webHidden/>
              </w:rPr>
              <w:instrText xml:space="preserve"> PAGEREF _Toc343524155 \h </w:instrText>
            </w:r>
            <w:r w:rsidRPr="0035705F">
              <w:rPr>
                <w:noProof/>
                <w:webHidden/>
              </w:rPr>
            </w:r>
            <w:r w:rsidRPr="0035705F">
              <w:rPr>
                <w:noProof/>
                <w:webHidden/>
              </w:rPr>
              <w:fldChar w:fldCharType="separate"/>
            </w:r>
            <w:r w:rsidR="0035705F" w:rsidRPr="0035705F">
              <w:rPr>
                <w:noProof/>
                <w:webHidden/>
              </w:rPr>
              <w:t>15</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56" w:history="1">
            <w:r w:rsidR="0035705F" w:rsidRPr="0035705F">
              <w:rPr>
                <w:rStyle w:val="Hyperlink"/>
                <w:noProof/>
              </w:rPr>
              <w:t>A.9. Payments or Gifts to Respondents</w:t>
            </w:r>
            <w:r w:rsidR="0035705F" w:rsidRPr="0035705F">
              <w:rPr>
                <w:noProof/>
                <w:webHidden/>
              </w:rPr>
              <w:tab/>
            </w:r>
            <w:r w:rsidRPr="0035705F">
              <w:rPr>
                <w:noProof/>
                <w:webHidden/>
              </w:rPr>
              <w:fldChar w:fldCharType="begin"/>
            </w:r>
            <w:r w:rsidR="0035705F" w:rsidRPr="0035705F">
              <w:rPr>
                <w:noProof/>
                <w:webHidden/>
              </w:rPr>
              <w:instrText xml:space="preserve"> PAGEREF _Toc343524156 \h </w:instrText>
            </w:r>
            <w:r w:rsidRPr="0035705F">
              <w:rPr>
                <w:noProof/>
                <w:webHidden/>
              </w:rPr>
            </w:r>
            <w:r w:rsidRPr="0035705F">
              <w:rPr>
                <w:noProof/>
                <w:webHidden/>
              </w:rPr>
              <w:fldChar w:fldCharType="separate"/>
            </w:r>
            <w:r w:rsidR="0035705F" w:rsidRPr="0035705F">
              <w:rPr>
                <w:noProof/>
                <w:webHidden/>
              </w:rPr>
              <w:t>16</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57" w:history="1">
            <w:r w:rsidR="0035705F" w:rsidRPr="0035705F">
              <w:rPr>
                <w:rStyle w:val="Hyperlink"/>
                <w:noProof/>
              </w:rPr>
              <w:t>A.10. Provisions for Protection of Information</w:t>
            </w:r>
            <w:r w:rsidR="0035705F" w:rsidRPr="0035705F">
              <w:rPr>
                <w:noProof/>
                <w:webHidden/>
              </w:rPr>
              <w:tab/>
            </w:r>
            <w:r w:rsidRPr="0035705F">
              <w:rPr>
                <w:noProof/>
                <w:webHidden/>
              </w:rPr>
              <w:fldChar w:fldCharType="begin"/>
            </w:r>
            <w:r w:rsidR="0035705F" w:rsidRPr="0035705F">
              <w:rPr>
                <w:noProof/>
                <w:webHidden/>
              </w:rPr>
              <w:instrText xml:space="preserve"> PAGEREF _Toc343524157 \h </w:instrText>
            </w:r>
            <w:r w:rsidRPr="0035705F">
              <w:rPr>
                <w:noProof/>
                <w:webHidden/>
              </w:rPr>
            </w:r>
            <w:r w:rsidRPr="0035705F">
              <w:rPr>
                <w:noProof/>
                <w:webHidden/>
              </w:rPr>
              <w:fldChar w:fldCharType="separate"/>
            </w:r>
            <w:r w:rsidR="0035705F" w:rsidRPr="0035705F">
              <w:rPr>
                <w:noProof/>
                <w:webHidden/>
              </w:rPr>
              <w:t>16</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58" w:history="1">
            <w:r w:rsidR="0035705F" w:rsidRPr="0035705F">
              <w:rPr>
                <w:rStyle w:val="Hyperlink"/>
                <w:noProof/>
              </w:rPr>
              <w:t>A.11. Justification for Sensitive Questions</w:t>
            </w:r>
            <w:r w:rsidR="0035705F" w:rsidRPr="0035705F">
              <w:rPr>
                <w:noProof/>
                <w:webHidden/>
              </w:rPr>
              <w:tab/>
            </w:r>
            <w:r w:rsidRPr="0035705F">
              <w:rPr>
                <w:noProof/>
                <w:webHidden/>
              </w:rPr>
              <w:fldChar w:fldCharType="begin"/>
            </w:r>
            <w:r w:rsidR="0035705F" w:rsidRPr="0035705F">
              <w:rPr>
                <w:noProof/>
                <w:webHidden/>
              </w:rPr>
              <w:instrText xml:space="preserve"> PAGEREF _Toc343524158 \h </w:instrText>
            </w:r>
            <w:r w:rsidRPr="0035705F">
              <w:rPr>
                <w:noProof/>
                <w:webHidden/>
              </w:rPr>
            </w:r>
            <w:r w:rsidRPr="0035705F">
              <w:rPr>
                <w:noProof/>
                <w:webHidden/>
              </w:rPr>
              <w:fldChar w:fldCharType="separate"/>
            </w:r>
            <w:r w:rsidR="0035705F" w:rsidRPr="0035705F">
              <w:rPr>
                <w:noProof/>
                <w:webHidden/>
              </w:rPr>
              <w:t>17</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59" w:history="1">
            <w:r w:rsidR="0035705F" w:rsidRPr="0035705F">
              <w:rPr>
                <w:rStyle w:val="Hyperlink"/>
                <w:noProof/>
              </w:rPr>
              <w:t>A.12. Estimate of Respondent Burden Hours and Cost</w:t>
            </w:r>
            <w:r w:rsidR="0035705F" w:rsidRPr="0035705F">
              <w:rPr>
                <w:noProof/>
                <w:webHidden/>
              </w:rPr>
              <w:tab/>
            </w:r>
            <w:r w:rsidRPr="0035705F">
              <w:rPr>
                <w:noProof/>
                <w:webHidden/>
              </w:rPr>
              <w:fldChar w:fldCharType="begin"/>
            </w:r>
            <w:r w:rsidR="0035705F" w:rsidRPr="0035705F">
              <w:rPr>
                <w:noProof/>
                <w:webHidden/>
              </w:rPr>
              <w:instrText xml:space="preserve"> PAGEREF _Toc343524159 \h </w:instrText>
            </w:r>
            <w:r w:rsidRPr="0035705F">
              <w:rPr>
                <w:noProof/>
                <w:webHidden/>
              </w:rPr>
            </w:r>
            <w:r w:rsidRPr="0035705F">
              <w:rPr>
                <w:noProof/>
                <w:webHidden/>
              </w:rPr>
              <w:fldChar w:fldCharType="separate"/>
            </w:r>
            <w:r w:rsidR="0035705F" w:rsidRPr="0035705F">
              <w:rPr>
                <w:noProof/>
                <w:webHidden/>
              </w:rPr>
              <w:t>18</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60" w:history="1">
            <w:r w:rsidR="0035705F" w:rsidRPr="0035705F">
              <w:rPr>
                <w:rStyle w:val="Hyperlink"/>
                <w:noProof/>
              </w:rPr>
              <w:t>A.13. Annual Reporting and Record Keeping Cost</w:t>
            </w:r>
            <w:r w:rsidR="0035705F" w:rsidRPr="0035705F">
              <w:rPr>
                <w:noProof/>
                <w:webHidden/>
              </w:rPr>
              <w:tab/>
            </w:r>
            <w:r w:rsidRPr="0035705F">
              <w:rPr>
                <w:noProof/>
                <w:webHidden/>
              </w:rPr>
              <w:fldChar w:fldCharType="begin"/>
            </w:r>
            <w:r w:rsidR="0035705F" w:rsidRPr="0035705F">
              <w:rPr>
                <w:noProof/>
                <w:webHidden/>
              </w:rPr>
              <w:instrText xml:space="preserve"> PAGEREF _Toc343524160 \h </w:instrText>
            </w:r>
            <w:r w:rsidRPr="0035705F">
              <w:rPr>
                <w:noProof/>
                <w:webHidden/>
              </w:rPr>
            </w:r>
            <w:r w:rsidRPr="0035705F">
              <w:rPr>
                <w:noProof/>
                <w:webHidden/>
              </w:rPr>
              <w:fldChar w:fldCharType="separate"/>
            </w:r>
            <w:r w:rsidR="0035705F" w:rsidRPr="0035705F">
              <w:rPr>
                <w:noProof/>
                <w:webHidden/>
              </w:rPr>
              <w:t>19</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61" w:history="1">
            <w:r w:rsidR="0035705F" w:rsidRPr="0035705F">
              <w:rPr>
                <w:rStyle w:val="Hyperlink"/>
                <w:noProof/>
              </w:rPr>
              <w:t>A.14. Annual Cost to the Federal Government</w:t>
            </w:r>
            <w:r w:rsidR="0035705F" w:rsidRPr="0035705F">
              <w:rPr>
                <w:noProof/>
                <w:webHidden/>
              </w:rPr>
              <w:tab/>
            </w:r>
            <w:r w:rsidRPr="0035705F">
              <w:rPr>
                <w:noProof/>
                <w:webHidden/>
              </w:rPr>
              <w:fldChar w:fldCharType="begin"/>
            </w:r>
            <w:r w:rsidR="0035705F" w:rsidRPr="0035705F">
              <w:rPr>
                <w:noProof/>
                <w:webHidden/>
              </w:rPr>
              <w:instrText xml:space="preserve"> PAGEREF _Toc343524161 \h </w:instrText>
            </w:r>
            <w:r w:rsidRPr="0035705F">
              <w:rPr>
                <w:noProof/>
                <w:webHidden/>
              </w:rPr>
            </w:r>
            <w:r w:rsidRPr="0035705F">
              <w:rPr>
                <w:noProof/>
                <w:webHidden/>
              </w:rPr>
              <w:fldChar w:fldCharType="separate"/>
            </w:r>
            <w:r w:rsidR="0035705F" w:rsidRPr="0035705F">
              <w:rPr>
                <w:noProof/>
                <w:webHidden/>
              </w:rPr>
              <w:t>19</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62" w:history="1">
            <w:r w:rsidR="0035705F" w:rsidRPr="0035705F">
              <w:rPr>
                <w:rStyle w:val="Hyperlink"/>
                <w:noProof/>
              </w:rPr>
              <w:t>A.15. Changes in Burden</w:t>
            </w:r>
            <w:r w:rsidR="0035705F" w:rsidRPr="0035705F">
              <w:rPr>
                <w:noProof/>
                <w:webHidden/>
              </w:rPr>
              <w:tab/>
            </w:r>
            <w:r w:rsidRPr="0035705F">
              <w:rPr>
                <w:noProof/>
                <w:webHidden/>
              </w:rPr>
              <w:fldChar w:fldCharType="begin"/>
            </w:r>
            <w:r w:rsidR="0035705F" w:rsidRPr="0035705F">
              <w:rPr>
                <w:noProof/>
                <w:webHidden/>
              </w:rPr>
              <w:instrText xml:space="preserve"> PAGEREF _Toc343524162 \h </w:instrText>
            </w:r>
            <w:r w:rsidRPr="0035705F">
              <w:rPr>
                <w:noProof/>
                <w:webHidden/>
              </w:rPr>
            </w:r>
            <w:r w:rsidRPr="0035705F">
              <w:rPr>
                <w:noProof/>
                <w:webHidden/>
              </w:rPr>
              <w:fldChar w:fldCharType="separate"/>
            </w:r>
            <w:r w:rsidR="0035705F" w:rsidRPr="0035705F">
              <w:rPr>
                <w:noProof/>
                <w:webHidden/>
              </w:rPr>
              <w:t>20</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63" w:history="1">
            <w:r w:rsidR="0035705F" w:rsidRPr="0035705F">
              <w:rPr>
                <w:rStyle w:val="Hyperlink"/>
                <w:noProof/>
              </w:rPr>
              <w:t>A.16. Collection, Tabulation, and Publication Plans</w:t>
            </w:r>
            <w:r w:rsidR="0035705F" w:rsidRPr="0035705F">
              <w:rPr>
                <w:noProof/>
                <w:webHidden/>
              </w:rPr>
              <w:tab/>
            </w:r>
            <w:r w:rsidRPr="0035705F">
              <w:rPr>
                <w:noProof/>
                <w:webHidden/>
              </w:rPr>
              <w:fldChar w:fldCharType="begin"/>
            </w:r>
            <w:r w:rsidR="0035705F" w:rsidRPr="0035705F">
              <w:rPr>
                <w:noProof/>
                <w:webHidden/>
              </w:rPr>
              <w:instrText xml:space="preserve"> PAGEREF _Toc343524163 \h </w:instrText>
            </w:r>
            <w:r w:rsidRPr="0035705F">
              <w:rPr>
                <w:noProof/>
                <w:webHidden/>
              </w:rPr>
            </w:r>
            <w:r w:rsidRPr="0035705F">
              <w:rPr>
                <w:noProof/>
                <w:webHidden/>
              </w:rPr>
              <w:fldChar w:fldCharType="separate"/>
            </w:r>
            <w:r w:rsidR="0035705F" w:rsidRPr="0035705F">
              <w:rPr>
                <w:noProof/>
                <w:webHidden/>
              </w:rPr>
              <w:t>22</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64" w:history="1">
            <w:r w:rsidR="0035705F" w:rsidRPr="0035705F">
              <w:rPr>
                <w:rStyle w:val="Hyperlink"/>
                <w:noProof/>
              </w:rPr>
              <w:t>A.17. OMB Number and Expiration Date</w:t>
            </w:r>
            <w:r w:rsidR="0035705F" w:rsidRPr="0035705F">
              <w:rPr>
                <w:noProof/>
                <w:webHidden/>
              </w:rPr>
              <w:tab/>
            </w:r>
            <w:r w:rsidRPr="0035705F">
              <w:rPr>
                <w:noProof/>
                <w:webHidden/>
              </w:rPr>
              <w:fldChar w:fldCharType="begin"/>
            </w:r>
            <w:r w:rsidR="0035705F" w:rsidRPr="0035705F">
              <w:rPr>
                <w:noProof/>
                <w:webHidden/>
              </w:rPr>
              <w:instrText xml:space="preserve"> PAGEREF _Toc343524164 \h </w:instrText>
            </w:r>
            <w:r w:rsidRPr="0035705F">
              <w:rPr>
                <w:noProof/>
                <w:webHidden/>
              </w:rPr>
            </w:r>
            <w:r w:rsidRPr="0035705F">
              <w:rPr>
                <w:noProof/>
                <w:webHidden/>
              </w:rPr>
              <w:fldChar w:fldCharType="separate"/>
            </w:r>
            <w:r w:rsidR="0035705F" w:rsidRPr="0035705F">
              <w:rPr>
                <w:noProof/>
                <w:webHidden/>
              </w:rPr>
              <w:t>23</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65" w:history="1">
            <w:r w:rsidR="0035705F" w:rsidRPr="0035705F">
              <w:rPr>
                <w:rStyle w:val="Hyperlink"/>
                <w:noProof/>
              </w:rPr>
              <w:t>A.18. Certification Statement</w:t>
            </w:r>
            <w:r w:rsidR="0035705F" w:rsidRPr="0035705F">
              <w:rPr>
                <w:noProof/>
                <w:webHidden/>
              </w:rPr>
              <w:tab/>
            </w:r>
            <w:r w:rsidRPr="0035705F">
              <w:rPr>
                <w:noProof/>
                <w:webHidden/>
              </w:rPr>
              <w:fldChar w:fldCharType="begin"/>
            </w:r>
            <w:r w:rsidR="0035705F" w:rsidRPr="0035705F">
              <w:rPr>
                <w:noProof/>
                <w:webHidden/>
              </w:rPr>
              <w:instrText xml:space="preserve"> PAGEREF _Toc343524165 \h </w:instrText>
            </w:r>
            <w:r w:rsidRPr="0035705F">
              <w:rPr>
                <w:noProof/>
                <w:webHidden/>
              </w:rPr>
            </w:r>
            <w:r w:rsidRPr="0035705F">
              <w:rPr>
                <w:noProof/>
                <w:webHidden/>
              </w:rPr>
              <w:fldChar w:fldCharType="separate"/>
            </w:r>
            <w:r w:rsidR="0035705F" w:rsidRPr="0035705F">
              <w:rPr>
                <w:noProof/>
                <w:webHidden/>
              </w:rPr>
              <w:t>23</w:t>
            </w:r>
            <w:r w:rsidRPr="0035705F">
              <w:rPr>
                <w:noProof/>
                <w:webHidden/>
              </w:rPr>
              <w:fldChar w:fldCharType="end"/>
            </w:r>
          </w:hyperlink>
        </w:p>
        <w:p w:rsidR="0035705F" w:rsidRPr="0035705F" w:rsidRDefault="002645D2" w:rsidP="0035705F">
          <w:pPr>
            <w:pStyle w:val="TOC1"/>
            <w:spacing w:before="100" w:after="100" w:line="240" w:lineRule="auto"/>
            <w:rPr>
              <w:sz w:val="22"/>
              <w:szCs w:val="22"/>
            </w:rPr>
          </w:pPr>
          <w:hyperlink w:anchor="_Toc343524166" w:history="1">
            <w:r w:rsidR="0035705F" w:rsidRPr="0035705F">
              <w:rPr>
                <w:rStyle w:val="Hyperlink"/>
                <w:sz w:val="22"/>
                <w:szCs w:val="22"/>
              </w:rPr>
              <w:t>Appendix A-1: Comments Received in Response to the Open Federal Register Notice (Federal Register/Vol. 77, No.51) Published March 15, 2012</w:t>
            </w:r>
            <w:r w:rsidR="0035705F" w:rsidRPr="0035705F">
              <w:rPr>
                <w:webHidden/>
                <w:sz w:val="22"/>
                <w:szCs w:val="22"/>
              </w:rPr>
              <w:tab/>
            </w:r>
            <w:r w:rsidRPr="0035705F">
              <w:rPr>
                <w:webHidden/>
                <w:sz w:val="22"/>
                <w:szCs w:val="22"/>
              </w:rPr>
              <w:fldChar w:fldCharType="begin"/>
            </w:r>
            <w:r w:rsidR="0035705F" w:rsidRPr="0035705F">
              <w:rPr>
                <w:webHidden/>
                <w:sz w:val="22"/>
                <w:szCs w:val="22"/>
              </w:rPr>
              <w:instrText xml:space="preserve"> PAGEREF _Toc343524166 \h </w:instrText>
            </w:r>
            <w:r w:rsidRPr="0035705F">
              <w:rPr>
                <w:webHidden/>
                <w:sz w:val="22"/>
                <w:szCs w:val="22"/>
              </w:rPr>
            </w:r>
            <w:r w:rsidRPr="0035705F">
              <w:rPr>
                <w:webHidden/>
                <w:sz w:val="22"/>
                <w:szCs w:val="22"/>
              </w:rPr>
              <w:fldChar w:fldCharType="separate"/>
            </w:r>
            <w:r w:rsidR="0035705F" w:rsidRPr="0035705F">
              <w:rPr>
                <w:webHidden/>
                <w:sz w:val="22"/>
                <w:szCs w:val="22"/>
              </w:rPr>
              <w:t>24</w:t>
            </w:r>
            <w:r w:rsidRPr="0035705F">
              <w:rPr>
                <w:webHidden/>
                <w:sz w:val="22"/>
                <w:szCs w:val="22"/>
              </w:rPr>
              <w:fldChar w:fldCharType="end"/>
            </w:r>
          </w:hyperlink>
        </w:p>
        <w:p w:rsidR="0035705F" w:rsidRPr="0035705F" w:rsidRDefault="002645D2" w:rsidP="0035705F">
          <w:pPr>
            <w:pStyle w:val="TOC2"/>
            <w:spacing w:before="100" w:line="240" w:lineRule="auto"/>
            <w:rPr>
              <w:noProof/>
            </w:rPr>
          </w:pPr>
          <w:hyperlink w:anchor="_Toc343524167" w:history="1">
            <w:r w:rsidR="0035705F" w:rsidRPr="0035705F">
              <w:rPr>
                <w:rStyle w:val="Hyperlink"/>
                <w:noProof/>
              </w:rPr>
              <w:t>Comments In support of reducing the frame for the Form EIA-923, but with qualifications.</w:t>
            </w:r>
            <w:r w:rsidR="0035705F" w:rsidRPr="0035705F">
              <w:rPr>
                <w:noProof/>
                <w:webHidden/>
              </w:rPr>
              <w:tab/>
            </w:r>
            <w:r w:rsidRPr="0035705F">
              <w:rPr>
                <w:noProof/>
                <w:webHidden/>
              </w:rPr>
              <w:fldChar w:fldCharType="begin"/>
            </w:r>
            <w:r w:rsidR="0035705F" w:rsidRPr="0035705F">
              <w:rPr>
                <w:noProof/>
                <w:webHidden/>
              </w:rPr>
              <w:instrText xml:space="preserve"> PAGEREF _Toc343524167 \h </w:instrText>
            </w:r>
            <w:r w:rsidRPr="0035705F">
              <w:rPr>
                <w:noProof/>
                <w:webHidden/>
              </w:rPr>
            </w:r>
            <w:r w:rsidRPr="0035705F">
              <w:rPr>
                <w:noProof/>
                <w:webHidden/>
              </w:rPr>
              <w:fldChar w:fldCharType="separate"/>
            </w:r>
            <w:r w:rsidR="0035705F" w:rsidRPr="0035705F">
              <w:rPr>
                <w:noProof/>
                <w:webHidden/>
              </w:rPr>
              <w:t>25</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68" w:history="1">
            <w:r w:rsidR="0035705F" w:rsidRPr="0035705F">
              <w:rPr>
                <w:rStyle w:val="Hyperlink"/>
                <w:noProof/>
              </w:rPr>
              <w:t>Comments in support of reducing the frame for the Form EIA-861 and creating the new Form EIA-861S.</w:t>
            </w:r>
            <w:r w:rsidR="0035705F" w:rsidRPr="0035705F">
              <w:rPr>
                <w:noProof/>
                <w:webHidden/>
              </w:rPr>
              <w:tab/>
            </w:r>
            <w:r w:rsidRPr="0035705F">
              <w:rPr>
                <w:noProof/>
                <w:webHidden/>
              </w:rPr>
              <w:fldChar w:fldCharType="begin"/>
            </w:r>
            <w:r w:rsidR="0035705F" w:rsidRPr="0035705F">
              <w:rPr>
                <w:noProof/>
                <w:webHidden/>
              </w:rPr>
              <w:instrText xml:space="preserve"> PAGEREF _Toc343524168 \h </w:instrText>
            </w:r>
            <w:r w:rsidRPr="0035705F">
              <w:rPr>
                <w:noProof/>
                <w:webHidden/>
              </w:rPr>
            </w:r>
            <w:r w:rsidRPr="0035705F">
              <w:rPr>
                <w:noProof/>
                <w:webHidden/>
              </w:rPr>
              <w:fldChar w:fldCharType="separate"/>
            </w:r>
            <w:r w:rsidR="0035705F" w:rsidRPr="0035705F">
              <w:rPr>
                <w:noProof/>
                <w:webHidden/>
              </w:rPr>
              <w:t>26</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69" w:history="1">
            <w:r w:rsidR="0035705F" w:rsidRPr="0035705F">
              <w:rPr>
                <w:rStyle w:val="Hyperlink"/>
                <w:noProof/>
              </w:rPr>
              <w:t>Opposed to decreasing the Form EIA-861 frame size and implementing the proposed Form EIA-861S.</w:t>
            </w:r>
            <w:r w:rsidR="0035705F" w:rsidRPr="0035705F">
              <w:rPr>
                <w:noProof/>
                <w:webHidden/>
              </w:rPr>
              <w:tab/>
            </w:r>
            <w:r w:rsidRPr="0035705F">
              <w:rPr>
                <w:noProof/>
                <w:webHidden/>
              </w:rPr>
              <w:fldChar w:fldCharType="begin"/>
            </w:r>
            <w:r w:rsidR="0035705F" w:rsidRPr="0035705F">
              <w:rPr>
                <w:noProof/>
                <w:webHidden/>
              </w:rPr>
              <w:instrText xml:space="preserve"> PAGEREF _Toc343524169 \h </w:instrText>
            </w:r>
            <w:r w:rsidRPr="0035705F">
              <w:rPr>
                <w:noProof/>
                <w:webHidden/>
              </w:rPr>
            </w:r>
            <w:r w:rsidRPr="0035705F">
              <w:rPr>
                <w:noProof/>
                <w:webHidden/>
              </w:rPr>
              <w:fldChar w:fldCharType="separate"/>
            </w:r>
            <w:r w:rsidR="0035705F" w:rsidRPr="0035705F">
              <w:rPr>
                <w:noProof/>
                <w:webHidden/>
              </w:rPr>
              <w:t>26</w:t>
            </w:r>
            <w:r w:rsidRPr="0035705F">
              <w:rPr>
                <w:noProof/>
                <w:webHidden/>
              </w:rPr>
              <w:fldChar w:fldCharType="end"/>
            </w:r>
          </w:hyperlink>
        </w:p>
        <w:p w:rsidR="0035705F" w:rsidRPr="0035705F" w:rsidRDefault="002645D2" w:rsidP="0035705F">
          <w:pPr>
            <w:pStyle w:val="TOC1"/>
            <w:spacing w:before="100" w:after="100" w:line="240" w:lineRule="auto"/>
            <w:rPr>
              <w:sz w:val="22"/>
              <w:szCs w:val="22"/>
            </w:rPr>
          </w:pPr>
          <w:hyperlink w:anchor="_Toc343524170" w:history="1">
            <w:r w:rsidR="0035705F" w:rsidRPr="0035705F">
              <w:rPr>
                <w:rStyle w:val="Hyperlink"/>
                <w:sz w:val="22"/>
                <w:szCs w:val="22"/>
              </w:rPr>
              <w:t>Appendix A-2: Comments Received in Response to the Open Federal Register Notice (Federal Register/Vol. 77, No. 169) Published August 30, 2012</w:t>
            </w:r>
            <w:r w:rsidR="0035705F" w:rsidRPr="0035705F">
              <w:rPr>
                <w:webHidden/>
                <w:sz w:val="22"/>
                <w:szCs w:val="22"/>
              </w:rPr>
              <w:tab/>
            </w:r>
            <w:r w:rsidRPr="0035705F">
              <w:rPr>
                <w:webHidden/>
                <w:sz w:val="22"/>
                <w:szCs w:val="22"/>
              </w:rPr>
              <w:fldChar w:fldCharType="begin"/>
            </w:r>
            <w:r w:rsidR="0035705F" w:rsidRPr="0035705F">
              <w:rPr>
                <w:webHidden/>
                <w:sz w:val="22"/>
                <w:szCs w:val="22"/>
              </w:rPr>
              <w:instrText xml:space="preserve"> PAGEREF _Toc343524170 \h </w:instrText>
            </w:r>
            <w:r w:rsidRPr="0035705F">
              <w:rPr>
                <w:webHidden/>
                <w:sz w:val="22"/>
                <w:szCs w:val="22"/>
              </w:rPr>
            </w:r>
            <w:r w:rsidRPr="0035705F">
              <w:rPr>
                <w:webHidden/>
                <w:sz w:val="22"/>
                <w:szCs w:val="22"/>
              </w:rPr>
              <w:fldChar w:fldCharType="separate"/>
            </w:r>
            <w:r w:rsidR="0035705F" w:rsidRPr="0035705F">
              <w:rPr>
                <w:webHidden/>
                <w:sz w:val="22"/>
                <w:szCs w:val="22"/>
              </w:rPr>
              <w:t>29</w:t>
            </w:r>
            <w:r w:rsidRPr="0035705F">
              <w:rPr>
                <w:webHidden/>
                <w:sz w:val="22"/>
                <w:szCs w:val="22"/>
              </w:rPr>
              <w:fldChar w:fldCharType="end"/>
            </w:r>
          </w:hyperlink>
        </w:p>
        <w:p w:rsidR="0035705F" w:rsidRPr="0035705F" w:rsidRDefault="002645D2" w:rsidP="0035705F">
          <w:pPr>
            <w:pStyle w:val="TOC2"/>
            <w:spacing w:before="100" w:line="240" w:lineRule="auto"/>
            <w:rPr>
              <w:noProof/>
            </w:rPr>
          </w:pPr>
          <w:hyperlink w:anchor="_Toc343524171" w:history="1">
            <w:r w:rsidR="0035705F" w:rsidRPr="0035705F">
              <w:rPr>
                <w:rStyle w:val="Hyperlink"/>
                <w:noProof/>
              </w:rPr>
              <w:t>Comments related to the Forms EIA-861 and EIA-861S</w:t>
            </w:r>
            <w:r w:rsidR="0035705F" w:rsidRPr="0035705F">
              <w:rPr>
                <w:noProof/>
                <w:webHidden/>
              </w:rPr>
              <w:tab/>
            </w:r>
            <w:r w:rsidRPr="0035705F">
              <w:rPr>
                <w:noProof/>
                <w:webHidden/>
              </w:rPr>
              <w:fldChar w:fldCharType="begin"/>
            </w:r>
            <w:r w:rsidR="0035705F" w:rsidRPr="0035705F">
              <w:rPr>
                <w:noProof/>
                <w:webHidden/>
              </w:rPr>
              <w:instrText xml:space="preserve"> PAGEREF _Toc343524171 \h </w:instrText>
            </w:r>
            <w:r w:rsidRPr="0035705F">
              <w:rPr>
                <w:noProof/>
                <w:webHidden/>
              </w:rPr>
            </w:r>
            <w:r w:rsidRPr="0035705F">
              <w:rPr>
                <w:noProof/>
                <w:webHidden/>
              </w:rPr>
              <w:fldChar w:fldCharType="separate"/>
            </w:r>
            <w:r w:rsidR="0035705F" w:rsidRPr="0035705F">
              <w:rPr>
                <w:noProof/>
                <w:webHidden/>
              </w:rPr>
              <w:t>30</w:t>
            </w:r>
            <w:r w:rsidRPr="0035705F">
              <w:rPr>
                <w:noProof/>
                <w:webHidden/>
              </w:rPr>
              <w:fldChar w:fldCharType="end"/>
            </w:r>
          </w:hyperlink>
        </w:p>
        <w:p w:rsidR="0035705F" w:rsidRPr="0035705F" w:rsidRDefault="002645D2" w:rsidP="0035705F">
          <w:pPr>
            <w:pStyle w:val="TOC2"/>
            <w:spacing w:before="100" w:line="240" w:lineRule="auto"/>
            <w:rPr>
              <w:noProof/>
            </w:rPr>
          </w:pPr>
          <w:hyperlink w:anchor="_Toc343524172" w:history="1">
            <w:r w:rsidR="0035705F" w:rsidRPr="0035705F">
              <w:rPr>
                <w:rStyle w:val="Hyperlink"/>
                <w:noProof/>
              </w:rPr>
              <w:t>Comments related to the Form EIA-923, Schedule 2</w:t>
            </w:r>
            <w:r w:rsidR="0035705F" w:rsidRPr="0035705F">
              <w:rPr>
                <w:noProof/>
                <w:webHidden/>
              </w:rPr>
              <w:tab/>
            </w:r>
            <w:r w:rsidRPr="0035705F">
              <w:rPr>
                <w:noProof/>
                <w:webHidden/>
              </w:rPr>
              <w:fldChar w:fldCharType="begin"/>
            </w:r>
            <w:r w:rsidR="0035705F" w:rsidRPr="0035705F">
              <w:rPr>
                <w:noProof/>
                <w:webHidden/>
              </w:rPr>
              <w:instrText xml:space="preserve"> PAGEREF _Toc343524172 \h </w:instrText>
            </w:r>
            <w:r w:rsidRPr="0035705F">
              <w:rPr>
                <w:noProof/>
                <w:webHidden/>
              </w:rPr>
            </w:r>
            <w:r w:rsidRPr="0035705F">
              <w:rPr>
                <w:noProof/>
                <w:webHidden/>
              </w:rPr>
              <w:fldChar w:fldCharType="separate"/>
            </w:r>
            <w:r w:rsidR="0035705F" w:rsidRPr="0035705F">
              <w:rPr>
                <w:noProof/>
                <w:webHidden/>
              </w:rPr>
              <w:t>32</w:t>
            </w:r>
            <w:r w:rsidRPr="0035705F">
              <w:rPr>
                <w:noProof/>
                <w:webHidden/>
              </w:rPr>
              <w:fldChar w:fldCharType="end"/>
            </w:r>
          </w:hyperlink>
        </w:p>
        <w:p w:rsidR="001C5EED" w:rsidRDefault="002645D2" w:rsidP="0035705F">
          <w:pPr>
            <w:spacing w:before="60" w:after="60"/>
          </w:pPr>
          <w:r w:rsidRPr="0035705F">
            <w:rPr>
              <w:rFonts w:asciiTheme="minorHAnsi" w:hAnsiTheme="minorHAnsi"/>
            </w:rPr>
            <w:fldChar w:fldCharType="end"/>
          </w:r>
        </w:p>
      </w:sdtContent>
    </w:sdt>
    <w:p w:rsidR="000A47ED" w:rsidRDefault="000A47ED">
      <w:pPr>
        <w:sectPr w:rsidR="000A47ED" w:rsidSect="00995E34">
          <w:headerReference w:type="first" r:id="rId12"/>
          <w:footerReference w:type="first" r:id="rId13"/>
          <w:pgSz w:w="12240" w:h="15840"/>
          <w:pgMar w:top="1440" w:right="1440" w:bottom="1440" w:left="1440" w:header="720" w:footer="720" w:gutter="0"/>
          <w:pgNumType w:fmt="lowerRoman" w:start="1"/>
          <w:cols w:space="720"/>
          <w:titlePg/>
          <w:docGrid w:linePitch="360"/>
        </w:sectPr>
      </w:pPr>
    </w:p>
    <w:p w:rsidR="00071AAF" w:rsidRPr="001C5EED" w:rsidRDefault="000875AD" w:rsidP="000A47ED">
      <w:pPr>
        <w:pStyle w:val="Heading1"/>
      </w:pPr>
      <w:bookmarkStart w:id="1" w:name="_Toc343524141"/>
      <w:r w:rsidRPr="001C5EED">
        <w:t xml:space="preserve">Background and </w:t>
      </w:r>
      <w:r w:rsidR="00130A03" w:rsidRPr="001C5EED">
        <w:t xml:space="preserve">Summary of </w:t>
      </w:r>
      <w:r w:rsidRPr="001C5EED">
        <w:t>Proposal</w:t>
      </w:r>
      <w:r w:rsidR="00B944D4">
        <w:t>s</w:t>
      </w:r>
      <w:bookmarkEnd w:id="1"/>
    </w:p>
    <w:p w:rsidR="000875AD" w:rsidRPr="00D93C77" w:rsidRDefault="000875AD" w:rsidP="001C5EED">
      <w:pPr>
        <w:pStyle w:val="Heading2"/>
      </w:pPr>
      <w:bookmarkStart w:id="2" w:name="_Toc343524142"/>
      <w:r w:rsidRPr="00D93C77">
        <w:t>Background</w:t>
      </w:r>
      <w:r w:rsidR="003806C8" w:rsidRPr="00D93C77">
        <w:t xml:space="preserve"> and Purpose</w:t>
      </w:r>
      <w:bookmarkEnd w:id="2"/>
    </w:p>
    <w:p w:rsidR="00130A03" w:rsidRDefault="003806C8" w:rsidP="00174195">
      <w:pPr>
        <w:spacing w:before="120" w:after="100" w:afterAutospacing="1"/>
        <w:jc w:val="both"/>
      </w:pPr>
      <w:r>
        <w:t xml:space="preserve">The U.S. Energy Information Administration (EIA) </w:t>
      </w:r>
      <w:r w:rsidR="00326575" w:rsidRPr="00326575">
        <w:t>is the statistical and analytical agency within the U.S. Department of Energy</w:t>
      </w:r>
      <w:r w:rsidR="00326575">
        <w:t xml:space="preserve"> (DOE)</w:t>
      </w:r>
      <w:r w:rsidR="00326575" w:rsidRPr="00326575">
        <w:t>.</w:t>
      </w:r>
      <w:r w:rsidR="00D93C77">
        <w:t xml:space="preserve"> </w:t>
      </w:r>
      <w:r w:rsidR="00326575" w:rsidRPr="00326575">
        <w:t xml:space="preserve"> It collects, analyzes, and disseminates independent and impartial energy information to promote sound policymaking, efficient markets, and public understanding regarding energy and its interaction with the economy and the environment.</w:t>
      </w:r>
      <w:r w:rsidR="00326575">
        <w:t xml:space="preserve">  The electric power surveys discussed below are part of this comprehensive energy data program.</w:t>
      </w:r>
    </w:p>
    <w:p w:rsidR="00CC500A" w:rsidRDefault="00CC500A" w:rsidP="00174195">
      <w:pPr>
        <w:spacing w:before="100" w:beforeAutospacing="1" w:after="100" w:afterAutospacing="1"/>
        <w:jc w:val="both"/>
      </w:pPr>
      <w:r>
        <w:t>The information collection proposed in this supporting statement has been reviewed in light of applicable EIA information quality guidelines.  It has been determined that the information would be collected, maintained, and used in a manner consistent with Office of Management and Budget (OMB), DOE, and EIA information quality guidelines.</w:t>
      </w:r>
    </w:p>
    <w:p w:rsidR="00506A0B" w:rsidRDefault="003806C8" w:rsidP="00174195">
      <w:pPr>
        <w:spacing w:before="100" w:beforeAutospacing="1" w:after="100" w:afterAutospacing="1"/>
        <w:jc w:val="both"/>
      </w:pPr>
      <w:r w:rsidRPr="00B44BA3">
        <w:t xml:space="preserve">On </w:t>
      </w:r>
      <w:r w:rsidR="00F41671" w:rsidRPr="00B44BA3">
        <w:t>March 15</w:t>
      </w:r>
      <w:r w:rsidRPr="00B44BA3">
        <w:t>, 201</w:t>
      </w:r>
      <w:r w:rsidR="00F41671" w:rsidRPr="00B44BA3">
        <w:t>2</w:t>
      </w:r>
      <w:r w:rsidRPr="00B44BA3">
        <w:t xml:space="preserve">, </w:t>
      </w:r>
      <w:r w:rsidR="00AA648F">
        <w:t>a Federal Register Notice was published for</w:t>
      </w:r>
      <w:r w:rsidRPr="00B44BA3">
        <w:t xml:space="preserve"> EIA to receive comments regarding proposed c</w:t>
      </w:r>
      <w:r w:rsidR="00B44BA3" w:rsidRPr="00B44BA3">
        <w:t xml:space="preserve">hanges </w:t>
      </w:r>
      <w:r w:rsidR="005624EB">
        <w:t>to the F</w:t>
      </w:r>
      <w:r w:rsidR="00F41671" w:rsidRPr="00B44BA3">
        <w:t xml:space="preserve">orm </w:t>
      </w:r>
      <w:r w:rsidR="00B44BA3" w:rsidRPr="00B44BA3">
        <w:t>EIA-861, “Annual Electric Power Industry Report</w:t>
      </w:r>
      <w:r w:rsidR="003C757B">
        <w:t>,</w:t>
      </w:r>
      <w:r w:rsidR="00B44BA3" w:rsidRPr="00B44BA3">
        <w:t xml:space="preserve">” and Form EIA-923, </w:t>
      </w:r>
      <w:r w:rsidR="00B44BA3" w:rsidRPr="00B44BA3">
        <w:rPr>
          <w:rFonts w:eastAsia="Times New Roman"/>
        </w:rPr>
        <w:t>"Power Plant Operations Report</w:t>
      </w:r>
      <w:r w:rsidR="004B05AF">
        <w:rPr>
          <w:rFonts w:eastAsia="Times New Roman"/>
        </w:rPr>
        <w:t>;</w:t>
      </w:r>
      <w:r w:rsidR="00B44BA3" w:rsidRPr="00B44BA3">
        <w:rPr>
          <w:rFonts w:eastAsia="Times New Roman"/>
        </w:rPr>
        <w:t xml:space="preserve">” and the creation of a new </w:t>
      </w:r>
      <w:r w:rsidR="008C6DBD">
        <w:rPr>
          <w:rFonts w:eastAsia="Times New Roman"/>
        </w:rPr>
        <w:t xml:space="preserve">survey, </w:t>
      </w:r>
      <w:r w:rsidR="00B44BA3" w:rsidRPr="00B44BA3">
        <w:rPr>
          <w:rFonts w:eastAsia="Times New Roman"/>
        </w:rPr>
        <w:t xml:space="preserve">Form EIA-861S, </w:t>
      </w:r>
      <w:r w:rsidR="00B44BA3" w:rsidRPr="00B44BA3">
        <w:t>“Annual Electric Power Industry Report (Short Form).</w:t>
      </w:r>
      <w:r w:rsidR="00CD4D88">
        <w:t>”</w:t>
      </w:r>
      <w:r w:rsidR="003F5C57">
        <w:t xml:space="preserve">  </w:t>
      </w:r>
      <w:r w:rsidR="003145FC">
        <w:t xml:space="preserve">The effect of the proposals is to reduce the data collection </w:t>
      </w:r>
      <w:r w:rsidR="008C6DBD">
        <w:t>effort required to operate the surveys</w:t>
      </w:r>
      <w:r w:rsidR="003145FC">
        <w:t>, with the objective</w:t>
      </w:r>
      <w:r w:rsidR="003C757B">
        <w:t>s</w:t>
      </w:r>
      <w:r w:rsidR="003145FC">
        <w:t xml:space="preserve"> of allowing EIA to better deploy its resources</w:t>
      </w:r>
      <w:r w:rsidR="003C757B">
        <w:t xml:space="preserve"> and reducing respondent burden while</w:t>
      </w:r>
      <w:r w:rsidR="005211AD">
        <w:t xml:space="preserve"> avoid</w:t>
      </w:r>
      <w:r w:rsidR="003C757B">
        <w:t>ing</w:t>
      </w:r>
      <w:r w:rsidR="005211AD">
        <w:t xml:space="preserve"> </w:t>
      </w:r>
      <w:r w:rsidR="003145FC">
        <w:t>a material reduction in the quality of the data provided by EIA.</w:t>
      </w:r>
    </w:p>
    <w:p w:rsidR="000875AD" w:rsidRDefault="003145FC" w:rsidP="00174195">
      <w:pPr>
        <w:spacing w:before="100" w:beforeAutospacing="1" w:after="100" w:afterAutospacing="1"/>
        <w:jc w:val="both"/>
      </w:pPr>
      <w:r w:rsidRPr="008C6DBD">
        <w:rPr>
          <w:i/>
        </w:rPr>
        <w:t>Note on Clearance Periods</w:t>
      </w:r>
      <w:r>
        <w:t>: EIA operates its electric power data collections as an integrated program.  For this reason, and also for administrative efficiency and to provide clarity to stakeholders, EIA generally prefers to clear all electric power surveys on the same schedule</w:t>
      </w:r>
      <w:r w:rsidR="00E5044D">
        <w:t xml:space="preserve"> in a single OMB package</w:t>
      </w:r>
      <w:r>
        <w:t>.</w:t>
      </w:r>
      <w:r w:rsidR="008C6DBD">
        <w:t xml:space="preserve">  </w:t>
      </w:r>
      <w:r>
        <w:t>Currently all electric power surveys are cleared to the end of 2013.</w:t>
      </w:r>
      <w:r w:rsidR="00506A0B">
        <w:t xml:space="preserve"> </w:t>
      </w:r>
      <w:r w:rsidR="0099399D">
        <w:t xml:space="preserve"> </w:t>
      </w:r>
      <w:r>
        <w:t xml:space="preserve">Under this proposal, the modified versions of </w:t>
      </w:r>
      <w:r w:rsidR="001576F8" w:rsidRPr="001576F8">
        <w:t>the Forms EIA-861 and EIA-923 surveys and the new Form EIA-861S w</w:t>
      </w:r>
      <w:r w:rsidR="00DC6AB0">
        <w:t>ill</w:t>
      </w:r>
      <w:r w:rsidR="001576F8" w:rsidRPr="001576F8">
        <w:t xml:space="preserve"> be cleared</w:t>
      </w:r>
      <w:r w:rsidR="005624EB" w:rsidRPr="003145FC">
        <w:rPr>
          <w:i/>
        </w:rPr>
        <w:t xml:space="preserve"> </w:t>
      </w:r>
      <w:r w:rsidRPr="003145FC">
        <w:rPr>
          <w:i/>
        </w:rPr>
        <w:t xml:space="preserve">only </w:t>
      </w:r>
      <w:r w:rsidR="005624EB" w:rsidRPr="003145FC">
        <w:rPr>
          <w:i/>
        </w:rPr>
        <w:t>for data collection in 2013.</w:t>
      </w:r>
      <w:r w:rsidR="00506A0B" w:rsidRPr="003145FC">
        <w:rPr>
          <w:i/>
        </w:rPr>
        <w:t xml:space="preserve"> </w:t>
      </w:r>
      <w:r w:rsidR="00506A0B">
        <w:t xml:space="preserve"> </w:t>
      </w:r>
      <w:r>
        <w:t xml:space="preserve">During 2013, </w:t>
      </w:r>
      <w:r w:rsidR="00506A0B">
        <w:t>EIA will seek a</w:t>
      </w:r>
      <w:r>
        <w:t xml:space="preserve"> regular</w:t>
      </w:r>
      <w:r w:rsidR="00506A0B">
        <w:t xml:space="preserve"> </w:t>
      </w:r>
      <w:r w:rsidR="00224776">
        <w:t>3</w:t>
      </w:r>
      <w:r w:rsidR="00506A0B">
        <w:t xml:space="preserve">-year </w:t>
      </w:r>
      <w:r w:rsidR="00112270">
        <w:t xml:space="preserve">clearance </w:t>
      </w:r>
      <w:r w:rsidR="00506A0B">
        <w:t xml:space="preserve">for these surveys along with </w:t>
      </w:r>
      <w:r>
        <w:t xml:space="preserve">all other </w:t>
      </w:r>
      <w:r w:rsidR="00506A0B">
        <w:t>electricity surveys.</w:t>
      </w:r>
    </w:p>
    <w:p w:rsidR="000875AD" w:rsidRDefault="008C6DBD" w:rsidP="001C5EED">
      <w:pPr>
        <w:pStyle w:val="Heading2"/>
      </w:pPr>
      <w:bookmarkStart w:id="3" w:name="_Toc343524143"/>
      <w:r>
        <w:t xml:space="preserve">Summary of </w:t>
      </w:r>
      <w:r w:rsidR="003806C8">
        <w:t>Proposal</w:t>
      </w:r>
      <w:r w:rsidR="005624EB">
        <w:t>s</w:t>
      </w:r>
      <w:bookmarkEnd w:id="3"/>
    </w:p>
    <w:p w:rsidR="004A7021" w:rsidRDefault="004A7021" w:rsidP="004A7021">
      <w:pPr>
        <w:spacing w:before="100" w:beforeAutospacing="1" w:after="0"/>
        <w:rPr>
          <w:bCs/>
        </w:rPr>
      </w:pPr>
      <w:r>
        <w:rPr>
          <w:bCs/>
        </w:rPr>
        <w:t xml:space="preserve">The proposed changes involve selected changes to two </w:t>
      </w:r>
      <w:r w:rsidRPr="00435129">
        <w:rPr>
          <w:bCs/>
        </w:rPr>
        <w:t>existing surveys</w:t>
      </w:r>
      <w:r w:rsidR="003C757B">
        <w:rPr>
          <w:bCs/>
        </w:rPr>
        <w:t xml:space="preserve">, </w:t>
      </w:r>
      <w:r w:rsidRPr="00435129">
        <w:rPr>
          <w:bCs/>
        </w:rPr>
        <w:t xml:space="preserve">the </w:t>
      </w:r>
      <w:r w:rsidR="00C06F26">
        <w:rPr>
          <w:bCs/>
        </w:rPr>
        <w:t xml:space="preserve">Form </w:t>
      </w:r>
      <w:r w:rsidRPr="00435129">
        <w:rPr>
          <w:bCs/>
        </w:rPr>
        <w:t xml:space="preserve">EIA-861, "Annual Electric Power Industry Report" and Schedule 2 of the </w:t>
      </w:r>
      <w:r w:rsidR="00C06F26">
        <w:rPr>
          <w:bCs/>
        </w:rPr>
        <w:t xml:space="preserve">Form </w:t>
      </w:r>
      <w:r w:rsidRPr="00435129">
        <w:rPr>
          <w:bCs/>
        </w:rPr>
        <w:t>EIA-923, "Power Plant Operations Report</w:t>
      </w:r>
      <w:r w:rsidR="003C757B">
        <w:rPr>
          <w:bCs/>
        </w:rPr>
        <w:t>.</w:t>
      </w:r>
      <w:r w:rsidRPr="00435129">
        <w:rPr>
          <w:bCs/>
        </w:rPr>
        <w:t>"</w:t>
      </w:r>
      <w:r w:rsidR="003C757B">
        <w:rPr>
          <w:bCs/>
        </w:rPr>
        <w:t xml:space="preserve">  The proposal also includes </w:t>
      </w:r>
      <w:r>
        <w:rPr>
          <w:bCs/>
        </w:rPr>
        <w:t xml:space="preserve">the creation of </w:t>
      </w:r>
      <w:r w:rsidRPr="00435129">
        <w:rPr>
          <w:bCs/>
        </w:rPr>
        <w:t xml:space="preserve">one new survey, the </w:t>
      </w:r>
      <w:r w:rsidR="00C06F26">
        <w:rPr>
          <w:bCs/>
        </w:rPr>
        <w:t xml:space="preserve">Form </w:t>
      </w:r>
      <w:r w:rsidRPr="00435129">
        <w:rPr>
          <w:bCs/>
        </w:rPr>
        <w:t xml:space="preserve">EIA-861S, a short-form version of the current </w:t>
      </w:r>
      <w:r w:rsidR="00C06F26">
        <w:rPr>
          <w:bCs/>
        </w:rPr>
        <w:t xml:space="preserve">Form </w:t>
      </w:r>
      <w:r w:rsidRPr="00435129">
        <w:rPr>
          <w:bCs/>
        </w:rPr>
        <w:t>EIA-861.</w:t>
      </w:r>
      <w:r>
        <w:rPr>
          <w:bCs/>
        </w:rPr>
        <w:t xml:space="preserve">  </w:t>
      </w:r>
    </w:p>
    <w:p w:rsidR="004A7021" w:rsidRDefault="004A7021" w:rsidP="004A7021">
      <w:pPr>
        <w:spacing w:before="100" w:beforeAutospacing="1" w:after="0"/>
        <w:rPr>
          <w:b/>
          <w:bCs/>
        </w:rPr>
      </w:pPr>
      <w:r>
        <w:rPr>
          <w:bCs/>
        </w:rPr>
        <w:t xml:space="preserve">The existing surveys are currently cleared by OMB through October 2013.  Therefore these selected changes constitute a revision (supplement) to the existing clearance, not a replacement of or extension to the existing clearance.  The proposed new survey, the </w:t>
      </w:r>
      <w:r w:rsidR="00C06F26">
        <w:rPr>
          <w:bCs/>
        </w:rPr>
        <w:t xml:space="preserve">Form </w:t>
      </w:r>
      <w:r>
        <w:rPr>
          <w:bCs/>
        </w:rPr>
        <w:t>EIA-861S, as proposed will also expire in 2013 so that all the electric power surveys can be proposed for re-clearance as a group with common dates.</w:t>
      </w:r>
    </w:p>
    <w:p w:rsidR="004A7021" w:rsidRDefault="004A7021" w:rsidP="00473B76">
      <w:pPr>
        <w:spacing w:before="100" w:beforeAutospacing="1" w:after="0"/>
        <w:rPr>
          <w:b/>
          <w:bCs/>
        </w:rPr>
      </w:pPr>
    </w:p>
    <w:p w:rsidR="00112270" w:rsidRDefault="008C6DBD" w:rsidP="00473B76">
      <w:pPr>
        <w:spacing w:before="100" w:beforeAutospacing="1" w:after="0"/>
        <w:rPr>
          <w:b/>
          <w:bCs/>
        </w:rPr>
      </w:pPr>
      <w:r>
        <w:rPr>
          <w:b/>
          <w:bCs/>
        </w:rPr>
        <w:t xml:space="preserve">Summary of </w:t>
      </w:r>
      <w:r w:rsidR="00112270">
        <w:rPr>
          <w:b/>
          <w:bCs/>
        </w:rPr>
        <w:t>Proposals Related to the Form EIA-861, "Annual Electric Power Industry Report"</w:t>
      </w:r>
    </w:p>
    <w:p w:rsidR="008C6DBD" w:rsidRDefault="008C6DBD" w:rsidP="00174195">
      <w:pPr>
        <w:autoSpaceDE w:val="0"/>
        <w:autoSpaceDN w:val="0"/>
        <w:adjustRightInd w:val="0"/>
        <w:spacing w:before="120" w:after="100" w:afterAutospacing="1"/>
        <w:jc w:val="both"/>
      </w:pPr>
      <w:r w:rsidRPr="00525BC9">
        <w:t xml:space="preserve">The </w:t>
      </w:r>
      <w:r w:rsidR="00130A03">
        <w:t xml:space="preserve">mandatory </w:t>
      </w:r>
      <w:r>
        <w:t xml:space="preserve">Form </w:t>
      </w:r>
      <w:r w:rsidRPr="00525BC9">
        <w:t xml:space="preserve">EIA-861 survey collects </w:t>
      </w:r>
      <w:r w:rsidR="008F1CEA">
        <w:t xml:space="preserve">electricity </w:t>
      </w:r>
      <w:r w:rsidRPr="00525BC9">
        <w:t>retail sales, revenue, and a variety of information related to demand response and energy efficiency from approximately 3</w:t>
      </w:r>
      <w:r>
        <w:t>,</w:t>
      </w:r>
      <w:r w:rsidRPr="00525BC9">
        <w:t xml:space="preserve">300 respondents (primarily electric utilities). </w:t>
      </w:r>
      <w:r w:rsidR="0099399D">
        <w:t xml:space="preserve"> </w:t>
      </w:r>
      <w:r w:rsidRPr="00525BC9">
        <w:t xml:space="preserve">However, many of these responding </w:t>
      </w:r>
      <w:r w:rsidR="00174195">
        <w:t>entities</w:t>
      </w:r>
      <w:r w:rsidRPr="00525BC9">
        <w:t xml:space="preserve"> are very small distribution companies with </w:t>
      </w:r>
      <w:r w:rsidR="00130A03">
        <w:t>minimal</w:t>
      </w:r>
      <w:r w:rsidRPr="00525BC9">
        <w:t xml:space="preserve"> sales and few if any demand response and related programs</w:t>
      </w:r>
      <w:r w:rsidR="008F1CEA">
        <w:t xml:space="preserve">.  </w:t>
      </w:r>
      <w:proofErr w:type="gramStart"/>
      <w:r w:rsidR="008F1CEA">
        <w:t xml:space="preserve">A </w:t>
      </w:r>
      <w:r w:rsidRPr="00525BC9">
        <w:t xml:space="preserve">third </w:t>
      </w:r>
      <w:r w:rsidR="008F1CEA">
        <w:t xml:space="preserve">(1,100) </w:t>
      </w:r>
      <w:r w:rsidR="002176EB">
        <w:t xml:space="preserve">of the 3,300 respondents </w:t>
      </w:r>
      <w:r w:rsidRPr="00525BC9">
        <w:t xml:space="preserve">account for </w:t>
      </w:r>
      <w:r w:rsidR="008F1CEA">
        <w:t>about</w:t>
      </w:r>
      <w:r w:rsidR="00174195">
        <w:t xml:space="preserve"> </w:t>
      </w:r>
      <w:r w:rsidRPr="00525BC9">
        <w:t>one percent of total annual electric sales in the United States.</w:t>
      </w:r>
      <w:proofErr w:type="gramEnd"/>
    </w:p>
    <w:p w:rsidR="00131194" w:rsidRDefault="002D074B" w:rsidP="00B37676">
      <w:pPr>
        <w:pStyle w:val="BodyText3"/>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0"/>
        <w:jc w:val="both"/>
        <w:rPr>
          <w:sz w:val="22"/>
          <w:szCs w:val="22"/>
        </w:rPr>
      </w:pPr>
      <w:r w:rsidRPr="002D074B">
        <w:rPr>
          <w:sz w:val="22"/>
          <w:szCs w:val="22"/>
        </w:rPr>
        <w:t xml:space="preserve">EIA found that the smallest respondents consume a disproportionately large share of the agency's data collection and processing resources. </w:t>
      </w:r>
      <w:r w:rsidR="0038447D">
        <w:rPr>
          <w:sz w:val="22"/>
          <w:szCs w:val="22"/>
        </w:rPr>
        <w:t xml:space="preserve"> </w:t>
      </w:r>
      <w:r w:rsidRPr="002D074B">
        <w:rPr>
          <w:sz w:val="22"/>
          <w:szCs w:val="22"/>
        </w:rPr>
        <w:t>This is because the small companies have limited resources to devote to data gathering and government reporting.</w:t>
      </w:r>
      <w:r>
        <w:rPr>
          <w:sz w:val="22"/>
          <w:szCs w:val="22"/>
        </w:rPr>
        <w:t xml:space="preserve">  </w:t>
      </w:r>
    </w:p>
    <w:p w:rsidR="00131194" w:rsidRDefault="008C6DBD" w:rsidP="00B37676">
      <w:pPr>
        <w:pStyle w:val="BodyText3"/>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0"/>
        <w:jc w:val="both"/>
        <w:rPr>
          <w:sz w:val="22"/>
          <w:szCs w:val="22"/>
        </w:rPr>
      </w:pPr>
      <w:r w:rsidRPr="000A71F2">
        <w:rPr>
          <w:sz w:val="22"/>
          <w:szCs w:val="22"/>
        </w:rPr>
        <w:t>EIA proposes to</w:t>
      </w:r>
      <w:r w:rsidR="00B37676" w:rsidRPr="00B37676">
        <w:t xml:space="preserve"> </w:t>
      </w:r>
      <w:r w:rsidR="00773785" w:rsidRPr="00773785">
        <w:rPr>
          <w:sz w:val="22"/>
          <w:szCs w:val="22"/>
        </w:rPr>
        <w:t xml:space="preserve">modify the </w:t>
      </w:r>
      <w:r w:rsidR="003C757B">
        <w:rPr>
          <w:sz w:val="22"/>
          <w:szCs w:val="22"/>
        </w:rPr>
        <w:t>coverage of</w:t>
      </w:r>
      <w:r w:rsidR="00773785" w:rsidRPr="00773785">
        <w:rPr>
          <w:sz w:val="22"/>
          <w:szCs w:val="22"/>
        </w:rPr>
        <w:t xml:space="preserve"> th</w:t>
      </w:r>
      <w:r w:rsidR="00131194">
        <w:rPr>
          <w:sz w:val="22"/>
          <w:szCs w:val="22"/>
        </w:rPr>
        <w:t xml:space="preserve">e </w:t>
      </w:r>
      <w:r w:rsidR="00C06F26">
        <w:rPr>
          <w:sz w:val="22"/>
          <w:szCs w:val="22"/>
        </w:rPr>
        <w:t xml:space="preserve">Form </w:t>
      </w:r>
      <w:r w:rsidR="00131194">
        <w:rPr>
          <w:sz w:val="22"/>
          <w:szCs w:val="22"/>
        </w:rPr>
        <w:t xml:space="preserve">EIA-861 </w:t>
      </w:r>
      <w:r w:rsidR="00773785" w:rsidRPr="00773785">
        <w:rPr>
          <w:sz w:val="22"/>
          <w:szCs w:val="22"/>
        </w:rPr>
        <w:t xml:space="preserve">survey from a census to a sample of approximately 2,200 entities.  EIA is also proposing a new annual survey, the Form EIA-861S. </w:t>
      </w:r>
      <w:r w:rsidR="002176EB">
        <w:rPr>
          <w:sz w:val="22"/>
          <w:szCs w:val="22"/>
        </w:rPr>
        <w:t xml:space="preserve"> </w:t>
      </w:r>
      <w:r w:rsidR="00773785" w:rsidRPr="00773785">
        <w:rPr>
          <w:sz w:val="22"/>
          <w:szCs w:val="22"/>
        </w:rPr>
        <w:t xml:space="preserve">The </w:t>
      </w:r>
      <w:r w:rsidR="00C06F26">
        <w:rPr>
          <w:sz w:val="22"/>
          <w:szCs w:val="22"/>
        </w:rPr>
        <w:t xml:space="preserve">Form </w:t>
      </w:r>
      <w:r w:rsidR="003B0478">
        <w:rPr>
          <w:sz w:val="22"/>
          <w:szCs w:val="22"/>
        </w:rPr>
        <w:t xml:space="preserve">EIA-861S </w:t>
      </w:r>
      <w:r w:rsidR="002176EB">
        <w:rPr>
          <w:sz w:val="22"/>
          <w:szCs w:val="22"/>
        </w:rPr>
        <w:t>sample</w:t>
      </w:r>
      <w:r w:rsidR="00773785" w:rsidRPr="00773785">
        <w:rPr>
          <w:sz w:val="22"/>
          <w:szCs w:val="22"/>
        </w:rPr>
        <w:t xml:space="preserve"> would consist of the </w:t>
      </w:r>
      <w:r w:rsidR="00E5044D">
        <w:rPr>
          <w:sz w:val="22"/>
          <w:szCs w:val="22"/>
        </w:rPr>
        <w:t>1</w:t>
      </w:r>
      <w:r w:rsidR="00131194">
        <w:rPr>
          <w:sz w:val="22"/>
          <w:szCs w:val="22"/>
        </w:rPr>
        <w:t>,</w:t>
      </w:r>
      <w:r w:rsidR="00E5044D">
        <w:rPr>
          <w:sz w:val="22"/>
          <w:szCs w:val="22"/>
        </w:rPr>
        <w:t>1</w:t>
      </w:r>
      <w:r w:rsidR="00131194">
        <w:rPr>
          <w:sz w:val="22"/>
          <w:szCs w:val="22"/>
        </w:rPr>
        <w:t xml:space="preserve">00 </w:t>
      </w:r>
      <w:r w:rsidR="00773785" w:rsidRPr="00773785">
        <w:rPr>
          <w:sz w:val="22"/>
          <w:szCs w:val="22"/>
        </w:rPr>
        <w:t>respondents removed from the Form EIA-861 frame</w:t>
      </w:r>
      <w:r w:rsidR="00131194">
        <w:rPr>
          <w:sz w:val="22"/>
          <w:szCs w:val="22"/>
        </w:rPr>
        <w:t xml:space="preserve">.  The new </w:t>
      </w:r>
      <w:r w:rsidR="00C06F26">
        <w:rPr>
          <w:sz w:val="22"/>
          <w:szCs w:val="22"/>
        </w:rPr>
        <w:t xml:space="preserve">Form </w:t>
      </w:r>
      <w:r w:rsidR="00131194">
        <w:rPr>
          <w:sz w:val="22"/>
          <w:szCs w:val="22"/>
        </w:rPr>
        <w:t>EIA-861S survey</w:t>
      </w:r>
      <w:r w:rsidR="00773785" w:rsidRPr="00773785">
        <w:rPr>
          <w:sz w:val="22"/>
          <w:szCs w:val="22"/>
        </w:rPr>
        <w:t xml:space="preserve"> would collect very limited data from these respondents.  This information would be used to maintain a current frame for the universe of electric power utilities and power marketers and to collect a small amount of selected data (such as sales, retail revenues, and customer counts).</w:t>
      </w:r>
      <w:r w:rsidR="00131194">
        <w:rPr>
          <w:sz w:val="22"/>
          <w:szCs w:val="22"/>
        </w:rPr>
        <w:t xml:space="preserve">  A statistical imputation methodology would be used to allocate sales, revenues, and customer counts to industry sectors (i.e., residential, commercial, industrial, and transportation).</w:t>
      </w:r>
    </w:p>
    <w:p w:rsidR="008C6DBD" w:rsidRDefault="00773785" w:rsidP="00B37676">
      <w:pPr>
        <w:pStyle w:val="BodyText3"/>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0"/>
        <w:jc w:val="both"/>
        <w:rPr>
          <w:sz w:val="22"/>
          <w:szCs w:val="22"/>
        </w:rPr>
      </w:pPr>
      <w:r w:rsidRPr="00773785">
        <w:rPr>
          <w:sz w:val="22"/>
          <w:szCs w:val="22"/>
        </w:rPr>
        <w:t>Once every 5 years the</w:t>
      </w:r>
      <w:r w:rsidR="00131194">
        <w:rPr>
          <w:sz w:val="22"/>
          <w:szCs w:val="22"/>
        </w:rPr>
        <w:t xml:space="preserve"> </w:t>
      </w:r>
      <w:r w:rsidR="00C06F26">
        <w:rPr>
          <w:sz w:val="22"/>
          <w:szCs w:val="22"/>
        </w:rPr>
        <w:t xml:space="preserve">Form </w:t>
      </w:r>
      <w:r w:rsidR="00131194">
        <w:rPr>
          <w:sz w:val="22"/>
          <w:szCs w:val="22"/>
        </w:rPr>
        <w:t xml:space="preserve">EIA-861S </w:t>
      </w:r>
      <w:r w:rsidRPr="00773785">
        <w:rPr>
          <w:sz w:val="22"/>
          <w:szCs w:val="22"/>
        </w:rPr>
        <w:t>respondents would be required to fill out the Form EIA-861 in lieu of the Form EIA-861S</w:t>
      </w:r>
      <w:r w:rsidR="00131194">
        <w:rPr>
          <w:sz w:val="22"/>
          <w:szCs w:val="22"/>
        </w:rPr>
        <w:t>.  T</w:t>
      </w:r>
      <w:r w:rsidRPr="00773785">
        <w:rPr>
          <w:sz w:val="22"/>
          <w:szCs w:val="22"/>
        </w:rPr>
        <w:t>his information will be used to verify and update the sample and the imputation methodology</w:t>
      </w:r>
      <w:r w:rsidR="00B37676">
        <w:rPr>
          <w:sz w:val="22"/>
          <w:szCs w:val="22"/>
        </w:rPr>
        <w:t>.</w:t>
      </w:r>
    </w:p>
    <w:p w:rsidR="008C6DBD" w:rsidRDefault="008C6DBD" w:rsidP="002176EB">
      <w:pPr>
        <w:spacing w:before="100" w:beforeAutospacing="1" w:after="0"/>
        <w:rPr>
          <w:b/>
          <w:bCs/>
        </w:rPr>
      </w:pPr>
      <w:r>
        <w:rPr>
          <w:b/>
          <w:bCs/>
        </w:rPr>
        <w:t>Summary of Proposal Related to Form EIA-923, "Power Plant Operations Report"</w:t>
      </w:r>
    </w:p>
    <w:p w:rsidR="008C6DBD" w:rsidRPr="002D074B" w:rsidRDefault="008C6DBD" w:rsidP="00174195">
      <w:pPr>
        <w:spacing w:before="120" w:after="100" w:afterAutospacing="1"/>
        <w:jc w:val="both"/>
      </w:pPr>
      <w:r w:rsidRPr="00525BC9">
        <w:t xml:space="preserve">The Form EIA-923 is a mandatory report that collects fuel receipts, consumption, electric generation, fuel stocks, combustion byproducts, operational cooling water data, and operational data for </w:t>
      </w:r>
      <w:hyperlink r:id="rId14" w:tooltip="Nitrogen dioxide" w:history="1">
        <w:r w:rsidR="000C4AAE" w:rsidRPr="00997235">
          <w:t>nitrogen oxide</w:t>
        </w:r>
      </w:hyperlink>
      <w:r w:rsidR="00131194">
        <w:t>s</w:t>
      </w:r>
      <w:r w:rsidR="000C4AAE">
        <w:t xml:space="preserve"> (</w:t>
      </w:r>
      <w:proofErr w:type="spellStart"/>
      <w:r w:rsidRPr="00525BC9">
        <w:t>NO</w:t>
      </w:r>
      <w:r w:rsidRPr="002D074B">
        <w:t>x</w:t>
      </w:r>
      <w:proofErr w:type="spellEnd"/>
      <w:r w:rsidR="000C4AAE">
        <w:t>)</w:t>
      </w:r>
      <w:r w:rsidRPr="00525BC9">
        <w:t xml:space="preserve">, </w:t>
      </w:r>
      <w:r w:rsidR="000C4AAE">
        <w:t>sulfur dioxide (</w:t>
      </w:r>
      <w:r w:rsidRPr="00525BC9">
        <w:t>SO</w:t>
      </w:r>
      <w:r w:rsidR="00F664D9" w:rsidRPr="00997235">
        <w:t>2</w:t>
      </w:r>
      <w:r w:rsidR="001576F8" w:rsidRPr="001576F8">
        <w:t>)</w:t>
      </w:r>
      <w:r w:rsidRPr="00525BC9">
        <w:t xml:space="preserve">, and particulate matter control equipment from all </w:t>
      </w:r>
      <w:r w:rsidR="002D074B">
        <w:t xml:space="preserve">operating </w:t>
      </w:r>
      <w:r w:rsidRPr="00525BC9">
        <w:t>power plants</w:t>
      </w:r>
      <w:r w:rsidR="00D640D3">
        <w:t>.</w:t>
      </w:r>
      <w:r w:rsidRPr="00525BC9">
        <w:t xml:space="preserve">  The data on this survey are collected monthly from a statistically determined sample of relatively large plants.  The remaining smaller plants are surveyed annually.</w:t>
      </w:r>
    </w:p>
    <w:p w:rsidR="008C6DBD" w:rsidRDefault="008C6DBD" w:rsidP="00174195">
      <w:pPr>
        <w:autoSpaceDE w:val="0"/>
        <w:autoSpaceDN w:val="0"/>
        <w:adjustRightInd w:val="0"/>
        <w:spacing w:before="100" w:beforeAutospacing="1" w:after="100" w:afterAutospacing="1"/>
        <w:jc w:val="both"/>
      </w:pPr>
      <w:r w:rsidRPr="00525BC9">
        <w:t xml:space="preserve">This proposal affects </w:t>
      </w:r>
      <w:r w:rsidR="002D074B">
        <w:t xml:space="preserve">only </w:t>
      </w:r>
      <w:r w:rsidRPr="00525BC9">
        <w:t xml:space="preserve">Schedule 2, “Cost and Quality of Fuel </w:t>
      </w:r>
      <w:r w:rsidR="004B14BA">
        <w:t>Purchases – Plant-Level</w:t>
      </w:r>
      <w:r w:rsidRPr="00525BC9">
        <w:t>,</w:t>
      </w:r>
      <w:r w:rsidR="00783F9A">
        <w:t xml:space="preserve">” </w:t>
      </w:r>
      <w:r w:rsidR="00783F9A" w:rsidRPr="00525BC9">
        <w:t>which</w:t>
      </w:r>
      <w:r w:rsidR="00BD565F">
        <w:t xml:space="preserve"> </w:t>
      </w:r>
      <w:r w:rsidRPr="00525BC9">
        <w:t xml:space="preserve">collects </w:t>
      </w:r>
      <w:r w:rsidR="002D074B">
        <w:t xml:space="preserve">information on the cost, quality, and volume of </w:t>
      </w:r>
      <w:r w:rsidR="00BD565F">
        <w:t xml:space="preserve">combustible </w:t>
      </w:r>
      <w:r w:rsidR="002D074B">
        <w:t>fuel receipts.  Currently</w:t>
      </w:r>
      <w:r w:rsidR="00FD19B3">
        <w:t>,</w:t>
      </w:r>
      <w:r w:rsidR="002D074B">
        <w:t xml:space="preserve"> plants must report th</w:t>
      </w:r>
      <w:r w:rsidR="00CD4D88">
        <w:t>ese</w:t>
      </w:r>
      <w:r w:rsidR="002D074B">
        <w:t xml:space="preserve"> data if the plant meets a minimum capacity threshold of </w:t>
      </w:r>
      <w:r w:rsidRPr="00525BC9">
        <w:t>50 megawatts</w:t>
      </w:r>
      <w:r w:rsidR="002D074B">
        <w:t xml:space="preserve"> (M</w:t>
      </w:r>
      <w:r w:rsidR="00CD4D88">
        <w:t>W</w:t>
      </w:r>
      <w:r w:rsidR="002D074B">
        <w:t>)</w:t>
      </w:r>
      <w:r w:rsidRPr="00525BC9">
        <w:t xml:space="preserve"> </w:t>
      </w:r>
      <w:r w:rsidR="008F1CEA">
        <w:t xml:space="preserve">of nameplate capacity </w:t>
      </w:r>
      <w:r w:rsidRPr="00525BC9">
        <w:t>or greater.</w:t>
      </w:r>
    </w:p>
    <w:p w:rsidR="002D074B" w:rsidRPr="002D074B" w:rsidRDefault="002D074B" w:rsidP="00E708DD">
      <w:pPr>
        <w:spacing w:before="100" w:beforeAutospacing="1" w:after="0"/>
        <w:jc w:val="both"/>
      </w:pPr>
      <w:r w:rsidRPr="002D074B">
        <w:t>EIA proposes to:</w:t>
      </w:r>
    </w:p>
    <w:p w:rsidR="002D074B" w:rsidRPr="00F928F0" w:rsidRDefault="002D074B" w:rsidP="00A62D30">
      <w:pPr>
        <w:pStyle w:val="ListParagraph"/>
        <w:numPr>
          <w:ilvl w:val="0"/>
          <w:numId w:val="7"/>
        </w:numPr>
        <w:spacing w:before="120" w:after="120"/>
        <w:contextualSpacing w:val="0"/>
      </w:pPr>
      <w:r>
        <w:t xml:space="preserve">Raise the </w:t>
      </w:r>
      <w:r w:rsidR="003B4BC6">
        <w:t xml:space="preserve">schedule 2 reporting </w:t>
      </w:r>
      <w:r>
        <w:t xml:space="preserve">threshold to 200 MW of nameplate capacity for plants fueled by natural gas, petroleum coke, distillate fuel oil, and residual fuel oil.  </w:t>
      </w:r>
      <w:r w:rsidR="00F928F0">
        <w:t>T</w:t>
      </w:r>
      <w:r>
        <w:t xml:space="preserve">he </w:t>
      </w:r>
      <w:r w:rsidRPr="00F928F0">
        <w:t>reporting threshold w</w:t>
      </w:r>
      <w:r w:rsidR="00DC6AB0" w:rsidRPr="00F928F0">
        <w:t>ill</w:t>
      </w:r>
      <w:r w:rsidRPr="00F928F0">
        <w:t xml:space="preserve"> not be raised for coal-fired power plants</w:t>
      </w:r>
      <w:r w:rsidR="00F928F0">
        <w:t>; for these plants the reporting threshold will remain 50 MW</w:t>
      </w:r>
      <w:r w:rsidRPr="00F928F0">
        <w:t>.</w:t>
      </w:r>
      <w:r w:rsidR="003C757B">
        <w:t xml:space="preserve">  The rationale for keeping the reporting threshold for coal-fired plants at 50 MW is discussed in section </w:t>
      </w:r>
      <w:r w:rsidR="00DA6EE9">
        <w:t>A.2.3.</w:t>
      </w:r>
      <w:r w:rsidR="003C757B">
        <w:t xml:space="preserve"> </w:t>
      </w:r>
      <w:proofErr w:type="gramStart"/>
      <w:r w:rsidR="003C757B">
        <w:t>and</w:t>
      </w:r>
      <w:proofErr w:type="gramEnd"/>
      <w:r w:rsidR="003C757B">
        <w:t xml:space="preserve"> Appendix A-1.</w:t>
      </w:r>
    </w:p>
    <w:p w:rsidR="008C6DBD" w:rsidRDefault="002D074B" w:rsidP="00A62D30">
      <w:pPr>
        <w:pStyle w:val="ListParagraph"/>
        <w:numPr>
          <w:ilvl w:val="0"/>
          <w:numId w:val="7"/>
        </w:numPr>
        <w:spacing w:before="120" w:after="120"/>
        <w:contextualSpacing w:val="0"/>
      </w:pPr>
      <w:r>
        <w:t>Remove the reporting requirement for self-produced and minor fuels</w:t>
      </w:r>
      <w:r w:rsidR="00AA6EBB">
        <w:t xml:space="preserve"> (</w:t>
      </w:r>
      <w:r>
        <w:t xml:space="preserve">i.e., blast furnace gas, other manufactured gases, kerosene, </w:t>
      </w:r>
      <w:r w:rsidR="00F928F0">
        <w:t xml:space="preserve">propane, </w:t>
      </w:r>
      <w:r>
        <w:t>jet fuel, and waste oil</w:t>
      </w:r>
      <w:r w:rsidR="00AA6EBB">
        <w:t>)</w:t>
      </w:r>
      <w:r>
        <w:t>.</w:t>
      </w:r>
    </w:p>
    <w:p w:rsidR="002D074B" w:rsidRDefault="00985589" w:rsidP="00174195">
      <w:pPr>
        <w:autoSpaceDE w:val="0"/>
        <w:autoSpaceDN w:val="0"/>
        <w:adjustRightInd w:val="0"/>
        <w:spacing w:before="100" w:beforeAutospacing="1" w:after="0"/>
        <w:jc w:val="both"/>
      </w:pPr>
      <w:r>
        <w:t>The proposed changes will reduce respondent burden, particularly for smaller entities.  Additionally, as</w:t>
      </w:r>
      <w:r w:rsidR="002D074B">
        <w:t xml:space="preserve"> in the case of the </w:t>
      </w:r>
      <w:r w:rsidR="00CD4D88">
        <w:t xml:space="preserve">Form </w:t>
      </w:r>
      <w:r w:rsidR="002D074B">
        <w:t>EIA-861, part of the rationale for the proposed change</w:t>
      </w:r>
      <w:r w:rsidR="00213433">
        <w:t>s</w:t>
      </w:r>
      <w:r w:rsidR="002D074B">
        <w:t xml:space="preserve"> is </w:t>
      </w:r>
      <w:r w:rsidR="00213433">
        <w:t xml:space="preserve">to avoid </w:t>
      </w:r>
      <w:r w:rsidR="002D074B">
        <w:t>the disproportionate amount of time needed to edit the data submitted by small entities.  In addition, the minor and self</w:t>
      </w:r>
      <w:r w:rsidR="00F10378">
        <w:t>-</w:t>
      </w:r>
      <w:r w:rsidR="002D074B">
        <w:t>produced fuels are time</w:t>
      </w:r>
      <w:r w:rsidR="00BB319C">
        <w:t>-</w:t>
      </w:r>
      <w:r w:rsidR="002D074B">
        <w:t xml:space="preserve">consuming to edit because the </w:t>
      </w:r>
      <w:r w:rsidR="003C757B">
        <w:t xml:space="preserve">fuel </w:t>
      </w:r>
      <w:r w:rsidR="002D074B">
        <w:t xml:space="preserve">quality </w:t>
      </w:r>
      <w:r w:rsidR="003C757B">
        <w:t>is</w:t>
      </w:r>
      <w:r w:rsidR="002D074B">
        <w:t xml:space="preserve"> inconsistent and the prices are volatile.</w:t>
      </w:r>
    </w:p>
    <w:p w:rsidR="003C757B" w:rsidRDefault="003C757B" w:rsidP="00174195">
      <w:pPr>
        <w:autoSpaceDE w:val="0"/>
        <w:autoSpaceDN w:val="0"/>
        <w:adjustRightInd w:val="0"/>
        <w:spacing w:before="100" w:beforeAutospacing="1" w:after="0"/>
        <w:jc w:val="both"/>
      </w:pPr>
    </w:p>
    <w:p w:rsidR="000875AD" w:rsidRPr="00A46004" w:rsidRDefault="000875AD" w:rsidP="001C5EED">
      <w:pPr>
        <w:pStyle w:val="Heading1"/>
      </w:pPr>
      <w:bookmarkStart w:id="4" w:name="_Toc343524144"/>
      <w:r w:rsidRPr="00A46004">
        <w:t>A. Justification</w:t>
      </w:r>
      <w:bookmarkEnd w:id="4"/>
    </w:p>
    <w:p w:rsidR="000875AD" w:rsidRPr="001C5EED" w:rsidRDefault="000875AD" w:rsidP="00A46004">
      <w:pPr>
        <w:pStyle w:val="Heading2"/>
      </w:pPr>
      <w:bookmarkStart w:id="5" w:name="_Toc343524145"/>
      <w:r w:rsidRPr="001C5EED">
        <w:t>A.1. Legal Justification</w:t>
      </w:r>
      <w:bookmarkEnd w:id="5"/>
    </w:p>
    <w:p w:rsidR="000875AD" w:rsidRDefault="000875AD" w:rsidP="00174195">
      <w:pPr>
        <w:spacing w:before="120" w:after="100" w:afterAutospacing="1"/>
        <w:jc w:val="both"/>
      </w:pPr>
      <w:r>
        <w:t>The authority for this data collection is derived from the following provision:</w:t>
      </w:r>
    </w:p>
    <w:p w:rsidR="000875AD" w:rsidRDefault="000875AD" w:rsidP="00174195">
      <w:pPr>
        <w:spacing w:before="100" w:beforeAutospacing="1" w:after="100" w:afterAutospacing="1"/>
        <w:jc w:val="both"/>
      </w:pPr>
      <w:r>
        <w:t>Section 13(b), 15 U.S.C. §772(b), of the Federal Energy Administration Act (FEA Act), Public Law 93-275, outlines the types of individuals subject to the data collection authority delegated to the Administrator and the general parameters of the type of data which can be required.  Section 13(b) states:</w:t>
      </w:r>
    </w:p>
    <w:p w:rsidR="000875AD" w:rsidRDefault="000875AD" w:rsidP="00E708DD">
      <w:pPr>
        <w:ind w:left="720"/>
      </w:pPr>
      <w:r>
        <w:t>“All persons owning or operating facilities or business premises who are engaged in any phase of energy supply or major energy consumption shall make available to the [Secretary] such information and periodic reports, records, documents, and other data relating to the purposes of this Act, including full identification of all data and projections as to source, time, and methodology of development, as the [Secretary] may prescribe by regulation or order as necessary or appropriate for the proper exercise of functions under this Act.”</w:t>
      </w:r>
    </w:p>
    <w:p w:rsidR="000875AD" w:rsidRDefault="000875AD" w:rsidP="00E708DD">
      <w:pPr>
        <w:spacing w:before="100" w:beforeAutospacing="1" w:after="100" w:afterAutospacing="1"/>
        <w:jc w:val="both"/>
      </w:pPr>
      <w:r>
        <w:t>The objectives of the FEA Act are set forth in Section 5(b), 15 U.S.C. §764(b), of the FEA Act, which states that the Secretary shall, to the extent (s)he is authorized by Section 5(a) of the FEA Act,</w:t>
      </w:r>
    </w:p>
    <w:p w:rsidR="000875AD" w:rsidRDefault="000875AD" w:rsidP="00E708DD">
      <w:pPr>
        <w:ind w:left="720"/>
      </w:pPr>
      <w:r>
        <w:t>“(2) assess the adequacy of energy resources to meet demands in the immediate and longer range future for all sectors of the economy and for the general public;...</w:t>
      </w:r>
    </w:p>
    <w:p w:rsidR="000875AD" w:rsidRDefault="000875AD" w:rsidP="00E708DD">
      <w:pPr>
        <w:ind w:left="720"/>
      </w:pPr>
      <w:r>
        <w:t xml:space="preserve">(9) </w:t>
      </w:r>
      <w:r w:rsidR="00D640D3">
        <w:t>Collect</w:t>
      </w:r>
      <w:r>
        <w:t>, evaluate, assemble, and analyze energy information on reserves, production, demand, and related economic data;</w:t>
      </w:r>
    </w:p>
    <w:p w:rsidR="000875AD" w:rsidRDefault="000875AD" w:rsidP="00E708DD">
      <w:pPr>
        <w:ind w:left="720"/>
      </w:pPr>
      <w:r>
        <w:t xml:space="preserve">(12) </w:t>
      </w:r>
      <w:r w:rsidR="00D640D3">
        <w:t>Perform</w:t>
      </w:r>
      <w:r>
        <w:t xml:space="preserve"> such other functions as may be prescribed by law.”</w:t>
      </w:r>
    </w:p>
    <w:p w:rsidR="000875AD" w:rsidRDefault="000875AD" w:rsidP="00E708DD">
      <w:pPr>
        <w:spacing w:before="100" w:beforeAutospacing="1" w:after="100" w:afterAutospacing="1"/>
        <w:jc w:val="both"/>
      </w:pPr>
      <w:r>
        <w:t>As the authority for invoking Section 5(b) above, Section 5(a), and 15 U.S.C. §764(a), of the FEA Act in turn states:</w:t>
      </w:r>
    </w:p>
    <w:p w:rsidR="000875AD" w:rsidRDefault="000875AD" w:rsidP="00E708DD">
      <w:pPr>
        <w:ind w:left="720"/>
      </w:pPr>
      <w:r>
        <w:t>“Subject to the provisions and procedures set forth in this Act, the [Secretary] shall be responsible for such actions as are taken to assure that adequate provision is made to meet the energy needs of the Nation.  To that end, he shall make such plans and direct and conduct such programs related to the production, conservation, use, control, distribution, rationing, and allocation of all forms of energy as are appropriate in connection with only those authorities or functions:</w:t>
      </w:r>
    </w:p>
    <w:p w:rsidR="000875AD" w:rsidRDefault="000875AD" w:rsidP="00E708DD">
      <w:pPr>
        <w:ind w:left="720"/>
      </w:pPr>
      <w:r>
        <w:t xml:space="preserve">(1) </w:t>
      </w:r>
      <w:r w:rsidR="00D640D3">
        <w:t>Specifically</w:t>
      </w:r>
      <w:r>
        <w:t xml:space="preserve"> transferred to or vested in him by or pursuant to this Act;</w:t>
      </w:r>
    </w:p>
    <w:p w:rsidR="000875AD" w:rsidRDefault="000875AD" w:rsidP="00E708DD">
      <w:pPr>
        <w:ind w:left="720"/>
      </w:pPr>
      <w:proofErr w:type="gramStart"/>
      <w:r>
        <w:t xml:space="preserve">(3) </w:t>
      </w:r>
      <w:r w:rsidR="00D640D3">
        <w:t>Otherwise</w:t>
      </w:r>
      <w:r>
        <w:t xml:space="preserve"> specifically vested in the [Secretary] by the Congress.”</w:t>
      </w:r>
      <w:proofErr w:type="gramEnd"/>
    </w:p>
    <w:p w:rsidR="000875AD" w:rsidRDefault="000875AD" w:rsidP="00E708DD">
      <w:pPr>
        <w:spacing w:before="100" w:beforeAutospacing="1" w:after="100" w:afterAutospacing="1"/>
        <w:jc w:val="both"/>
      </w:pPr>
      <w:r>
        <w:t xml:space="preserve">Authority for invoking Section 5(a) of the FEA Act is provided by Section 52, 15 U.S.C. §790(a) and (b), of the FEA Act, which states </w:t>
      </w:r>
      <w:proofErr w:type="gramStart"/>
      <w:r>
        <w:t>that</w:t>
      </w:r>
      <w:proofErr w:type="gramEnd"/>
      <w:r>
        <w:t xml:space="preserve"> the Administrator of the EIA:</w:t>
      </w:r>
    </w:p>
    <w:p w:rsidR="000875AD" w:rsidRDefault="000875AD" w:rsidP="00E708DD">
      <w:pPr>
        <w:ind w:left="720"/>
      </w:pPr>
      <w:r>
        <w:t>“(</w:t>
      </w:r>
      <w:proofErr w:type="gramStart"/>
      <w:r>
        <w:t>a</w:t>
      </w:r>
      <w:proofErr w:type="gramEnd"/>
      <w:r>
        <w:t>)</w:t>
      </w:r>
      <w:r w:rsidR="00AF08A7">
        <w:t xml:space="preserve"> </w:t>
      </w:r>
      <w:r>
        <w:t>.</w:t>
      </w:r>
      <w:r w:rsidR="000F5B16">
        <w:t xml:space="preserve"> </w:t>
      </w:r>
      <w:r>
        <w:t>.</w:t>
      </w:r>
      <w:r w:rsidR="000F5B16">
        <w:t xml:space="preserve"> </w:t>
      </w:r>
      <w:r>
        <w:t>. [Shall] establish a National Energy Information System... [</w:t>
      </w:r>
      <w:proofErr w:type="gramStart"/>
      <w:r>
        <w:t>which</w:t>
      </w:r>
      <w:proofErr w:type="gramEnd"/>
      <w:r>
        <w:t>] shall contain such information as is required to provide a description of and facilitate analysis of energy supply and consumption...</w:t>
      </w:r>
    </w:p>
    <w:p w:rsidR="000875AD" w:rsidRDefault="000875AD" w:rsidP="00E708DD">
      <w:pPr>
        <w:ind w:left="720"/>
      </w:pPr>
      <w:r>
        <w:t>(b)</w:t>
      </w:r>
      <w:r w:rsidR="00AF08A7">
        <w:t xml:space="preserve"> </w:t>
      </w:r>
      <w:r>
        <w:t>.</w:t>
      </w:r>
      <w:r w:rsidR="000F5B16">
        <w:t xml:space="preserve"> </w:t>
      </w:r>
      <w:r>
        <w:t>.</w:t>
      </w:r>
      <w:r w:rsidR="000F5B16">
        <w:t xml:space="preserve"> </w:t>
      </w:r>
      <w:r>
        <w:t>.</w:t>
      </w:r>
      <w:r w:rsidR="004E1353">
        <w:t xml:space="preserve"> </w:t>
      </w:r>
      <w:r>
        <w:t>the System shall contain such energy information as is necessary to carry out the Administration's statistical and forecasting activities..., and such energy information as is required to define and permit analysis of</w:t>
      </w:r>
      <w:r w:rsidR="000F5B16">
        <w:t xml:space="preserve"> </w:t>
      </w:r>
      <w:r>
        <w:t>.</w:t>
      </w:r>
      <w:r w:rsidR="000F5B16">
        <w:t xml:space="preserve"> </w:t>
      </w:r>
      <w:r>
        <w:t>.</w:t>
      </w:r>
      <w:r w:rsidR="000F5B16">
        <w:t xml:space="preserve"> </w:t>
      </w:r>
      <w:r>
        <w:t>.</w:t>
      </w:r>
    </w:p>
    <w:p w:rsidR="000875AD" w:rsidRDefault="000875AD" w:rsidP="00E708DD">
      <w:pPr>
        <w:ind w:left="1440"/>
      </w:pPr>
      <w:r>
        <w:t>(1) the institutional structure of the energy supply system, including patterns of ownership and control of mineral fuel and non-mineral energy resources and the production, distribution, and marketing of mineral fuels and electricity;</w:t>
      </w:r>
    </w:p>
    <w:p w:rsidR="000875AD" w:rsidRDefault="000875AD" w:rsidP="00E708DD">
      <w:pPr>
        <w:ind w:left="1440"/>
      </w:pPr>
      <w:r>
        <w:t xml:space="preserve">(2) </w:t>
      </w:r>
      <w:proofErr w:type="gramStart"/>
      <w:r>
        <w:t>the</w:t>
      </w:r>
      <w:proofErr w:type="gramEnd"/>
      <w:r>
        <w:t xml:space="preserve"> consumption of mineral fuels, non-mineral energy resources, and electricity by such classes, sectors, and regions as may be appropriate for the purposes of this Act;</w:t>
      </w:r>
    </w:p>
    <w:p w:rsidR="000875AD" w:rsidRDefault="000875AD" w:rsidP="00E708DD">
      <w:pPr>
        <w:ind w:left="1440"/>
      </w:pPr>
      <w:r>
        <w:t xml:space="preserve">(3) </w:t>
      </w:r>
      <w:proofErr w:type="gramStart"/>
      <w:r>
        <w:t>the</w:t>
      </w:r>
      <w:proofErr w:type="gramEnd"/>
      <w:r>
        <w:t xml:space="preserve"> sensitivity of energy resource reserves, exploration, development, production, transportation, and consumption to economic factors, environmental constraints, technological improvements, and substitutability of alternate energy sources;</w:t>
      </w:r>
      <w:r w:rsidR="00632D4B">
        <w:t xml:space="preserve"> </w:t>
      </w:r>
      <w:r w:rsidR="000F5B16">
        <w:t>. . .</w:t>
      </w:r>
    </w:p>
    <w:p w:rsidR="000875AD" w:rsidRDefault="000875AD" w:rsidP="00E708DD">
      <w:pPr>
        <w:ind w:left="1440"/>
      </w:pPr>
      <w:r>
        <w:t>(5) .</w:t>
      </w:r>
      <w:r w:rsidR="000F5B16">
        <w:t xml:space="preserve"> </w:t>
      </w:r>
      <w:r>
        <w:t>.</w:t>
      </w:r>
      <w:r w:rsidR="000F5B16">
        <w:t xml:space="preserve"> </w:t>
      </w:r>
      <w:r>
        <w:t>.</w:t>
      </w:r>
      <w:r w:rsidR="000F5B16">
        <w:t xml:space="preserve"> </w:t>
      </w:r>
      <w:r>
        <w:t>industrial, labor, and regional impacts of changes and patterns of energy supply and consumption</w:t>
      </w:r>
      <w:r w:rsidR="000F5B16">
        <w:t xml:space="preserve"> </w:t>
      </w:r>
      <w:r>
        <w:t>.</w:t>
      </w:r>
      <w:r w:rsidR="000F5B16">
        <w:t xml:space="preserve"> </w:t>
      </w:r>
      <w:r>
        <w:t>.</w:t>
      </w:r>
      <w:r w:rsidR="000F5B16">
        <w:t xml:space="preserve"> </w:t>
      </w:r>
      <w:r>
        <w:t>.”</w:t>
      </w:r>
    </w:p>
    <w:p w:rsidR="003C757B" w:rsidRDefault="003C757B" w:rsidP="00DB3EEB">
      <w:pPr>
        <w:rPr>
          <w:rStyle w:val="Heading5Char"/>
          <w:rFonts w:eastAsia="Calibri"/>
        </w:rPr>
      </w:pPr>
    </w:p>
    <w:p w:rsidR="000875AD" w:rsidRPr="00955EC2" w:rsidRDefault="000875AD" w:rsidP="00E708DD">
      <w:pPr>
        <w:pStyle w:val="Heading2"/>
        <w:jc w:val="both"/>
        <w:rPr>
          <w:rStyle w:val="Heading5Char"/>
          <w:rFonts w:eastAsia="Calibri"/>
        </w:rPr>
      </w:pPr>
      <w:bookmarkStart w:id="6" w:name="_Toc343524146"/>
      <w:r w:rsidRPr="003806C8">
        <w:rPr>
          <w:rStyle w:val="Heading5Char"/>
          <w:rFonts w:eastAsia="Calibri"/>
        </w:rPr>
        <w:t xml:space="preserve">A.2. Needs and </w:t>
      </w:r>
      <w:r w:rsidRPr="00955EC2">
        <w:rPr>
          <w:rStyle w:val="Heading5Char"/>
          <w:rFonts w:eastAsia="Calibri"/>
        </w:rPr>
        <w:t>Uses of Data</w:t>
      </w:r>
      <w:bookmarkEnd w:id="6"/>
    </w:p>
    <w:p w:rsidR="000875AD" w:rsidRDefault="003806C8" w:rsidP="00A46004">
      <w:pPr>
        <w:pStyle w:val="Heading3"/>
      </w:pPr>
      <w:bookmarkStart w:id="7" w:name="_Toc343524147"/>
      <w:r w:rsidRPr="003806C8">
        <w:t xml:space="preserve">A.2.1. Overview of Data </w:t>
      </w:r>
      <w:r w:rsidR="00CB1BC4">
        <w:t xml:space="preserve">Needs and </w:t>
      </w:r>
      <w:r w:rsidRPr="003806C8">
        <w:t>Uses</w:t>
      </w:r>
      <w:bookmarkEnd w:id="7"/>
    </w:p>
    <w:p w:rsidR="00D65805" w:rsidRDefault="006625AF" w:rsidP="00174195">
      <w:pPr>
        <w:pStyle w:val="z-TopofForm"/>
        <w:spacing w:before="120" w:after="100" w:afterAutospacing="1" w:line="276" w:lineRule="auto"/>
        <w:jc w:val="both"/>
        <w:rPr>
          <w:rFonts w:ascii="Calibri" w:hAnsi="Calibri"/>
          <w:sz w:val="22"/>
          <w:szCs w:val="22"/>
        </w:rPr>
      </w:pPr>
      <w:r>
        <w:rPr>
          <w:rFonts w:ascii="Calibri" w:hAnsi="Calibri"/>
          <w:sz w:val="22"/>
          <w:szCs w:val="22"/>
        </w:rPr>
        <w:t xml:space="preserve">EIA uses the data collected on the electric power surveys to </w:t>
      </w:r>
      <w:r w:rsidRPr="006625AF">
        <w:rPr>
          <w:rFonts w:ascii="Calibri" w:hAnsi="Calibri"/>
          <w:sz w:val="22"/>
          <w:szCs w:val="22"/>
        </w:rPr>
        <w:t xml:space="preserve">answer queries from the </w:t>
      </w:r>
      <w:r w:rsidR="00D35D1E">
        <w:rPr>
          <w:rFonts w:ascii="Calibri" w:hAnsi="Calibri"/>
          <w:sz w:val="22"/>
          <w:szCs w:val="22"/>
        </w:rPr>
        <w:t xml:space="preserve">U.S. </w:t>
      </w:r>
      <w:r w:rsidRPr="006625AF">
        <w:rPr>
          <w:rFonts w:ascii="Calibri" w:hAnsi="Calibri"/>
          <w:sz w:val="22"/>
          <w:szCs w:val="22"/>
        </w:rPr>
        <w:t xml:space="preserve">Congress, other </w:t>
      </w:r>
      <w:r w:rsidR="00860937">
        <w:rPr>
          <w:rFonts w:ascii="Calibri" w:hAnsi="Calibri"/>
          <w:sz w:val="22"/>
          <w:szCs w:val="22"/>
        </w:rPr>
        <w:t>F</w:t>
      </w:r>
      <w:r w:rsidRPr="006625AF">
        <w:rPr>
          <w:rFonts w:ascii="Calibri" w:hAnsi="Calibri"/>
          <w:sz w:val="22"/>
          <w:szCs w:val="22"/>
        </w:rPr>
        <w:t xml:space="preserve">ederal and </w:t>
      </w:r>
      <w:r w:rsidR="00C06F26">
        <w:rPr>
          <w:rFonts w:ascii="Calibri" w:hAnsi="Calibri"/>
          <w:sz w:val="22"/>
          <w:szCs w:val="22"/>
        </w:rPr>
        <w:t>S</w:t>
      </w:r>
      <w:r w:rsidRPr="006625AF">
        <w:rPr>
          <w:rFonts w:ascii="Calibri" w:hAnsi="Calibri"/>
          <w:sz w:val="22"/>
          <w:szCs w:val="22"/>
        </w:rPr>
        <w:t>tate agencies, the electric power industry, and the general public</w:t>
      </w:r>
      <w:r w:rsidR="00D35D1E">
        <w:rPr>
          <w:rFonts w:ascii="Calibri" w:hAnsi="Calibri"/>
          <w:sz w:val="22"/>
          <w:szCs w:val="22"/>
        </w:rPr>
        <w:t>;</w:t>
      </w:r>
      <w:r w:rsidR="00D35D1E" w:rsidRPr="006625AF">
        <w:rPr>
          <w:rFonts w:ascii="Calibri" w:hAnsi="Calibri"/>
          <w:sz w:val="22"/>
          <w:szCs w:val="22"/>
        </w:rPr>
        <w:t xml:space="preserve"> </w:t>
      </w:r>
      <w:r w:rsidRPr="006625AF">
        <w:rPr>
          <w:rFonts w:ascii="Calibri" w:hAnsi="Calibri"/>
          <w:sz w:val="22"/>
          <w:szCs w:val="22"/>
        </w:rPr>
        <w:t>and as input to the National Energy Modeling System and to EIA’s other forecasting and analytical activities</w:t>
      </w:r>
      <w:r w:rsidR="00D65805">
        <w:rPr>
          <w:rFonts w:ascii="Calibri" w:hAnsi="Calibri"/>
          <w:sz w:val="22"/>
          <w:szCs w:val="22"/>
        </w:rPr>
        <w:t>.  Other users of the data include p</w:t>
      </w:r>
      <w:r w:rsidR="0045011F" w:rsidRPr="006258FB">
        <w:rPr>
          <w:rFonts w:ascii="Calibri" w:hAnsi="Calibri"/>
          <w:sz w:val="22"/>
          <w:szCs w:val="22"/>
        </w:rPr>
        <w:t xml:space="preserve">olicy makers, regulators, energy </w:t>
      </w:r>
      <w:r w:rsidR="00D65805">
        <w:rPr>
          <w:rFonts w:ascii="Calibri" w:hAnsi="Calibri"/>
          <w:sz w:val="22"/>
          <w:szCs w:val="22"/>
        </w:rPr>
        <w:t>market analysts</w:t>
      </w:r>
      <w:r w:rsidR="0045011F" w:rsidRPr="006258FB">
        <w:rPr>
          <w:rFonts w:ascii="Calibri" w:hAnsi="Calibri"/>
          <w:sz w:val="22"/>
          <w:szCs w:val="22"/>
        </w:rPr>
        <w:t xml:space="preserve">, and the </w:t>
      </w:r>
      <w:r w:rsidR="008F1CEA">
        <w:rPr>
          <w:rFonts w:ascii="Calibri" w:hAnsi="Calibri"/>
          <w:sz w:val="22"/>
          <w:szCs w:val="22"/>
        </w:rPr>
        <w:t>energy</w:t>
      </w:r>
      <w:r w:rsidR="0045011F" w:rsidRPr="006258FB">
        <w:rPr>
          <w:rFonts w:ascii="Calibri" w:hAnsi="Calibri"/>
          <w:sz w:val="22"/>
          <w:szCs w:val="22"/>
        </w:rPr>
        <w:t xml:space="preserve"> industr</w:t>
      </w:r>
      <w:r w:rsidR="008F1CEA">
        <w:rPr>
          <w:rFonts w:ascii="Calibri" w:hAnsi="Calibri"/>
          <w:sz w:val="22"/>
          <w:szCs w:val="22"/>
        </w:rPr>
        <w:t>ies</w:t>
      </w:r>
      <w:r w:rsidR="00D65805">
        <w:rPr>
          <w:rFonts w:ascii="Calibri" w:hAnsi="Calibri"/>
          <w:sz w:val="22"/>
          <w:szCs w:val="22"/>
        </w:rPr>
        <w:t>.</w:t>
      </w:r>
    </w:p>
    <w:p w:rsidR="000A202B" w:rsidRPr="00B40728" w:rsidRDefault="00D65805" w:rsidP="00B40728">
      <w:pPr>
        <w:pStyle w:val="z-TopofForm"/>
        <w:spacing w:before="100" w:beforeAutospacing="1" w:after="100" w:afterAutospacing="1" w:line="276" w:lineRule="auto"/>
        <w:jc w:val="both"/>
        <w:rPr>
          <w:rFonts w:ascii="Calibri" w:hAnsi="Calibri"/>
          <w:sz w:val="22"/>
          <w:szCs w:val="22"/>
        </w:rPr>
      </w:pPr>
      <w:r w:rsidRPr="006258FB">
        <w:rPr>
          <w:rFonts w:ascii="Calibri" w:hAnsi="Calibri"/>
          <w:sz w:val="22"/>
          <w:szCs w:val="22"/>
        </w:rPr>
        <w:t>In some cases</w:t>
      </w:r>
      <w:r w:rsidR="002176EB">
        <w:rPr>
          <w:rFonts w:ascii="Calibri" w:hAnsi="Calibri"/>
          <w:sz w:val="22"/>
          <w:szCs w:val="22"/>
        </w:rPr>
        <w:t>,</w:t>
      </w:r>
      <w:r w:rsidRPr="006258FB">
        <w:rPr>
          <w:rFonts w:ascii="Calibri" w:hAnsi="Calibri"/>
          <w:sz w:val="22"/>
          <w:szCs w:val="22"/>
        </w:rPr>
        <w:t xml:space="preserve"> </w:t>
      </w:r>
      <w:r w:rsidR="00C06F26">
        <w:rPr>
          <w:rFonts w:ascii="Calibri" w:hAnsi="Calibri"/>
          <w:sz w:val="22"/>
          <w:szCs w:val="22"/>
        </w:rPr>
        <w:t>S</w:t>
      </w:r>
      <w:r w:rsidRPr="006258FB">
        <w:rPr>
          <w:rFonts w:ascii="Calibri" w:hAnsi="Calibri"/>
          <w:sz w:val="22"/>
          <w:szCs w:val="22"/>
        </w:rPr>
        <w:t xml:space="preserve">tates have reduced their own data collection efforts with the intention of relying on the EIA for many of their information needs.  </w:t>
      </w:r>
      <w:r w:rsidR="00615516" w:rsidRPr="006258FB">
        <w:rPr>
          <w:rFonts w:ascii="Calibri" w:hAnsi="Calibri"/>
          <w:sz w:val="22"/>
          <w:szCs w:val="22"/>
        </w:rPr>
        <w:t xml:space="preserve">In the absence of the centralized and public data collection by the EIA, each </w:t>
      </w:r>
      <w:r w:rsidR="00C06F26">
        <w:rPr>
          <w:rFonts w:ascii="Calibri" w:hAnsi="Calibri"/>
          <w:sz w:val="22"/>
          <w:szCs w:val="22"/>
        </w:rPr>
        <w:t>S</w:t>
      </w:r>
      <w:r w:rsidR="00615516" w:rsidRPr="006258FB">
        <w:rPr>
          <w:rFonts w:ascii="Calibri" w:hAnsi="Calibri"/>
          <w:sz w:val="22"/>
          <w:szCs w:val="22"/>
        </w:rPr>
        <w:t>tate w</w:t>
      </w:r>
      <w:r w:rsidR="00DC6AB0">
        <w:rPr>
          <w:rFonts w:ascii="Calibri" w:hAnsi="Calibri"/>
          <w:sz w:val="22"/>
          <w:szCs w:val="22"/>
        </w:rPr>
        <w:t>ill</w:t>
      </w:r>
      <w:r w:rsidR="00615516" w:rsidRPr="006258FB">
        <w:rPr>
          <w:rFonts w:ascii="Calibri" w:hAnsi="Calibri"/>
          <w:sz w:val="22"/>
          <w:szCs w:val="22"/>
        </w:rPr>
        <w:t xml:space="preserve"> have to undertake its own data collection effort, in many cases requesting duplicative information from firms with operations that cross </w:t>
      </w:r>
      <w:r w:rsidR="00C06F26">
        <w:rPr>
          <w:rFonts w:ascii="Calibri" w:hAnsi="Calibri"/>
          <w:sz w:val="22"/>
          <w:szCs w:val="22"/>
        </w:rPr>
        <w:t>S</w:t>
      </w:r>
      <w:r w:rsidR="00615516" w:rsidRPr="006258FB">
        <w:rPr>
          <w:rFonts w:ascii="Calibri" w:hAnsi="Calibri"/>
          <w:sz w:val="22"/>
          <w:szCs w:val="22"/>
        </w:rPr>
        <w:t>tate lines.  The EIA data collection ensures consistent data at minimum cost to the public and respondents.</w:t>
      </w:r>
    </w:p>
    <w:p w:rsidR="0095684D" w:rsidRDefault="0095684D" w:rsidP="00174195">
      <w:pPr>
        <w:pStyle w:val="z-TopofForm"/>
        <w:spacing w:before="100" w:beforeAutospacing="1" w:line="276" w:lineRule="auto"/>
        <w:jc w:val="both"/>
        <w:rPr>
          <w:rFonts w:ascii="Calibri" w:hAnsi="Calibri"/>
          <w:sz w:val="22"/>
          <w:szCs w:val="22"/>
        </w:rPr>
      </w:pPr>
      <w:r>
        <w:rPr>
          <w:rFonts w:ascii="Calibri" w:hAnsi="Calibri"/>
          <w:sz w:val="22"/>
          <w:szCs w:val="22"/>
        </w:rPr>
        <w:t xml:space="preserve">The data collected on the </w:t>
      </w:r>
      <w:r w:rsidR="00CD4D88">
        <w:rPr>
          <w:rFonts w:ascii="Calibri" w:hAnsi="Calibri"/>
          <w:sz w:val="22"/>
          <w:szCs w:val="22"/>
        </w:rPr>
        <w:t>Form</w:t>
      </w:r>
      <w:r w:rsidR="00C06F26">
        <w:rPr>
          <w:rFonts w:ascii="Calibri" w:hAnsi="Calibri"/>
          <w:sz w:val="22"/>
          <w:szCs w:val="22"/>
        </w:rPr>
        <w:t>s</w:t>
      </w:r>
      <w:r w:rsidR="00CD4D88">
        <w:rPr>
          <w:rFonts w:ascii="Calibri" w:hAnsi="Calibri"/>
          <w:sz w:val="22"/>
          <w:szCs w:val="22"/>
        </w:rPr>
        <w:t xml:space="preserve"> </w:t>
      </w:r>
      <w:r>
        <w:rPr>
          <w:rFonts w:ascii="Calibri" w:hAnsi="Calibri"/>
          <w:sz w:val="22"/>
          <w:szCs w:val="22"/>
        </w:rPr>
        <w:t xml:space="preserve">EIA-861 and </w:t>
      </w:r>
      <w:r w:rsidR="00CD4D88">
        <w:rPr>
          <w:rFonts w:ascii="Calibri" w:hAnsi="Calibri"/>
          <w:sz w:val="22"/>
          <w:szCs w:val="22"/>
        </w:rPr>
        <w:t>EIA-</w:t>
      </w:r>
      <w:r>
        <w:rPr>
          <w:rFonts w:ascii="Calibri" w:hAnsi="Calibri"/>
          <w:sz w:val="22"/>
          <w:szCs w:val="22"/>
        </w:rPr>
        <w:t xml:space="preserve">923 surveys </w:t>
      </w:r>
      <w:r w:rsidR="00F10378">
        <w:rPr>
          <w:rFonts w:ascii="Calibri" w:hAnsi="Calibri"/>
          <w:sz w:val="22"/>
          <w:szCs w:val="22"/>
        </w:rPr>
        <w:t xml:space="preserve">are </w:t>
      </w:r>
      <w:r>
        <w:rPr>
          <w:rFonts w:ascii="Calibri" w:hAnsi="Calibri"/>
          <w:sz w:val="22"/>
          <w:szCs w:val="22"/>
        </w:rPr>
        <w:t xml:space="preserve">reported in Internet-based data files at the individual establishment level, and </w:t>
      </w:r>
      <w:r w:rsidR="00F10378">
        <w:rPr>
          <w:rFonts w:ascii="Calibri" w:hAnsi="Calibri"/>
          <w:sz w:val="22"/>
          <w:szCs w:val="22"/>
        </w:rPr>
        <w:t>are</w:t>
      </w:r>
      <w:r>
        <w:rPr>
          <w:rFonts w:ascii="Calibri" w:hAnsi="Calibri"/>
          <w:sz w:val="22"/>
          <w:szCs w:val="22"/>
        </w:rPr>
        <w:t xml:space="preserve"> reported or used in many EIA reports</w:t>
      </w:r>
      <w:r w:rsidR="003238CA">
        <w:rPr>
          <w:rFonts w:ascii="Calibri" w:hAnsi="Calibri"/>
          <w:sz w:val="22"/>
          <w:szCs w:val="22"/>
        </w:rPr>
        <w:t>,</w:t>
      </w:r>
      <w:r>
        <w:rPr>
          <w:rFonts w:ascii="Calibri" w:hAnsi="Calibri"/>
          <w:sz w:val="22"/>
          <w:szCs w:val="22"/>
        </w:rPr>
        <w:t xml:space="preserve"> including:</w:t>
      </w:r>
    </w:p>
    <w:p w:rsidR="008B54F1" w:rsidRPr="008B54F1" w:rsidRDefault="008B54F1" w:rsidP="00A62D30">
      <w:pPr>
        <w:pStyle w:val="ListParagraph"/>
        <w:numPr>
          <w:ilvl w:val="0"/>
          <w:numId w:val="6"/>
        </w:numPr>
        <w:tabs>
          <w:tab w:val="left" w:pos="540"/>
        </w:tabs>
        <w:spacing w:before="120" w:after="120"/>
        <w:ind w:right="1440"/>
        <w:contextualSpacing w:val="0"/>
      </w:pPr>
      <w:r w:rsidRPr="008B54F1">
        <w:t xml:space="preserve">Electricity Monthly Update </w:t>
      </w:r>
      <w:r>
        <w:t>(</w:t>
      </w:r>
      <w:r w:rsidRPr="008B54F1">
        <w:rPr>
          <w:sz w:val="18"/>
        </w:rPr>
        <w:t>http://www.eia.gov/electricity/monthly/update/)</w:t>
      </w:r>
    </w:p>
    <w:p w:rsidR="008B54F1" w:rsidRPr="008B54F1" w:rsidRDefault="008B54F1" w:rsidP="00A62D30">
      <w:pPr>
        <w:pStyle w:val="ListParagraph"/>
        <w:numPr>
          <w:ilvl w:val="0"/>
          <w:numId w:val="6"/>
        </w:numPr>
        <w:tabs>
          <w:tab w:val="left" w:pos="540"/>
        </w:tabs>
        <w:spacing w:before="120" w:after="120"/>
        <w:ind w:right="1440"/>
        <w:contextualSpacing w:val="0"/>
        <w:rPr>
          <w:sz w:val="18"/>
        </w:rPr>
      </w:pPr>
      <w:r w:rsidRPr="008B54F1">
        <w:t>Electric Power Monthly</w:t>
      </w:r>
      <w:r>
        <w:t xml:space="preserve"> (</w:t>
      </w:r>
      <w:r w:rsidRPr="008B54F1">
        <w:rPr>
          <w:sz w:val="18"/>
        </w:rPr>
        <w:t>http://www.eia.gov/electricity/monthly/)</w:t>
      </w:r>
    </w:p>
    <w:p w:rsidR="008B54F1" w:rsidRPr="008B54F1" w:rsidRDefault="008B54F1" w:rsidP="00A62D30">
      <w:pPr>
        <w:pStyle w:val="ListParagraph"/>
        <w:numPr>
          <w:ilvl w:val="0"/>
          <w:numId w:val="6"/>
        </w:numPr>
        <w:tabs>
          <w:tab w:val="left" w:pos="540"/>
        </w:tabs>
        <w:spacing w:before="120" w:after="120"/>
        <w:ind w:right="1440"/>
        <w:contextualSpacing w:val="0"/>
        <w:rPr>
          <w:sz w:val="18"/>
        </w:rPr>
      </w:pPr>
      <w:r w:rsidRPr="008B54F1">
        <w:t xml:space="preserve">Electric Power Annual </w:t>
      </w:r>
      <w:r w:rsidRPr="008B54F1">
        <w:rPr>
          <w:sz w:val="18"/>
        </w:rPr>
        <w:t>(http://www.eia.gov/electricity/annual/)</w:t>
      </w:r>
    </w:p>
    <w:p w:rsidR="008B54F1" w:rsidRDefault="008B54F1" w:rsidP="00A62D30">
      <w:pPr>
        <w:pStyle w:val="ListParagraph"/>
        <w:numPr>
          <w:ilvl w:val="0"/>
          <w:numId w:val="6"/>
        </w:numPr>
        <w:tabs>
          <w:tab w:val="left" w:pos="540"/>
        </w:tabs>
        <w:spacing w:before="120" w:after="120"/>
        <w:ind w:right="1440"/>
        <w:contextualSpacing w:val="0"/>
      </w:pPr>
      <w:r>
        <w:t xml:space="preserve">Electric Sales, Revenue, and Price </w:t>
      </w:r>
      <w:r w:rsidRPr="008B54F1">
        <w:rPr>
          <w:sz w:val="18"/>
        </w:rPr>
        <w:t>(http://www.eia.gov/electricity/sales_revenue_price/)</w:t>
      </w:r>
    </w:p>
    <w:p w:rsidR="008B54F1" w:rsidRDefault="008B54F1" w:rsidP="00A62D30">
      <w:pPr>
        <w:pStyle w:val="ListParagraph"/>
        <w:numPr>
          <w:ilvl w:val="0"/>
          <w:numId w:val="6"/>
        </w:numPr>
        <w:tabs>
          <w:tab w:val="left" w:pos="540"/>
        </w:tabs>
        <w:spacing w:before="120" w:after="120"/>
        <w:ind w:right="1440"/>
        <w:contextualSpacing w:val="0"/>
      </w:pPr>
      <w:r w:rsidRPr="008B54F1">
        <w:t>Annual Energy Review</w:t>
      </w:r>
      <w:r>
        <w:t xml:space="preserve"> </w:t>
      </w:r>
      <w:r w:rsidRPr="008B54F1">
        <w:rPr>
          <w:sz w:val="18"/>
        </w:rPr>
        <w:t>(http://www.eia.gov/totalenergy/data/annual/)</w:t>
      </w:r>
    </w:p>
    <w:p w:rsidR="008B54F1" w:rsidRPr="008B54F1" w:rsidRDefault="008B54F1" w:rsidP="00A62D30">
      <w:pPr>
        <w:pStyle w:val="ListParagraph"/>
        <w:numPr>
          <w:ilvl w:val="0"/>
          <w:numId w:val="6"/>
        </w:numPr>
        <w:tabs>
          <w:tab w:val="left" w:pos="540"/>
        </w:tabs>
        <w:spacing w:before="120" w:after="120"/>
        <w:ind w:right="1440"/>
        <w:contextualSpacing w:val="0"/>
      </w:pPr>
      <w:r>
        <w:t xml:space="preserve">Monthly Energy Review </w:t>
      </w:r>
      <w:r w:rsidRPr="008B54F1">
        <w:rPr>
          <w:sz w:val="18"/>
        </w:rPr>
        <w:t>(http://www.eia.gov/totalenergy/data/monthly/)</w:t>
      </w:r>
    </w:p>
    <w:p w:rsidR="008B54F1" w:rsidRPr="008B54F1" w:rsidRDefault="008B54F1" w:rsidP="00A62D30">
      <w:pPr>
        <w:pStyle w:val="ListParagraph"/>
        <w:numPr>
          <w:ilvl w:val="0"/>
          <w:numId w:val="6"/>
        </w:numPr>
        <w:tabs>
          <w:tab w:val="left" w:pos="540"/>
        </w:tabs>
        <w:spacing w:before="120" w:after="120"/>
        <w:ind w:right="1440"/>
        <w:contextualSpacing w:val="0"/>
      </w:pPr>
      <w:r w:rsidRPr="008B54F1">
        <w:t>Renewable Energy Annual</w:t>
      </w:r>
      <w:r>
        <w:t xml:space="preserve"> </w:t>
      </w:r>
      <w:r w:rsidRPr="008B54F1">
        <w:rPr>
          <w:sz w:val="18"/>
        </w:rPr>
        <w:t>(http://www.eia.gov/renewable/annual/)</w:t>
      </w:r>
    </w:p>
    <w:p w:rsidR="008B54F1" w:rsidRPr="008B54F1" w:rsidRDefault="008B54F1" w:rsidP="00A62D30">
      <w:pPr>
        <w:pStyle w:val="ListParagraph"/>
        <w:numPr>
          <w:ilvl w:val="0"/>
          <w:numId w:val="6"/>
        </w:numPr>
        <w:tabs>
          <w:tab w:val="left" w:pos="540"/>
        </w:tabs>
        <w:spacing w:before="120" w:after="120"/>
        <w:ind w:right="1440"/>
        <w:contextualSpacing w:val="0"/>
      </w:pPr>
      <w:r w:rsidRPr="008B54F1">
        <w:t>State Electricity Profiles</w:t>
      </w:r>
      <w:r>
        <w:t xml:space="preserve"> </w:t>
      </w:r>
      <w:r w:rsidRPr="008B54F1">
        <w:rPr>
          <w:sz w:val="18"/>
        </w:rPr>
        <w:t>(http://www.eia.gov/electricity/state/)</w:t>
      </w:r>
    </w:p>
    <w:p w:rsidR="008B54F1" w:rsidRPr="0005734F" w:rsidRDefault="008B54F1" w:rsidP="00A62D30">
      <w:pPr>
        <w:pStyle w:val="ListParagraph"/>
        <w:numPr>
          <w:ilvl w:val="0"/>
          <w:numId w:val="6"/>
        </w:numPr>
        <w:tabs>
          <w:tab w:val="left" w:pos="540"/>
        </w:tabs>
        <w:spacing w:before="120" w:after="120"/>
        <w:ind w:right="1440"/>
        <w:contextualSpacing w:val="0"/>
        <w:rPr>
          <w:sz w:val="18"/>
        </w:rPr>
      </w:pPr>
      <w:r w:rsidRPr="008B54F1">
        <w:t xml:space="preserve">Annual Energy </w:t>
      </w:r>
      <w:r w:rsidRPr="0005734F">
        <w:t>Outlook</w:t>
      </w:r>
      <w:r w:rsidRPr="0005734F">
        <w:rPr>
          <w:sz w:val="18"/>
        </w:rPr>
        <w:t xml:space="preserve"> </w:t>
      </w:r>
      <w:r w:rsidRPr="0005734F">
        <w:rPr>
          <w:sz w:val="18"/>
          <w:szCs w:val="18"/>
        </w:rPr>
        <w:t>(</w:t>
      </w:r>
      <w:hyperlink r:id="rId15" w:history="1">
        <w:r w:rsidRPr="0005734F">
          <w:rPr>
            <w:sz w:val="18"/>
            <w:szCs w:val="18"/>
          </w:rPr>
          <w:t>http://www.eia.gov/forecasts/aeo/er/</w:t>
        </w:r>
      </w:hyperlink>
      <w:r w:rsidRPr="0005734F">
        <w:rPr>
          <w:sz w:val="18"/>
          <w:szCs w:val="18"/>
        </w:rPr>
        <w:t>)</w:t>
      </w:r>
    </w:p>
    <w:p w:rsidR="008B54F1" w:rsidRPr="008B54F1" w:rsidRDefault="008B54F1" w:rsidP="00A62D30">
      <w:pPr>
        <w:pStyle w:val="ListParagraph"/>
        <w:numPr>
          <w:ilvl w:val="0"/>
          <w:numId w:val="6"/>
        </w:numPr>
        <w:tabs>
          <w:tab w:val="left" w:pos="540"/>
        </w:tabs>
        <w:spacing w:before="120" w:after="120"/>
        <w:ind w:right="1440"/>
        <w:contextualSpacing w:val="0"/>
      </w:pPr>
      <w:r w:rsidRPr="008B54F1">
        <w:rPr>
          <w:rFonts w:cs="Calibri"/>
        </w:rPr>
        <w:t xml:space="preserve">Short-Term Energy Outlook </w:t>
      </w:r>
      <w:r w:rsidRPr="008B54F1">
        <w:rPr>
          <w:rFonts w:cs="Calibri"/>
          <w:sz w:val="18"/>
        </w:rPr>
        <w:t>(http://www.eia.gov/forecasts/steo/)</w:t>
      </w:r>
    </w:p>
    <w:p w:rsidR="00D65805" w:rsidRDefault="00D65805" w:rsidP="00174195">
      <w:pPr>
        <w:pStyle w:val="z-TopofForm"/>
        <w:spacing w:before="100" w:beforeAutospacing="1" w:after="100" w:afterAutospacing="1" w:line="276" w:lineRule="auto"/>
        <w:jc w:val="both"/>
        <w:rPr>
          <w:rFonts w:ascii="Calibri" w:hAnsi="Calibri"/>
          <w:sz w:val="22"/>
          <w:szCs w:val="22"/>
        </w:rPr>
      </w:pPr>
      <w:r>
        <w:rPr>
          <w:rFonts w:ascii="Calibri" w:hAnsi="Calibri"/>
          <w:sz w:val="22"/>
          <w:szCs w:val="22"/>
        </w:rPr>
        <w:t xml:space="preserve">Specific applications of the data collected by the </w:t>
      </w:r>
      <w:r w:rsidR="00CD4D88">
        <w:rPr>
          <w:rFonts w:ascii="Calibri" w:hAnsi="Calibri"/>
          <w:sz w:val="22"/>
          <w:szCs w:val="22"/>
        </w:rPr>
        <w:t>Form</w:t>
      </w:r>
      <w:r w:rsidR="00C06F26">
        <w:rPr>
          <w:rFonts w:ascii="Calibri" w:hAnsi="Calibri"/>
          <w:sz w:val="22"/>
          <w:szCs w:val="22"/>
        </w:rPr>
        <w:t>s</w:t>
      </w:r>
      <w:r w:rsidR="00CD4D88">
        <w:rPr>
          <w:rFonts w:ascii="Calibri" w:hAnsi="Calibri"/>
          <w:sz w:val="22"/>
          <w:szCs w:val="22"/>
        </w:rPr>
        <w:t xml:space="preserve"> </w:t>
      </w:r>
      <w:r>
        <w:rPr>
          <w:rFonts w:ascii="Calibri" w:hAnsi="Calibri"/>
          <w:sz w:val="22"/>
          <w:szCs w:val="22"/>
        </w:rPr>
        <w:t>EIA-861 and EIA-923 surveys are discussed</w:t>
      </w:r>
      <w:r w:rsidR="002176EB">
        <w:rPr>
          <w:rFonts w:ascii="Calibri" w:hAnsi="Calibri"/>
          <w:sz w:val="22"/>
          <w:szCs w:val="22"/>
        </w:rPr>
        <w:t>,</w:t>
      </w:r>
      <w:r>
        <w:rPr>
          <w:rFonts w:ascii="Calibri" w:hAnsi="Calibri"/>
          <w:sz w:val="22"/>
          <w:szCs w:val="22"/>
        </w:rPr>
        <w:t xml:space="preserve"> below</w:t>
      </w:r>
      <w:r w:rsidR="002176EB">
        <w:rPr>
          <w:rFonts w:ascii="Calibri" w:hAnsi="Calibri"/>
          <w:sz w:val="22"/>
          <w:szCs w:val="22"/>
        </w:rPr>
        <w:t>,</w:t>
      </w:r>
      <w:r>
        <w:rPr>
          <w:rFonts w:ascii="Calibri" w:hAnsi="Calibri"/>
          <w:sz w:val="22"/>
          <w:szCs w:val="22"/>
        </w:rPr>
        <w:t xml:space="preserve"> in Section A.2.3.</w:t>
      </w:r>
    </w:p>
    <w:p w:rsidR="003806C8" w:rsidRDefault="003806C8" w:rsidP="000A47ED">
      <w:pPr>
        <w:pStyle w:val="Heading3"/>
      </w:pPr>
      <w:bookmarkStart w:id="8" w:name="_Toc524334488"/>
      <w:bookmarkStart w:id="9" w:name="_Toc524334570"/>
      <w:bookmarkStart w:id="10" w:name="_Toc524334718"/>
      <w:bookmarkStart w:id="11" w:name="_Toc524334911"/>
      <w:bookmarkStart w:id="12" w:name="_Toc343524148"/>
      <w:r w:rsidRPr="00583461">
        <w:t>A.2.2. Overview of Data Collections</w:t>
      </w:r>
      <w:bookmarkEnd w:id="8"/>
      <w:bookmarkEnd w:id="9"/>
      <w:bookmarkEnd w:id="10"/>
      <w:bookmarkEnd w:id="11"/>
      <w:bookmarkEnd w:id="12"/>
    </w:p>
    <w:p w:rsidR="0045011F" w:rsidRDefault="0045011F" w:rsidP="00174195">
      <w:pPr>
        <w:spacing w:before="120" w:after="0"/>
        <w:jc w:val="both"/>
      </w:pPr>
      <w:r w:rsidRPr="006258FB">
        <w:t xml:space="preserve">The EIA electric power data forms collect a </w:t>
      </w:r>
      <w:r w:rsidR="00EE4505">
        <w:t>wide</w:t>
      </w:r>
      <w:r w:rsidR="00EE4505" w:rsidRPr="006258FB">
        <w:t xml:space="preserve"> </w:t>
      </w:r>
      <w:r w:rsidRPr="006258FB">
        <w:t>range of information about the industry while</w:t>
      </w:r>
      <w:r w:rsidR="00EE4505">
        <w:t xml:space="preserve"> seeking to</w:t>
      </w:r>
      <w:r w:rsidRPr="006258FB">
        <w:t xml:space="preserve"> </w:t>
      </w:r>
      <w:r w:rsidR="00EE4505" w:rsidRPr="006258FB">
        <w:t>minimiz</w:t>
      </w:r>
      <w:r w:rsidR="00EE4505">
        <w:t>e</w:t>
      </w:r>
      <w:r w:rsidR="00EE4505" w:rsidRPr="006258FB">
        <w:t xml:space="preserve"> </w:t>
      </w:r>
      <w:r w:rsidRPr="006258FB">
        <w:t xml:space="preserve">respondent burden and </w:t>
      </w:r>
      <w:r w:rsidR="00BD565F">
        <w:t xml:space="preserve">avoid </w:t>
      </w:r>
      <w:r w:rsidRPr="006258FB">
        <w:t>duplicat</w:t>
      </w:r>
      <w:r w:rsidR="00BD565F">
        <w:t>iv</w:t>
      </w:r>
      <w:r w:rsidRPr="006258FB">
        <w:t xml:space="preserve">e data collection.  </w:t>
      </w:r>
      <w:r w:rsidR="00131194">
        <w:t xml:space="preserve">Data </w:t>
      </w:r>
      <w:r w:rsidR="00C02BED">
        <w:t>are</w:t>
      </w:r>
      <w:r w:rsidR="00131194">
        <w:t xml:space="preserve"> collected using annual and monthly forms</w:t>
      </w:r>
      <w:r w:rsidRPr="006258FB">
        <w:t xml:space="preserve">.  Each annual form has a different set (or subset) of respondents </w:t>
      </w:r>
      <w:r w:rsidR="003D260D">
        <w:t xml:space="preserve">in order </w:t>
      </w:r>
      <w:r w:rsidRPr="006258FB">
        <w:t>to focus on each sector of the electric power industry.  The monthly forms collect information only from a sample/subset of the overall universe in order to minimize the burden on the industry.</w:t>
      </w:r>
    </w:p>
    <w:p w:rsidR="003806C8" w:rsidRDefault="003806C8" w:rsidP="000A47ED">
      <w:pPr>
        <w:pStyle w:val="Heading3"/>
      </w:pPr>
      <w:bookmarkStart w:id="13" w:name="_Toc524334489"/>
      <w:bookmarkStart w:id="14" w:name="_Toc524334571"/>
      <w:bookmarkStart w:id="15" w:name="_Toc524334719"/>
      <w:bookmarkStart w:id="16" w:name="_Toc524334912"/>
      <w:bookmarkStart w:id="17" w:name="_Toc343524149"/>
      <w:r w:rsidRPr="00583461">
        <w:t>A.2.3. Individual Form Data Uses</w:t>
      </w:r>
      <w:bookmarkEnd w:id="13"/>
      <w:bookmarkEnd w:id="14"/>
      <w:bookmarkEnd w:id="15"/>
      <w:bookmarkEnd w:id="16"/>
      <w:r w:rsidR="005006D5">
        <w:t xml:space="preserve"> and Modifications</w:t>
      </w:r>
      <w:bookmarkEnd w:id="17"/>
    </w:p>
    <w:p w:rsidR="005006D5" w:rsidRPr="0093717D" w:rsidRDefault="00A86EDF" w:rsidP="00174195">
      <w:pPr>
        <w:spacing w:before="120" w:after="100" w:afterAutospacing="1"/>
        <w:jc w:val="both"/>
      </w:pPr>
      <w:r w:rsidRPr="0093717D">
        <w:t xml:space="preserve">Note that copies of the proposed </w:t>
      </w:r>
      <w:r w:rsidR="005006D5" w:rsidRPr="0093717D">
        <w:t>forms</w:t>
      </w:r>
      <w:r w:rsidR="00EE4505" w:rsidRPr="0093717D">
        <w:t xml:space="preserve"> </w:t>
      </w:r>
      <w:r w:rsidR="00804F61">
        <w:t xml:space="preserve">accompany this supporting statement.  This includes </w:t>
      </w:r>
      <w:r w:rsidR="00131194" w:rsidRPr="0093717D">
        <w:t>copies of the EIA-861 and EIA-923 forms and instructions</w:t>
      </w:r>
      <w:r w:rsidR="00CC500A" w:rsidRPr="0093717D">
        <w:t xml:space="preserve"> illustrating the proposed revisions,</w:t>
      </w:r>
      <w:r w:rsidR="00131194" w:rsidRPr="0093717D">
        <w:t xml:space="preserve"> and the new EIA-861S form and instructions.</w:t>
      </w:r>
    </w:p>
    <w:p w:rsidR="00E25119" w:rsidRPr="000E60F9" w:rsidRDefault="00E25119" w:rsidP="000E60F9">
      <w:pPr>
        <w:spacing w:after="0" w:line="240" w:lineRule="auto"/>
        <w:rPr>
          <w:b/>
          <w:bCs/>
        </w:rPr>
      </w:pPr>
      <w:r w:rsidRPr="000E60F9">
        <w:rPr>
          <w:b/>
          <w:bCs/>
        </w:rPr>
        <w:t>Form EIA-861, “Annual Electric Power Industry Report”</w:t>
      </w:r>
    </w:p>
    <w:p w:rsidR="00A86EDF" w:rsidRDefault="00E25119" w:rsidP="0099723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00" w:afterAutospacing="1"/>
        <w:jc w:val="both"/>
      </w:pPr>
      <w:r w:rsidRPr="006258FB">
        <w:t xml:space="preserve">The Form EIA-861 is </w:t>
      </w:r>
      <w:r w:rsidR="00CB491D">
        <w:t xml:space="preserve">currently </w:t>
      </w:r>
      <w:r w:rsidRPr="006258FB">
        <w:t xml:space="preserve">a mandatory annual census of approximately 3,300 regulated entities and power marketers in the United States </w:t>
      </w:r>
      <w:r w:rsidR="00B40728">
        <w:t xml:space="preserve">primarily </w:t>
      </w:r>
      <w:r w:rsidRPr="006258FB">
        <w:rPr>
          <w:color w:val="000000"/>
        </w:rPr>
        <w:t xml:space="preserve">involved in the distribution </w:t>
      </w:r>
      <w:r w:rsidR="00B40728">
        <w:rPr>
          <w:color w:val="000000"/>
        </w:rPr>
        <w:t xml:space="preserve">and sale </w:t>
      </w:r>
      <w:r w:rsidRPr="006258FB">
        <w:rPr>
          <w:color w:val="000000"/>
        </w:rPr>
        <w:t>of electric energy.</w:t>
      </w:r>
      <w:r w:rsidRPr="006258FB">
        <w:t xml:space="preserve">  </w:t>
      </w:r>
      <w:r w:rsidR="00D640D3" w:rsidRPr="006258FB">
        <w:t>Data collected on the Form EIA-861 include revenues (associated with the sale of electricity), sales (</w:t>
      </w:r>
      <w:proofErr w:type="spellStart"/>
      <w:r w:rsidR="00D640D3" w:rsidRPr="006258FB">
        <w:t>megawatthours</w:t>
      </w:r>
      <w:proofErr w:type="spellEnd"/>
      <w:r w:rsidR="00D640D3" w:rsidRPr="006258FB">
        <w:t xml:space="preserve"> </w:t>
      </w:r>
      <w:r w:rsidR="00F11443">
        <w:t>[</w:t>
      </w:r>
      <w:proofErr w:type="spellStart"/>
      <w:r w:rsidR="00F11443">
        <w:t>MWh</w:t>
      </w:r>
      <w:proofErr w:type="spellEnd"/>
      <w:r w:rsidR="00F11443">
        <w:t xml:space="preserve">] </w:t>
      </w:r>
      <w:r w:rsidR="00D640D3" w:rsidRPr="006258FB">
        <w:t xml:space="preserve">delivered), number of customers, energy sources and disposition, </w:t>
      </w:r>
      <w:r w:rsidR="000E60F9">
        <w:t>G</w:t>
      </w:r>
      <w:r w:rsidR="00D640D3" w:rsidRPr="006258FB">
        <w:t xml:space="preserve">reen </w:t>
      </w:r>
      <w:r w:rsidR="000E60F9">
        <w:t>P</w:t>
      </w:r>
      <w:r w:rsidR="00D640D3" w:rsidRPr="006258FB">
        <w:t xml:space="preserve">ricing, </w:t>
      </w:r>
      <w:r w:rsidR="000E60F9">
        <w:t>N</w:t>
      </w:r>
      <w:r w:rsidR="00D640D3" w:rsidRPr="006258FB">
        <w:t xml:space="preserve">et </w:t>
      </w:r>
      <w:r w:rsidR="000E60F9">
        <w:t>M</w:t>
      </w:r>
      <w:r w:rsidR="00D640D3" w:rsidRPr="006258FB">
        <w:t>etering, electric operating revenue, demand-side management information, demand response</w:t>
      </w:r>
      <w:r w:rsidR="0093717D">
        <w:t xml:space="preserve"> and energy efficiency</w:t>
      </w:r>
      <w:r w:rsidR="00D640D3" w:rsidRPr="006258FB">
        <w:t xml:space="preserve"> information, and distributed generator information.</w:t>
      </w:r>
    </w:p>
    <w:p w:rsidR="00A86EDF" w:rsidRPr="000D5F36" w:rsidRDefault="00A86EDF" w:rsidP="00997235">
      <w:pPr>
        <w:pStyle w:val="BodyT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line="276" w:lineRule="auto"/>
        <w:jc w:val="both"/>
        <w:rPr>
          <w:rFonts w:ascii="Calibri" w:hAnsi="Calibri"/>
          <w:sz w:val="22"/>
          <w:szCs w:val="22"/>
        </w:rPr>
      </w:pPr>
      <w:r w:rsidRPr="000D5F36">
        <w:rPr>
          <w:rFonts w:ascii="Calibri" w:hAnsi="Calibri"/>
          <w:sz w:val="22"/>
          <w:szCs w:val="22"/>
        </w:rPr>
        <w:t xml:space="preserve">The information </w:t>
      </w:r>
      <w:r>
        <w:rPr>
          <w:rFonts w:ascii="Calibri" w:hAnsi="Calibri"/>
          <w:sz w:val="22"/>
          <w:szCs w:val="22"/>
        </w:rPr>
        <w:t xml:space="preserve">collected on the Form EIA-861 </w:t>
      </w:r>
      <w:r w:rsidRPr="000D5F36">
        <w:rPr>
          <w:rFonts w:ascii="Calibri" w:hAnsi="Calibri"/>
          <w:sz w:val="22"/>
          <w:szCs w:val="22"/>
        </w:rPr>
        <w:t xml:space="preserve">is used by </w:t>
      </w:r>
      <w:r w:rsidR="00BD565F">
        <w:rPr>
          <w:rFonts w:ascii="Calibri" w:hAnsi="Calibri"/>
          <w:sz w:val="22"/>
          <w:szCs w:val="22"/>
        </w:rPr>
        <w:t>EIA</w:t>
      </w:r>
      <w:r w:rsidRPr="000D5F36">
        <w:rPr>
          <w:rFonts w:ascii="Calibri" w:hAnsi="Calibri"/>
          <w:sz w:val="22"/>
          <w:szCs w:val="22"/>
        </w:rPr>
        <w:t xml:space="preserve"> </w:t>
      </w:r>
      <w:r>
        <w:rPr>
          <w:rFonts w:ascii="Calibri" w:hAnsi="Calibri"/>
          <w:sz w:val="22"/>
          <w:szCs w:val="22"/>
        </w:rPr>
        <w:t>and</w:t>
      </w:r>
      <w:r w:rsidRPr="000D5F36">
        <w:rPr>
          <w:rFonts w:ascii="Calibri" w:hAnsi="Calibri"/>
          <w:sz w:val="22"/>
          <w:szCs w:val="22"/>
        </w:rPr>
        <w:t xml:space="preserve"> oth</w:t>
      </w:r>
      <w:r>
        <w:rPr>
          <w:rFonts w:ascii="Calibri" w:hAnsi="Calibri"/>
          <w:sz w:val="22"/>
          <w:szCs w:val="22"/>
        </w:rPr>
        <w:t xml:space="preserve">er entities for </w:t>
      </w:r>
      <w:r w:rsidR="00BD565F">
        <w:rPr>
          <w:rFonts w:ascii="Calibri" w:hAnsi="Calibri"/>
          <w:sz w:val="22"/>
          <w:szCs w:val="22"/>
        </w:rPr>
        <w:t>many</w:t>
      </w:r>
      <w:r>
        <w:rPr>
          <w:rFonts w:ascii="Calibri" w:hAnsi="Calibri"/>
          <w:sz w:val="22"/>
          <w:szCs w:val="22"/>
        </w:rPr>
        <w:t xml:space="preserve"> purposes</w:t>
      </w:r>
      <w:r w:rsidR="00BD565F">
        <w:rPr>
          <w:rFonts w:ascii="Calibri" w:hAnsi="Calibri"/>
          <w:sz w:val="22"/>
          <w:szCs w:val="22"/>
        </w:rPr>
        <w:t>, including</w:t>
      </w:r>
      <w:r w:rsidR="00B6230B">
        <w:rPr>
          <w:rFonts w:ascii="Calibri" w:hAnsi="Calibri"/>
          <w:sz w:val="22"/>
          <w:szCs w:val="22"/>
        </w:rPr>
        <w:t xml:space="preserve"> to</w:t>
      </w:r>
      <w:r>
        <w:rPr>
          <w:rFonts w:ascii="Calibri" w:hAnsi="Calibri"/>
          <w:sz w:val="22"/>
          <w:szCs w:val="22"/>
        </w:rPr>
        <w:t>:</w:t>
      </w:r>
    </w:p>
    <w:p w:rsidR="00A86EDF" w:rsidRPr="000D5F36" w:rsidRDefault="00985589" w:rsidP="00A62D30">
      <w:pPr>
        <w:numPr>
          <w:ilvl w:val="0"/>
          <w:numId w:val="3"/>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pPr>
      <w:r>
        <w:t>A</w:t>
      </w:r>
      <w:r w:rsidR="00A86EDF" w:rsidRPr="000D5F36">
        <w:t xml:space="preserve">ccurately maintain the electric power </w:t>
      </w:r>
      <w:r w:rsidR="00A86EDF">
        <w:t xml:space="preserve">utility and service provider </w:t>
      </w:r>
      <w:r w:rsidR="00A86EDF" w:rsidRPr="000D5F36">
        <w:t>frame and to be a source from which samples are drawn for other electric power surveys</w:t>
      </w:r>
      <w:r w:rsidR="00AA6EBB">
        <w:t xml:space="preserve"> (</w:t>
      </w:r>
      <w:r w:rsidR="00A86EDF" w:rsidRPr="000D5F36">
        <w:t>e.g.</w:t>
      </w:r>
      <w:r w:rsidR="00AA6EBB">
        <w:t>,</w:t>
      </w:r>
      <w:r w:rsidR="00A86EDF" w:rsidRPr="000D5F36">
        <w:t xml:space="preserve"> Form EIA-826</w:t>
      </w:r>
      <w:r w:rsidR="00AA6EBB">
        <w:t>)</w:t>
      </w:r>
      <w:r w:rsidR="003C12C7">
        <w:rPr>
          <w:rStyle w:val="FootnoteReference"/>
        </w:rPr>
        <w:footnoteReference w:id="1"/>
      </w:r>
      <w:r w:rsidR="00B6230B">
        <w:t>;</w:t>
      </w:r>
    </w:p>
    <w:p w:rsidR="00A86EDF" w:rsidRPr="000D5F36" w:rsidRDefault="00985589" w:rsidP="00A62D30">
      <w:pPr>
        <w:numPr>
          <w:ilvl w:val="0"/>
          <w:numId w:val="3"/>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pPr>
      <w:r>
        <w:t>C</w:t>
      </w:r>
      <w:r w:rsidR="00A86EDF">
        <w:t>ollect data on retail and wholesale</w:t>
      </w:r>
      <w:r w:rsidR="00A86EDF" w:rsidRPr="000D5F36">
        <w:t xml:space="preserve"> electric power </w:t>
      </w:r>
      <w:r w:rsidR="00A86EDF">
        <w:t xml:space="preserve">prices and </w:t>
      </w:r>
      <w:r w:rsidR="00A86EDF" w:rsidRPr="000D5F36">
        <w:t>volumes</w:t>
      </w:r>
      <w:r w:rsidR="00A86EDF">
        <w:t xml:space="preserve">, and to </w:t>
      </w:r>
      <w:r w:rsidR="00A86EDF" w:rsidRPr="000D5F36">
        <w:t>monitor the changes in electricity prices in the States and sectors of the economy</w:t>
      </w:r>
      <w:r w:rsidR="00B6230B">
        <w:t>;</w:t>
      </w:r>
    </w:p>
    <w:p w:rsidR="00A86EDF" w:rsidRPr="000D5F36" w:rsidRDefault="00985589" w:rsidP="00A62D30">
      <w:pPr>
        <w:numPr>
          <w:ilvl w:val="0"/>
          <w:numId w:val="3"/>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pPr>
      <w:r>
        <w:t>C</w:t>
      </w:r>
      <w:r w:rsidR="00A86EDF">
        <w:t xml:space="preserve">ollect information related to energy efficiency, demand response, and renewable energy resources, including </w:t>
      </w:r>
      <w:r w:rsidR="000E60F9">
        <w:t>N</w:t>
      </w:r>
      <w:r w:rsidR="00A86EDF" w:rsidRPr="000D5F36">
        <w:t xml:space="preserve">et </w:t>
      </w:r>
      <w:r w:rsidR="000E60F9">
        <w:t>M</w:t>
      </w:r>
      <w:r w:rsidR="00A86EDF" w:rsidRPr="000D5F36">
        <w:t>etering</w:t>
      </w:r>
      <w:r w:rsidR="000E60F9">
        <w:t xml:space="preserve"> Programs</w:t>
      </w:r>
      <w:r w:rsidR="00A86EDF">
        <w:t xml:space="preserve">, </w:t>
      </w:r>
      <w:r w:rsidR="000E60F9">
        <w:t>G</w:t>
      </w:r>
      <w:r w:rsidR="00A86EDF" w:rsidRPr="000D5F36">
        <w:t xml:space="preserve">reen </w:t>
      </w:r>
      <w:r w:rsidR="000E60F9">
        <w:t>P</w:t>
      </w:r>
      <w:r w:rsidR="00A86EDF" w:rsidRPr="000D5F36">
        <w:t xml:space="preserve">ricing </w:t>
      </w:r>
      <w:r w:rsidR="000E60F9">
        <w:t>P</w:t>
      </w:r>
      <w:r w:rsidR="00A86EDF" w:rsidRPr="000D5F36">
        <w:t>rograms</w:t>
      </w:r>
      <w:r w:rsidR="00BD565F">
        <w:t>,</w:t>
      </w:r>
      <w:r w:rsidR="00A86EDF" w:rsidRPr="00D65805">
        <w:t xml:space="preserve"> </w:t>
      </w:r>
      <w:r w:rsidR="00A86EDF" w:rsidRPr="000D5F36">
        <w:t>distributed and dispersed generation resources</w:t>
      </w:r>
      <w:r w:rsidR="00BD565F">
        <w:t xml:space="preserve"> (e.g., rooftop solar)</w:t>
      </w:r>
      <w:r w:rsidR="00A86EDF">
        <w:t>,</w:t>
      </w:r>
      <w:r w:rsidR="00A86EDF" w:rsidRPr="0095684D">
        <w:t xml:space="preserve"> </w:t>
      </w:r>
      <w:r w:rsidR="00A86EDF" w:rsidRPr="000D5F36">
        <w:t xml:space="preserve">annual and incremental effects of </w:t>
      </w:r>
      <w:r w:rsidR="00A86EDF">
        <w:t>demand side management</w:t>
      </w:r>
      <w:r w:rsidR="00A86EDF" w:rsidRPr="000D5F36">
        <w:t xml:space="preserve"> programs and their costs</w:t>
      </w:r>
      <w:r w:rsidR="00A86EDF">
        <w:t>, and new electric rate structures</w:t>
      </w:r>
      <w:r w:rsidR="00B6230B">
        <w:t>;</w:t>
      </w:r>
    </w:p>
    <w:p w:rsidR="00A86EDF" w:rsidRPr="000D5F36" w:rsidRDefault="00985589" w:rsidP="00A62D30">
      <w:pPr>
        <w:numPr>
          <w:ilvl w:val="0"/>
          <w:numId w:val="3"/>
        </w:num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pPr>
      <w:r>
        <w:t>P</w:t>
      </w:r>
      <w:r w:rsidR="00A86EDF">
        <w:t xml:space="preserve">rovide data that can be used to help </w:t>
      </w:r>
      <w:r w:rsidR="00A86EDF" w:rsidRPr="000D5F36">
        <w:t xml:space="preserve">assess the </w:t>
      </w:r>
      <w:r w:rsidR="00B6230B">
        <w:t>e</w:t>
      </w:r>
      <w:r w:rsidR="00A86EDF" w:rsidRPr="000D5F36">
        <w:t>ffect of price changes on the demand for electricity</w:t>
      </w:r>
      <w:r w:rsidR="00B6230B">
        <w:t>; and</w:t>
      </w:r>
    </w:p>
    <w:p w:rsidR="00A86EDF" w:rsidRDefault="00985589" w:rsidP="00A62D30">
      <w:pPr>
        <w:pStyle w:val="z-TopofForm"/>
        <w:numPr>
          <w:ilvl w:val="0"/>
          <w:numId w:val="3"/>
        </w:numPr>
        <w:tabs>
          <w:tab w:val="left" w:pos="720"/>
        </w:tabs>
        <w:spacing w:before="120" w:after="120" w:line="276" w:lineRule="auto"/>
        <w:rPr>
          <w:rFonts w:ascii="Calibri" w:hAnsi="Calibri"/>
          <w:sz w:val="22"/>
          <w:szCs w:val="22"/>
        </w:rPr>
      </w:pPr>
      <w:r>
        <w:rPr>
          <w:rFonts w:ascii="Calibri" w:hAnsi="Calibri"/>
          <w:sz w:val="22"/>
          <w:szCs w:val="22"/>
        </w:rPr>
        <w:t>M</w:t>
      </w:r>
      <w:r w:rsidR="00A86EDF" w:rsidRPr="000D5F36">
        <w:rPr>
          <w:rFonts w:ascii="Calibri" w:hAnsi="Calibri"/>
          <w:sz w:val="22"/>
          <w:szCs w:val="22"/>
        </w:rPr>
        <w:t>onitor and analyze the economic and operational impacts of industry restructuring</w:t>
      </w:r>
      <w:r w:rsidR="00CD4D88">
        <w:rPr>
          <w:rFonts w:ascii="Calibri" w:hAnsi="Calibri"/>
          <w:sz w:val="22"/>
          <w:szCs w:val="22"/>
        </w:rPr>
        <w:t>.</w:t>
      </w:r>
    </w:p>
    <w:p w:rsidR="00A86EDF" w:rsidRDefault="0020151A" w:rsidP="0099723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00" w:afterAutospacing="1"/>
        <w:jc w:val="both"/>
      </w:pPr>
      <w:r w:rsidRPr="00525BC9">
        <w:t xml:space="preserve">EIA is proposing to modify the </w:t>
      </w:r>
      <w:r>
        <w:t xml:space="preserve">Form EIA-861 </w:t>
      </w:r>
      <w:r w:rsidRPr="00525BC9">
        <w:t>survey from a census to a sample of approximately 2</w:t>
      </w:r>
      <w:r>
        <w:t>,</w:t>
      </w:r>
      <w:r w:rsidRPr="00525BC9">
        <w:t>200 entities</w:t>
      </w:r>
      <w:r>
        <w:t>.  Basic data on total sales, retail revenues, and customer counts will be collected from the 1,100 out-of-sample entities using a new short form (see below)</w:t>
      </w:r>
      <w:r w:rsidR="00D511FB">
        <w:t>.  S</w:t>
      </w:r>
      <w:r>
        <w:t xml:space="preserve">tatistical imputation will be used to </w:t>
      </w:r>
      <w:r w:rsidR="00D511FB">
        <w:t xml:space="preserve">allocate sales, revenues, and customer counts </w:t>
      </w:r>
      <w:r w:rsidR="00B40728">
        <w:t>by</w:t>
      </w:r>
      <w:r>
        <w:t xml:space="preserve"> industry </w:t>
      </w:r>
      <w:r w:rsidRPr="00525BC9">
        <w:t>sector</w:t>
      </w:r>
      <w:r>
        <w:t>s.</w:t>
      </w:r>
      <w:r>
        <w:rPr>
          <w:rStyle w:val="FootnoteReference"/>
        </w:rPr>
        <w:footnoteReference w:id="2"/>
      </w:r>
      <w:r>
        <w:rPr>
          <w:rFonts w:cs="Calibri"/>
          <w:color w:val="000000"/>
        </w:rPr>
        <w:t xml:space="preserve"> </w:t>
      </w:r>
      <w:r w:rsidRPr="00CF156B">
        <w:rPr>
          <w:rFonts w:cs="Calibri"/>
          <w:color w:val="000000"/>
        </w:rPr>
        <w:t xml:space="preserve">In addition, </w:t>
      </w:r>
      <w:r>
        <w:rPr>
          <w:rFonts w:cs="Calibri"/>
          <w:color w:val="000000"/>
        </w:rPr>
        <w:t xml:space="preserve">the proposed short form will collect information on the use of </w:t>
      </w:r>
      <w:r w:rsidRPr="00CF156B">
        <w:rPr>
          <w:rFonts w:cs="Calibri"/>
          <w:color w:val="000000"/>
        </w:rPr>
        <w:t>time-based rate programs and advanced metering programs.</w:t>
      </w:r>
    </w:p>
    <w:p w:rsidR="00A86EDF" w:rsidRDefault="00A86EDF" w:rsidP="00997235">
      <w:pPr>
        <w:autoSpaceDE w:val="0"/>
        <w:autoSpaceDN w:val="0"/>
        <w:adjustRightInd w:val="0"/>
        <w:spacing w:before="100" w:beforeAutospacing="1" w:after="0"/>
        <w:jc w:val="both"/>
        <w:rPr>
          <w:rFonts w:cs="Calibri"/>
          <w:color w:val="000000"/>
        </w:rPr>
      </w:pPr>
      <w:r w:rsidRPr="00525BC9">
        <w:t>Certain other data w</w:t>
      </w:r>
      <w:r w:rsidR="00DC6AB0">
        <w:t>ill</w:t>
      </w:r>
      <w:r w:rsidRPr="00525BC9">
        <w:t xml:space="preserve"> be reported only for the sample </w:t>
      </w:r>
      <w:r w:rsidR="0093717D">
        <w:t xml:space="preserve">of 2,220 entities </w:t>
      </w:r>
      <w:r w:rsidRPr="00525BC9">
        <w:t xml:space="preserve">completing the </w:t>
      </w:r>
      <w:r w:rsidR="00C06F26">
        <w:t xml:space="preserve">Form </w:t>
      </w:r>
      <w:r w:rsidR="00370D0A">
        <w:t xml:space="preserve">EIA-861 </w:t>
      </w:r>
      <w:r w:rsidRPr="00525BC9">
        <w:t>survey</w:t>
      </w:r>
      <w:r>
        <w:t xml:space="preserve">, and </w:t>
      </w:r>
      <w:r w:rsidRPr="00CF156B">
        <w:rPr>
          <w:rFonts w:cs="Calibri"/>
          <w:color w:val="000000"/>
        </w:rPr>
        <w:t xml:space="preserve">the information will be reported </w:t>
      </w:r>
      <w:r w:rsidR="00370D0A">
        <w:rPr>
          <w:rFonts w:cs="Calibri"/>
          <w:color w:val="000000"/>
        </w:rPr>
        <w:t xml:space="preserve">in EIA data files and publications </w:t>
      </w:r>
      <w:r w:rsidRPr="00CF156B">
        <w:rPr>
          <w:rFonts w:cs="Calibri"/>
          <w:color w:val="000000"/>
        </w:rPr>
        <w:t>with th</w:t>
      </w:r>
      <w:r w:rsidR="00A27FD3">
        <w:rPr>
          <w:rFonts w:cs="Calibri"/>
          <w:color w:val="000000"/>
        </w:rPr>
        <w:t>e sample data collection</w:t>
      </w:r>
      <w:r w:rsidRPr="00CF156B">
        <w:rPr>
          <w:rFonts w:cs="Calibri"/>
          <w:color w:val="000000"/>
        </w:rPr>
        <w:t xml:space="preserve"> limitation noted. </w:t>
      </w:r>
      <w:r w:rsidR="00A27FD3">
        <w:rPr>
          <w:rFonts w:cs="Calibri"/>
          <w:color w:val="000000"/>
        </w:rPr>
        <w:t xml:space="preserve"> </w:t>
      </w:r>
      <w:r w:rsidRPr="00CF156B">
        <w:rPr>
          <w:rFonts w:cs="Calibri"/>
          <w:color w:val="000000"/>
        </w:rPr>
        <w:t xml:space="preserve">Those </w:t>
      </w:r>
      <w:r>
        <w:rPr>
          <w:rFonts w:cs="Calibri"/>
          <w:color w:val="000000"/>
        </w:rPr>
        <w:t>data</w:t>
      </w:r>
      <w:r w:rsidRPr="00CF156B">
        <w:rPr>
          <w:rFonts w:cs="Calibri"/>
          <w:color w:val="000000"/>
        </w:rPr>
        <w:t xml:space="preserve"> include</w:t>
      </w:r>
      <w:r w:rsidR="002D6038">
        <w:rPr>
          <w:rFonts w:cs="Calibri"/>
          <w:color w:val="000000"/>
        </w:rPr>
        <w:t>:</w:t>
      </w:r>
    </w:p>
    <w:p w:rsidR="00A86EDF" w:rsidRDefault="00370D0A" w:rsidP="00A62D30">
      <w:pPr>
        <w:pStyle w:val="ListParagraph"/>
        <w:numPr>
          <w:ilvl w:val="0"/>
          <w:numId w:val="2"/>
        </w:numPr>
        <w:autoSpaceDE w:val="0"/>
        <w:autoSpaceDN w:val="0"/>
        <w:adjustRightInd w:val="0"/>
        <w:spacing w:before="120" w:after="120"/>
        <w:contextualSpacing w:val="0"/>
        <w:rPr>
          <w:rFonts w:cs="Calibri"/>
          <w:color w:val="000000"/>
        </w:rPr>
      </w:pPr>
      <w:r>
        <w:rPr>
          <w:rFonts w:cs="Calibri"/>
          <w:color w:val="000000"/>
        </w:rPr>
        <w:t>E</w:t>
      </w:r>
      <w:r w:rsidR="00A86EDF">
        <w:rPr>
          <w:rFonts w:cs="Calibri"/>
          <w:color w:val="000000"/>
        </w:rPr>
        <w:t>lec</w:t>
      </w:r>
      <w:r w:rsidR="00C379EA">
        <w:rPr>
          <w:rFonts w:cs="Calibri"/>
          <w:color w:val="000000"/>
        </w:rPr>
        <w:t xml:space="preserve">tricity sources and disposition, </w:t>
      </w:r>
      <w:r w:rsidR="00CA1406">
        <w:rPr>
          <w:rFonts w:cs="Calibri"/>
          <w:color w:val="000000"/>
        </w:rPr>
        <w:t xml:space="preserve">and </w:t>
      </w:r>
      <w:r w:rsidR="00C379EA">
        <w:rPr>
          <w:rFonts w:cs="Calibri"/>
          <w:color w:val="000000"/>
        </w:rPr>
        <w:t>Green Pricing and Net Metering Programs</w:t>
      </w:r>
      <w:r w:rsidR="00190B96">
        <w:rPr>
          <w:rFonts w:cs="Calibri"/>
          <w:color w:val="000000"/>
        </w:rPr>
        <w:t>;</w:t>
      </w:r>
    </w:p>
    <w:p w:rsidR="00A86EDF" w:rsidRDefault="00370D0A" w:rsidP="00A62D30">
      <w:pPr>
        <w:pStyle w:val="ListParagraph"/>
        <w:numPr>
          <w:ilvl w:val="0"/>
          <w:numId w:val="2"/>
        </w:numPr>
        <w:autoSpaceDE w:val="0"/>
        <w:autoSpaceDN w:val="0"/>
        <w:adjustRightInd w:val="0"/>
        <w:spacing w:before="120" w:after="120"/>
        <w:contextualSpacing w:val="0"/>
        <w:rPr>
          <w:rFonts w:cs="Calibri"/>
          <w:color w:val="000000"/>
        </w:rPr>
      </w:pPr>
      <w:r>
        <w:rPr>
          <w:rFonts w:cs="Calibri"/>
          <w:color w:val="000000"/>
        </w:rPr>
        <w:t>A</w:t>
      </w:r>
      <w:r w:rsidR="00190B96">
        <w:rPr>
          <w:rFonts w:cs="Calibri"/>
          <w:color w:val="000000"/>
        </w:rPr>
        <w:t xml:space="preserve"> b</w:t>
      </w:r>
      <w:r w:rsidR="00A86EDF">
        <w:rPr>
          <w:rFonts w:cs="Calibri"/>
          <w:color w:val="000000"/>
        </w:rPr>
        <w:t>reakdown of operating revenue by activity (e.g., wholesale sales, transmission service)</w:t>
      </w:r>
      <w:r w:rsidR="00190B96">
        <w:rPr>
          <w:rFonts w:cs="Calibri"/>
          <w:color w:val="000000"/>
        </w:rPr>
        <w:t>;</w:t>
      </w:r>
    </w:p>
    <w:p w:rsidR="00A86EDF" w:rsidRDefault="0093717D" w:rsidP="00A62D30">
      <w:pPr>
        <w:pStyle w:val="ListParagraph"/>
        <w:numPr>
          <w:ilvl w:val="0"/>
          <w:numId w:val="2"/>
        </w:numPr>
        <w:autoSpaceDE w:val="0"/>
        <w:autoSpaceDN w:val="0"/>
        <w:adjustRightInd w:val="0"/>
        <w:spacing w:before="120" w:after="120"/>
        <w:contextualSpacing w:val="0"/>
        <w:rPr>
          <w:rFonts w:cs="Calibri"/>
          <w:color w:val="000000"/>
        </w:rPr>
      </w:pPr>
      <w:r>
        <w:rPr>
          <w:rFonts w:cs="Calibri"/>
          <w:color w:val="000000"/>
        </w:rPr>
        <w:t>Most</w:t>
      </w:r>
      <w:r w:rsidR="00A86EDF">
        <w:rPr>
          <w:rFonts w:cs="Calibri"/>
          <w:color w:val="000000"/>
        </w:rPr>
        <w:t xml:space="preserve"> demand</w:t>
      </w:r>
      <w:r w:rsidR="00CD4D88">
        <w:rPr>
          <w:rFonts w:cs="Calibri"/>
          <w:color w:val="000000"/>
        </w:rPr>
        <w:t>-</w:t>
      </w:r>
      <w:r w:rsidR="00A86EDF">
        <w:rPr>
          <w:rFonts w:cs="Calibri"/>
          <w:color w:val="000000"/>
        </w:rPr>
        <w:t>side management and energy efficiency activities</w:t>
      </w:r>
      <w:r w:rsidR="00190B96">
        <w:rPr>
          <w:rFonts w:cs="Calibri"/>
          <w:color w:val="000000"/>
        </w:rPr>
        <w:t>;</w:t>
      </w:r>
    </w:p>
    <w:p w:rsidR="00A86EDF" w:rsidRDefault="00A86EDF" w:rsidP="00A62D30">
      <w:pPr>
        <w:pStyle w:val="ListParagraph"/>
        <w:numPr>
          <w:ilvl w:val="0"/>
          <w:numId w:val="2"/>
        </w:numPr>
        <w:autoSpaceDE w:val="0"/>
        <w:autoSpaceDN w:val="0"/>
        <w:adjustRightInd w:val="0"/>
        <w:spacing w:before="120" w:after="120"/>
        <w:contextualSpacing w:val="0"/>
        <w:rPr>
          <w:rFonts w:cs="Calibri"/>
          <w:color w:val="000000"/>
        </w:rPr>
      </w:pPr>
      <w:r>
        <w:rPr>
          <w:rFonts w:cs="Calibri"/>
          <w:color w:val="000000"/>
        </w:rPr>
        <w:t>Distributed and dispersed generation</w:t>
      </w:r>
      <w:r w:rsidR="00190B96">
        <w:rPr>
          <w:rFonts w:cs="Calibri"/>
          <w:color w:val="000000"/>
        </w:rPr>
        <w:t>; and</w:t>
      </w:r>
    </w:p>
    <w:p w:rsidR="00A86EDF" w:rsidRPr="00093BD1" w:rsidRDefault="00370D0A" w:rsidP="00A62D30">
      <w:pPr>
        <w:pStyle w:val="ListParagraph"/>
        <w:numPr>
          <w:ilvl w:val="0"/>
          <w:numId w:val="2"/>
        </w:numPr>
        <w:autoSpaceDE w:val="0"/>
        <w:autoSpaceDN w:val="0"/>
        <w:adjustRightInd w:val="0"/>
        <w:spacing w:before="120" w:after="120"/>
        <w:contextualSpacing w:val="0"/>
        <w:rPr>
          <w:rFonts w:cs="Calibri"/>
          <w:color w:val="000000"/>
        </w:rPr>
      </w:pPr>
      <w:r>
        <w:rPr>
          <w:rFonts w:cs="Calibri"/>
          <w:color w:val="000000"/>
        </w:rPr>
        <w:t>A</w:t>
      </w:r>
      <w:r w:rsidR="00190B96">
        <w:rPr>
          <w:rFonts w:cs="Calibri"/>
          <w:color w:val="000000"/>
        </w:rPr>
        <w:t xml:space="preserve"> l</w:t>
      </w:r>
      <w:r w:rsidR="00A86EDF">
        <w:rPr>
          <w:rFonts w:cs="Calibri"/>
          <w:color w:val="000000"/>
        </w:rPr>
        <w:t>ist of counties in which the entity operates a distribution system</w:t>
      </w:r>
      <w:r w:rsidR="00CA1406">
        <w:rPr>
          <w:rFonts w:cs="Calibri"/>
          <w:color w:val="000000"/>
        </w:rPr>
        <w:t>.</w:t>
      </w:r>
    </w:p>
    <w:p w:rsidR="000A47ED" w:rsidRDefault="00A86EDF" w:rsidP="00A06EF6">
      <w:pPr>
        <w:autoSpaceDE w:val="0"/>
        <w:autoSpaceDN w:val="0"/>
        <w:adjustRightInd w:val="0"/>
        <w:spacing w:after="0"/>
        <w:jc w:val="both"/>
        <w:rPr>
          <w:rFonts w:cs="Calibri"/>
          <w:color w:val="000000"/>
        </w:rPr>
      </w:pPr>
      <w:r>
        <w:rPr>
          <w:rFonts w:cs="Calibri"/>
          <w:color w:val="000000"/>
        </w:rPr>
        <w:t>The 1,100 small entities that w</w:t>
      </w:r>
      <w:r w:rsidR="00DC6AB0">
        <w:rPr>
          <w:rFonts w:cs="Calibri"/>
          <w:color w:val="000000"/>
        </w:rPr>
        <w:t>ill</w:t>
      </w:r>
      <w:r>
        <w:rPr>
          <w:rFonts w:cs="Calibri"/>
          <w:color w:val="000000"/>
        </w:rPr>
        <w:t xml:space="preserve"> be excluded from the </w:t>
      </w:r>
      <w:r w:rsidR="00CD4D88">
        <w:rPr>
          <w:rFonts w:cs="Calibri"/>
          <w:color w:val="000000"/>
        </w:rPr>
        <w:t xml:space="preserve">Form </w:t>
      </w:r>
      <w:r>
        <w:rPr>
          <w:rFonts w:cs="Calibri"/>
          <w:color w:val="000000"/>
        </w:rPr>
        <w:t xml:space="preserve">EIA-861 survey </w:t>
      </w:r>
      <w:r w:rsidR="00CA1406">
        <w:rPr>
          <w:rFonts w:cs="Calibri"/>
          <w:color w:val="000000"/>
        </w:rPr>
        <w:t xml:space="preserve">sample </w:t>
      </w:r>
      <w:r>
        <w:rPr>
          <w:rFonts w:cs="Calibri"/>
          <w:color w:val="000000"/>
        </w:rPr>
        <w:t>minimal</w:t>
      </w:r>
      <w:r w:rsidR="00C943E9">
        <w:rPr>
          <w:rFonts w:cs="Calibri"/>
          <w:color w:val="000000"/>
        </w:rPr>
        <w:t>ly</w:t>
      </w:r>
      <w:r>
        <w:rPr>
          <w:rFonts w:cs="Calibri"/>
          <w:color w:val="000000"/>
        </w:rPr>
        <w:t xml:space="preserve"> contribut</w:t>
      </w:r>
      <w:r w:rsidR="00C943E9">
        <w:rPr>
          <w:rFonts w:cs="Calibri"/>
          <w:color w:val="000000"/>
        </w:rPr>
        <w:t>e</w:t>
      </w:r>
      <w:r>
        <w:rPr>
          <w:rFonts w:cs="Calibri"/>
          <w:color w:val="000000"/>
        </w:rPr>
        <w:t xml:space="preserve"> to national and </w:t>
      </w:r>
      <w:r w:rsidR="00C06F26">
        <w:rPr>
          <w:rFonts w:cs="Calibri"/>
          <w:color w:val="000000"/>
        </w:rPr>
        <w:t>S</w:t>
      </w:r>
      <w:r>
        <w:rPr>
          <w:rFonts w:cs="Calibri"/>
          <w:color w:val="000000"/>
        </w:rPr>
        <w:t>tate totals (</w:t>
      </w:r>
      <w:r w:rsidR="00D640D3">
        <w:rPr>
          <w:rFonts w:cs="Calibri"/>
          <w:color w:val="000000"/>
        </w:rPr>
        <w:t>e.g.</w:t>
      </w:r>
      <w:r>
        <w:rPr>
          <w:rFonts w:cs="Calibri"/>
          <w:color w:val="000000"/>
        </w:rPr>
        <w:t>,</w:t>
      </w:r>
      <w:r w:rsidR="002D6038">
        <w:rPr>
          <w:rFonts w:cs="Calibri"/>
          <w:color w:val="000000"/>
        </w:rPr>
        <w:t xml:space="preserve"> the</w:t>
      </w:r>
      <w:r>
        <w:rPr>
          <w:rFonts w:cs="Calibri"/>
          <w:color w:val="000000"/>
        </w:rPr>
        <w:t xml:space="preserve"> electricity sources and disposition</w:t>
      </w:r>
      <w:r w:rsidR="002D6038">
        <w:rPr>
          <w:rFonts w:cs="Calibri"/>
          <w:color w:val="000000"/>
        </w:rPr>
        <w:t xml:space="preserve"> data</w:t>
      </w:r>
      <w:r>
        <w:rPr>
          <w:rFonts w:cs="Calibri"/>
          <w:color w:val="000000"/>
        </w:rPr>
        <w:t>)</w:t>
      </w:r>
      <w:r w:rsidR="00997235">
        <w:rPr>
          <w:rFonts w:cs="Calibri"/>
          <w:color w:val="000000"/>
        </w:rPr>
        <w:t>,</w:t>
      </w:r>
      <w:r>
        <w:rPr>
          <w:rFonts w:cs="Calibri"/>
          <w:color w:val="000000"/>
        </w:rPr>
        <w:t xml:space="preserve"> </w:t>
      </w:r>
      <w:r w:rsidR="00075057">
        <w:rPr>
          <w:rFonts w:cs="Calibri"/>
          <w:color w:val="000000"/>
        </w:rPr>
        <w:t xml:space="preserve">and </w:t>
      </w:r>
      <w:r w:rsidR="00B40728">
        <w:rPr>
          <w:rFonts w:cs="Calibri"/>
          <w:color w:val="000000"/>
        </w:rPr>
        <w:t xml:space="preserve">typically do not have the energy efficiency, demand response, and other related </w:t>
      </w:r>
      <w:r>
        <w:rPr>
          <w:rFonts w:cs="Calibri"/>
          <w:color w:val="000000"/>
        </w:rPr>
        <w:t xml:space="preserve">activities (e.g., </w:t>
      </w:r>
      <w:r w:rsidR="00B40728">
        <w:rPr>
          <w:rFonts w:cs="Calibri"/>
          <w:color w:val="000000"/>
        </w:rPr>
        <w:t>Green Pricing p</w:t>
      </w:r>
      <w:r w:rsidR="00C379EA">
        <w:rPr>
          <w:rFonts w:cs="Calibri"/>
          <w:color w:val="000000"/>
        </w:rPr>
        <w:t>rograms</w:t>
      </w:r>
      <w:r>
        <w:rPr>
          <w:rFonts w:cs="Calibri"/>
          <w:color w:val="000000"/>
        </w:rPr>
        <w:t>)</w:t>
      </w:r>
      <w:r w:rsidR="00B40728">
        <w:rPr>
          <w:rFonts w:cs="Calibri"/>
          <w:color w:val="000000"/>
        </w:rPr>
        <w:t xml:space="preserve"> that are captured on the EIA-861 long form</w:t>
      </w:r>
      <w:r>
        <w:rPr>
          <w:rFonts w:cs="Calibri"/>
          <w:color w:val="000000"/>
        </w:rPr>
        <w:t>.</w:t>
      </w:r>
      <w:r w:rsidR="008A0D12">
        <w:rPr>
          <w:rFonts w:cs="Calibri"/>
          <w:color w:val="000000"/>
        </w:rPr>
        <w:t xml:space="preserve">  The 1,100 entities which will complete the</w:t>
      </w:r>
      <w:r w:rsidR="00C06F26">
        <w:rPr>
          <w:rFonts w:cs="Calibri"/>
          <w:color w:val="000000"/>
        </w:rPr>
        <w:t xml:space="preserve"> Form</w:t>
      </w:r>
      <w:r w:rsidR="008A0D12">
        <w:rPr>
          <w:rFonts w:cs="Calibri"/>
          <w:color w:val="000000"/>
        </w:rPr>
        <w:t xml:space="preserve"> EIA-861S instead of the </w:t>
      </w:r>
      <w:r w:rsidR="00C06F26">
        <w:rPr>
          <w:rFonts w:cs="Calibri"/>
          <w:color w:val="000000"/>
        </w:rPr>
        <w:t xml:space="preserve">Form </w:t>
      </w:r>
      <w:r w:rsidR="008A0D12">
        <w:rPr>
          <w:rFonts w:cs="Calibri"/>
          <w:color w:val="000000"/>
        </w:rPr>
        <w:t xml:space="preserve">EIA-861 are selected using </w:t>
      </w:r>
      <w:r w:rsidR="00B1317E">
        <w:rPr>
          <w:rFonts w:cs="Calibri"/>
          <w:color w:val="000000"/>
        </w:rPr>
        <w:t>the criteria described in the next section.</w:t>
      </w:r>
    </w:p>
    <w:p w:rsidR="00A06EF6" w:rsidRDefault="00A06EF6" w:rsidP="00A06EF6">
      <w:pPr>
        <w:autoSpaceDE w:val="0"/>
        <w:autoSpaceDN w:val="0"/>
        <w:adjustRightInd w:val="0"/>
        <w:spacing w:after="0"/>
        <w:jc w:val="both"/>
        <w:rPr>
          <w:rFonts w:cs="Calibri"/>
          <w:color w:val="000000"/>
        </w:rPr>
      </w:pPr>
    </w:p>
    <w:p w:rsidR="000D5F36" w:rsidRPr="000A47ED" w:rsidRDefault="00E25119" w:rsidP="00A06EF6">
      <w:pPr>
        <w:spacing w:after="0"/>
        <w:rPr>
          <w:b/>
          <w:bCs/>
        </w:rPr>
      </w:pPr>
      <w:r w:rsidRPr="000A47ED">
        <w:rPr>
          <w:b/>
          <w:bCs/>
        </w:rPr>
        <w:t>F</w:t>
      </w:r>
      <w:r w:rsidR="00525BC9" w:rsidRPr="000A47ED">
        <w:rPr>
          <w:b/>
          <w:bCs/>
        </w:rPr>
        <w:t>orm EIA-861S,</w:t>
      </w:r>
      <w:r w:rsidR="000D5F36" w:rsidRPr="000A47ED">
        <w:rPr>
          <w:b/>
          <w:bCs/>
        </w:rPr>
        <w:t xml:space="preserve"> “Annual Electric Power Industry Report (Short Form)"</w:t>
      </w:r>
    </w:p>
    <w:p w:rsidR="00A86EDF" w:rsidRPr="00CF156B" w:rsidRDefault="00A86EDF" w:rsidP="00997235">
      <w:pPr>
        <w:autoSpaceDE w:val="0"/>
        <w:autoSpaceDN w:val="0"/>
        <w:adjustRightInd w:val="0"/>
        <w:spacing w:before="120" w:after="100" w:afterAutospacing="1"/>
        <w:jc w:val="both"/>
        <w:rPr>
          <w:rFonts w:cs="Calibri"/>
          <w:color w:val="000000"/>
        </w:rPr>
      </w:pPr>
      <w:r w:rsidRPr="00CF156B">
        <w:rPr>
          <w:rFonts w:cs="Calibri"/>
          <w:color w:val="000000"/>
        </w:rPr>
        <w:t>EIA is proposing a new annual survey</w:t>
      </w:r>
      <w:r>
        <w:rPr>
          <w:rFonts w:cs="Calibri"/>
          <w:color w:val="000000"/>
        </w:rPr>
        <w:t xml:space="preserve">, </w:t>
      </w:r>
      <w:r w:rsidRPr="00CF156B">
        <w:rPr>
          <w:rFonts w:cs="Calibri"/>
          <w:color w:val="000000"/>
        </w:rPr>
        <w:t xml:space="preserve">the Form EIA-861S. </w:t>
      </w:r>
      <w:r w:rsidR="000C16E7">
        <w:rPr>
          <w:rFonts w:cs="Calibri"/>
          <w:color w:val="000000"/>
        </w:rPr>
        <w:t xml:space="preserve"> </w:t>
      </w:r>
      <w:r>
        <w:rPr>
          <w:rFonts w:cs="Calibri"/>
          <w:color w:val="000000"/>
        </w:rPr>
        <w:t>T</w:t>
      </w:r>
      <w:r w:rsidRPr="00CF156B">
        <w:rPr>
          <w:rFonts w:cs="Calibri"/>
          <w:color w:val="000000"/>
        </w:rPr>
        <w:t xml:space="preserve">he </w:t>
      </w:r>
      <w:r w:rsidR="000C16E7">
        <w:rPr>
          <w:rFonts w:cs="Calibri"/>
          <w:color w:val="000000"/>
        </w:rPr>
        <w:t xml:space="preserve">survey </w:t>
      </w:r>
      <w:r w:rsidR="002176EB">
        <w:rPr>
          <w:rFonts w:cs="Calibri"/>
          <w:color w:val="000000"/>
        </w:rPr>
        <w:t>sample</w:t>
      </w:r>
      <w:r w:rsidR="002176EB" w:rsidRPr="00CF156B">
        <w:rPr>
          <w:rFonts w:cs="Calibri"/>
          <w:color w:val="000000"/>
        </w:rPr>
        <w:t xml:space="preserve"> </w:t>
      </w:r>
      <w:r w:rsidRPr="00CF156B">
        <w:rPr>
          <w:rFonts w:cs="Calibri"/>
          <w:color w:val="000000"/>
        </w:rPr>
        <w:t>w</w:t>
      </w:r>
      <w:r w:rsidR="00DC6AB0">
        <w:rPr>
          <w:rFonts w:cs="Calibri"/>
          <w:color w:val="000000"/>
        </w:rPr>
        <w:t>ill</w:t>
      </w:r>
      <w:r w:rsidRPr="00CF156B">
        <w:rPr>
          <w:rFonts w:cs="Calibri"/>
          <w:color w:val="000000"/>
        </w:rPr>
        <w:t xml:space="preserve"> consist of the respondents removed from the Form EIA-861 </w:t>
      </w:r>
      <w:r w:rsidR="00CA1406">
        <w:rPr>
          <w:rFonts w:cs="Calibri"/>
          <w:color w:val="000000"/>
        </w:rPr>
        <w:t>census</w:t>
      </w:r>
      <w:r w:rsidRPr="00CF156B">
        <w:rPr>
          <w:rFonts w:cs="Calibri"/>
          <w:color w:val="000000"/>
        </w:rPr>
        <w:t>, and the form w</w:t>
      </w:r>
      <w:r w:rsidR="00DC6AB0">
        <w:rPr>
          <w:rFonts w:cs="Calibri"/>
          <w:color w:val="000000"/>
        </w:rPr>
        <w:t>ill</w:t>
      </w:r>
      <w:r w:rsidRPr="00CF156B">
        <w:rPr>
          <w:rFonts w:cs="Calibri"/>
          <w:color w:val="000000"/>
        </w:rPr>
        <w:t xml:space="preserve"> collect very limited data from these respondents.</w:t>
      </w:r>
      <w:r>
        <w:rPr>
          <w:rFonts w:cs="Calibri"/>
          <w:color w:val="000000"/>
        </w:rPr>
        <w:t xml:space="preserve">  This information w</w:t>
      </w:r>
      <w:r w:rsidR="00DC6AB0">
        <w:rPr>
          <w:rFonts w:cs="Calibri"/>
          <w:color w:val="000000"/>
        </w:rPr>
        <w:t>ill</w:t>
      </w:r>
      <w:r>
        <w:rPr>
          <w:rFonts w:cs="Calibri"/>
          <w:color w:val="000000"/>
        </w:rPr>
        <w:t xml:space="preserve"> be used to maintain a current frame for the universe of electric power utilities and power marketers. </w:t>
      </w:r>
      <w:r w:rsidRPr="00CF156B">
        <w:rPr>
          <w:rFonts w:cs="Calibri"/>
          <w:color w:val="000000"/>
        </w:rPr>
        <w:t xml:space="preserve"> Once every </w:t>
      </w:r>
      <w:r>
        <w:rPr>
          <w:rFonts w:cs="Calibri"/>
          <w:color w:val="000000"/>
        </w:rPr>
        <w:t>5</w:t>
      </w:r>
      <w:r w:rsidRPr="00CF156B">
        <w:rPr>
          <w:rFonts w:cs="Calibri"/>
          <w:color w:val="000000"/>
        </w:rPr>
        <w:t xml:space="preserve"> years</w:t>
      </w:r>
      <w:r w:rsidR="00863332">
        <w:rPr>
          <w:rFonts w:cs="Calibri"/>
          <w:color w:val="000000"/>
        </w:rPr>
        <w:t>,</w:t>
      </w:r>
      <w:r w:rsidRPr="00CF156B">
        <w:rPr>
          <w:rFonts w:cs="Calibri"/>
          <w:color w:val="000000"/>
        </w:rPr>
        <w:t xml:space="preserve"> these respondents w</w:t>
      </w:r>
      <w:r w:rsidR="00DC6AB0">
        <w:rPr>
          <w:rFonts w:cs="Calibri"/>
          <w:color w:val="000000"/>
        </w:rPr>
        <w:t>ill</w:t>
      </w:r>
      <w:r w:rsidRPr="00CF156B">
        <w:rPr>
          <w:rFonts w:cs="Calibri"/>
          <w:color w:val="000000"/>
        </w:rPr>
        <w:t xml:space="preserve"> be required to fill out the Form EIA-861 in lieu of the Form </w:t>
      </w:r>
      <w:proofErr w:type="gramStart"/>
      <w:r w:rsidRPr="00CF156B">
        <w:rPr>
          <w:rFonts w:cs="Calibri"/>
          <w:color w:val="000000"/>
        </w:rPr>
        <w:t>EIA</w:t>
      </w:r>
      <w:r w:rsidR="00CD4D88">
        <w:rPr>
          <w:rFonts w:cs="Calibri"/>
          <w:color w:val="000000"/>
        </w:rPr>
        <w:t>-</w:t>
      </w:r>
      <w:r w:rsidRPr="00CF156B">
        <w:rPr>
          <w:rFonts w:cs="Calibri"/>
          <w:color w:val="000000"/>
        </w:rPr>
        <w:t>861S,</w:t>
      </w:r>
      <w:proofErr w:type="gramEnd"/>
      <w:r w:rsidRPr="00CF156B">
        <w:rPr>
          <w:rFonts w:cs="Calibri"/>
          <w:color w:val="000000"/>
        </w:rPr>
        <w:t xml:space="preserve"> and this information will be used </w:t>
      </w:r>
      <w:r>
        <w:rPr>
          <w:rFonts w:cs="Calibri"/>
          <w:color w:val="000000"/>
        </w:rPr>
        <w:t>to verify and update the sample and the imputation methodology.</w:t>
      </w:r>
      <w:r w:rsidR="00860A98">
        <w:rPr>
          <w:rStyle w:val="FootnoteReference"/>
          <w:rFonts w:cs="Calibri"/>
          <w:color w:val="000000"/>
        </w:rPr>
        <w:footnoteReference w:id="3"/>
      </w:r>
    </w:p>
    <w:p w:rsidR="00A86EDF" w:rsidRDefault="00A86EDF" w:rsidP="00997235">
      <w:pPr>
        <w:spacing w:before="100" w:beforeAutospacing="1" w:after="100" w:afterAutospacing="1"/>
        <w:jc w:val="both"/>
      </w:pPr>
      <w:r>
        <w:t xml:space="preserve">As noted above, </w:t>
      </w:r>
      <w:r w:rsidR="00997235">
        <w:t xml:space="preserve">approximately </w:t>
      </w:r>
      <w:r>
        <w:t xml:space="preserve">1,100 firms that currently respond to the </w:t>
      </w:r>
      <w:r w:rsidR="00CD4D88">
        <w:t xml:space="preserve">Form </w:t>
      </w:r>
      <w:r>
        <w:t>EIA-861 survey w</w:t>
      </w:r>
      <w:r w:rsidR="00DC6AB0">
        <w:t>ill</w:t>
      </w:r>
      <w:r>
        <w:t xml:space="preserve"> be moved to the proposed </w:t>
      </w:r>
      <w:r w:rsidR="00CD4D88">
        <w:t xml:space="preserve">Form </w:t>
      </w:r>
      <w:r>
        <w:t xml:space="preserve">EIA-861S.  </w:t>
      </w:r>
      <w:r w:rsidR="00D640D3">
        <w:t xml:space="preserve">This </w:t>
      </w:r>
      <w:r w:rsidR="00FB1DA9">
        <w:t xml:space="preserve">survey </w:t>
      </w:r>
      <w:r w:rsidR="00D640D3">
        <w:t>frame w</w:t>
      </w:r>
      <w:r w:rsidR="00DC6AB0">
        <w:t>ill</w:t>
      </w:r>
      <w:r w:rsidR="00D640D3">
        <w:t xml:space="preserve"> consist of </w:t>
      </w:r>
      <w:r w:rsidR="00D640D3" w:rsidRPr="00980FD8">
        <w:t>all electric utilities with</w:t>
      </w:r>
      <w:r w:rsidR="00D640D3">
        <w:t xml:space="preserve"> </w:t>
      </w:r>
      <w:r w:rsidR="00D640D3" w:rsidRPr="00980FD8">
        <w:t>annual retail sales in the prior year of</w:t>
      </w:r>
      <w:r w:rsidR="00D640D3">
        <w:t xml:space="preserve"> </w:t>
      </w:r>
      <w:r w:rsidR="00D640D3" w:rsidRPr="00980FD8">
        <w:t xml:space="preserve">100,000 </w:t>
      </w:r>
      <w:proofErr w:type="spellStart"/>
      <w:r w:rsidR="00FB1DA9">
        <w:t>MWh</w:t>
      </w:r>
      <w:proofErr w:type="spellEnd"/>
      <w:r w:rsidR="00FB1DA9" w:rsidRPr="00980FD8">
        <w:t xml:space="preserve"> </w:t>
      </w:r>
      <w:r w:rsidR="00D640D3" w:rsidRPr="00980FD8">
        <w:t>or less, with the</w:t>
      </w:r>
      <w:r w:rsidR="00D640D3">
        <w:t xml:space="preserve"> </w:t>
      </w:r>
      <w:r w:rsidR="00D640D3" w:rsidRPr="00980FD8">
        <w:t xml:space="preserve">following exceptions: (1) </w:t>
      </w:r>
      <w:r w:rsidR="001B7B5E">
        <w:t>the</w:t>
      </w:r>
      <w:r w:rsidR="00D640D3" w:rsidRPr="00980FD8">
        <w:t xml:space="preserve"> respondent</w:t>
      </w:r>
      <w:r w:rsidR="00D640D3">
        <w:t xml:space="preserve"> </w:t>
      </w:r>
      <w:r w:rsidR="00D640D3" w:rsidRPr="00980FD8">
        <w:t>has retail sales of unbundled service</w:t>
      </w:r>
      <w:r w:rsidR="00D640D3">
        <w:rPr>
          <w:rStyle w:val="FootnoteReference"/>
        </w:rPr>
        <w:footnoteReference w:id="4"/>
      </w:r>
      <w:r w:rsidR="00D640D3" w:rsidRPr="00980FD8">
        <w:t>; (2)</w:t>
      </w:r>
      <w:r w:rsidR="00D640D3">
        <w:t xml:space="preserve"> </w:t>
      </w:r>
      <w:r w:rsidR="001B7B5E">
        <w:t>the</w:t>
      </w:r>
      <w:r w:rsidR="00D640D3" w:rsidRPr="00980FD8">
        <w:t xml:space="preserve"> full set of data is required from the</w:t>
      </w:r>
      <w:r w:rsidR="00D640D3">
        <w:t xml:space="preserve"> </w:t>
      </w:r>
      <w:r w:rsidR="00D640D3" w:rsidRPr="00980FD8">
        <w:t>respondent to ensure that statistical</w:t>
      </w:r>
      <w:r w:rsidR="00D640D3">
        <w:t xml:space="preserve"> </w:t>
      </w:r>
      <w:r w:rsidR="00D640D3" w:rsidRPr="00980FD8">
        <w:t xml:space="preserve">estimates for a </w:t>
      </w:r>
      <w:r w:rsidR="00C06F26">
        <w:t>S</w:t>
      </w:r>
      <w:r w:rsidR="00D640D3" w:rsidRPr="00980FD8">
        <w:t>tate or business sector</w:t>
      </w:r>
      <w:r w:rsidR="00D640D3">
        <w:t xml:space="preserve"> </w:t>
      </w:r>
      <w:r w:rsidR="00D640D3" w:rsidRPr="00980FD8">
        <w:t xml:space="preserve">are of acceptable quality; (3) </w:t>
      </w:r>
      <w:r w:rsidR="001B7B5E">
        <w:t>the</w:t>
      </w:r>
      <w:r w:rsidR="00D640D3">
        <w:t xml:space="preserve"> </w:t>
      </w:r>
      <w:r w:rsidR="00D640D3" w:rsidRPr="00980FD8">
        <w:t xml:space="preserve">respondent </w:t>
      </w:r>
      <w:r w:rsidR="00F13544">
        <w:t xml:space="preserve">instead </w:t>
      </w:r>
      <w:r w:rsidR="00D640D3" w:rsidRPr="00980FD8">
        <w:t>reports in aggregate under</w:t>
      </w:r>
      <w:r w:rsidR="00D640D3">
        <w:t xml:space="preserve"> </w:t>
      </w:r>
      <w:r w:rsidR="00D640D3" w:rsidRPr="00980FD8">
        <w:t>the Tennessee Valley Authority (TVA)</w:t>
      </w:r>
      <w:r w:rsidR="00D640D3">
        <w:t xml:space="preserve"> </w:t>
      </w:r>
      <w:r w:rsidR="00D640D3" w:rsidRPr="00980FD8">
        <w:t>or WPPI Energy</w:t>
      </w:r>
      <w:r w:rsidR="0093717D">
        <w:rPr>
          <w:rStyle w:val="FootnoteReference"/>
        </w:rPr>
        <w:footnoteReference w:id="5"/>
      </w:r>
      <w:r w:rsidR="0057565C">
        <w:t xml:space="preserve">, or 4) the company is part of the sample for the </w:t>
      </w:r>
      <w:r w:rsidR="0057565C" w:rsidRPr="00EA1726">
        <w:t xml:space="preserve">Form EIA-826, "Monthly Electric Utility Sales and Revenue Report </w:t>
      </w:r>
      <w:r w:rsidR="0093717D">
        <w:t>with State Distributions</w:t>
      </w:r>
      <w:r w:rsidR="00B15E2B">
        <w:t>.</w:t>
      </w:r>
      <w:r w:rsidR="0093717D">
        <w:t>”</w:t>
      </w:r>
      <w:r w:rsidR="00D640D3" w:rsidRPr="00980FD8">
        <w:t xml:space="preserve"> </w:t>
      </w:r>
      <w:r w:rsidR="001B7B5E">
        <w:t xml:space="preserve"> </w:t>
      </w:r>
      <w:r w:rsidRPr="00980FD8">
        <w:t>Utilities for</w:t>
      </w:r>
      <w:r>
        <w:t xml:space="preserve"> </w:t>
      </w:r>
      <w:r w:rsidR="00997235" w:rsidRPr="00980FD8">
        <w:t>w</w:t>
      </w:r>
      <w:r w:rsidR="00997235">
        <w:t>hich</w:t>
      </w:r>
      <w:r w:rsidR="001B7B5E" w:rsidRPr="00980FD8">
        <w:t xml:space="preserve"> </w:t>
      </w:r>
      <w:r w:rsidRPr="00980FD8">
        <w:t>any of the</w:t>
      </w:r>
      <w:r w:rsidR="001B7B5E">
        <w:t>se</w:t>
      </w:r>
      <w:r w:rsidRPr="00980FD8">
        <w:t xml:space="preserve"> exceptions apply </w:t>
      </w:r>
      <w:r w:rsidR="00403C47">
        <w:t>w</w:t>
      </w:r>
      <w:r w:rsidR="00DC6AB0">
        <w:t>ill</w:t>
      </w:r>
      <w:r>
        <w:t xml:space="preserve"> </w:t>
      </w:r>
      <w:r w:rsidRPr="00980FD8">
        <w:t>complete the regular (long) version of</w:t>
      </w:r>
      <w:r>
        <w:t xml:space="preserve"> </w:t>
      </w:r>
      <w:r w:rsidRPr="00980FD8">
        <w:t>the Form EIA–861 survey.</w:t>
      </w:r>
    </w:p>
    <w:p w:rsidR="00104B3D" w:rsidRDefault="00AB4933" w:rsidP="00997235">
      <w:pPr>
        <w:spacing w:before="100" w:beforeAutospacing="1" w:after="0"/>
        <w:jc w:val="both"/>
      </w:pPr>
      <w:r>
        <w:t xml:space="preserve">The </w:t>
      </w:r>
      <w:r w:rsidR="00403C47">
        <w:t xml:space="preserve">limited set of questions on the </w:t>
      </w:r>
      <w:r>
        <w:t xml:space="preserve">Form EIA-861S </w:t>
      </w:r>
      <w:r w:rsidR="00403C47">
        <w:t>w</w:t>
      </w:r>
      <w:r w:rsidR="00DC6AB0">
        <w:t>ill</w:t>
      </w:r>
      <w:r w:rsidR="00403C47">
        <w:t xml:space="preserve"> include the following:</w:t>
      </w:r>
    </w:p>
    <w:p w:rsidR="00773785" w:rsidRDefault="00D70076" w:rsidP="00A62D30">
      <w:pPr>
        <w:pStyle w:val="ListParagraph"/>
        <w:numPr>
          <w:ilvl w:val="0"/>
          <w:numId w:val="8"/>
        </w:numPr>
        <w:spacing w:before="120" w:after="120"/>
        <w:contextualSpacing w:val="0"/>
      </w:pPr>
      <w:r>
        <w:t>Verif</w:t>
      </w:r>
      <w:r w:rsidR="003750FF">
        <w:t>ication of</w:t>
      </w:r>
      <w:r>
        <w:t xml:space="preserve"> </w:t>
      </w:r>
      <w:r w:rsidR="00403C47">
        <w:t>contact information</w:t>
      </w:r>
    </w:p>
    <w:p w:rsidR="00773785" w:rsidRDefault="00D70076" w:rsidP="00A62D30">
      <w:pPr>
        <w:pStyle w:val="ListParagraph"/>
        <w:numPr>
          <w:ilvl w:val="0"/>
          <w:numId w:val="8"/>
        </w:numPr>
        <w:spacing w:before="120" w:after="120"/>
        <w:contextualSpacing w:val="0"/>
      </w:pPr>
      <w:r>
        <w:t>Total retail sales of electricity (</w:t>
      </w:r>
      <w:proofErr w:type="spellStart"/>
      <w:r>
        <w:t>M</w:t>
      </w:r>
      <w:r w:rsidR="00F5316A">
        <w:t>W</w:t>
      </w:r>
      <w:r>
        <w:t>h</w:t>
      </w:r>
      <w:proofErr w:type="spellEnd"/>
      <w:r>
        <w:t>)</w:t>
      </w:r>
      <w:r w:rsidR="00087991">
        <w:t>, revenue, and customer counts</w:t>
      </w:r>
      <w:r w:rsidR="002157F2">
        <w:t xml:space="preserve"> by </w:t>
      </w:r>
      <w:r w:rsidR="00231625">
        <w:t>S</w:t>
      </w:r>
      <w:r w:rsidR="002157F2">
        <w:t>tate</w:t>
      </w:r>
      <w:r w:rsidR="00D511FB">
        <w:t>.  As noted above, statistical imputation will be used to allocate this data to industry sectors.</w:t>
      </w:r>
    </w:p>
    <w:p w:rsidR="00773785" w:rsidRDefault="002D6038" w:rsidP="00A62D30">
      <w:pPr>
        <w:pStyle w:val="ListParagraph"/>
        <w:numPr>
          <w:ilvl w:val="0"/>
          <w:numId w:val="8"/>
        </w:numPr>
        <w:spacing w:before="120" w:after="120"/>
        <w:contextualSpacing w:val="0"/>
      </w:pPr>
      <w:r>
        <w:t>S</w:t>
      </w:r>
      <w:r w:rsidR="00D70076">
        <w:t xml:space="preserve">everal </w:t>
      </w:r>
      <w:r w:rsidR="00643E14">
        <w:t>“</w:t>
      </w:r>
      <w:r w:rsidR="00D70076">
        <w:t>yes/no</w:t>
      </w:r>
      <w:r w:rsidR="00643E14">
        <w:t>”</w:t>
      </w:r>
      <w:r w:rsidR="00D70076">
        <w:t xml:space="preserve"> questions related to advanced or special utility business practices, including:</w:t>
      </w:r>
    </w:p>
    <w:p w:rsidR="00773785" w:rsidRDefault="00D70076" w:rsidP="00A62D30">
      <w:pPr>
        <w:pStyle w:val="ListParagraph"/>
        <w:numPr>
          <w:ilvl w:val="1"/>
          <w:numId w:val="8"/>
        </w:numPr>
        <w:spacing w:before="120" w:after="120"/>
        <w:contextualSpacing w:val="0"/>
      </w:pPr>
      <w:r>
        <w:t xml:space="preserve">Whether the utility has </w:t>
      </w:r>
      <w:r w:rsidR="000E60F9">
        <w:t>G</w:t>
      </w:r>
      <w:r>
        <w:t xml:space="preserve">reen </w:t>
      </w:r>
      <w:r w:rsidR="000E60F9">
        <w:t>P</w:t>
      </w:r>
      <w:r>
        <w:t xml:space="preserve">ricing or </w:t>
      </w:r>
      <w:r w:rsidR="000E60F9">
        <w:t>N</w:t>
      </w:r>
      <w:r>
        <w:t xml:space="preserve">et </w:t>
      </w:r>
      <w:r w:rsidR="000E60F9">
        <w:t>M</w:t>
      </w:r>
      <w:r>
        <w:t xml:space="preserve">etering </w:t>
      </w:r>
      <w:r w:rsidR="000E60F9">
        <w:t>P</w:t>
      </w:r>
      <w:r>
        <w:t>rograms</w:t>
      </w:r>
    </w:p>
    <w:p w:rsidR="00773785" w:rsidRDefault="00D70076" w:rsidP="00A62D30">
      <w:pPr>
        <w:pStyle w:val="ListParagraph"/>
        <w:numPr>
          <w:ilvl w:val="1"/>
          <w:numId w:val="8"/>
        </w:numPr>
        <w:spacing w:before="120" w:after="120"/>
        <w:contextualSpacing w:val="0"/>
      </w:pPr>
      <w:r>
        <w:t>Whether the utility was part of a merger or acquisition during the reporting year</w:t>
      </w:r>
    </w:p>
    <w:p w:rsidR="00773785" w:rsidRDefault="00D70076" w:rsidP="00A62D30">
      <w:pPr>
        <w:pStyle w:val="ListParagraph"/>
        <w:numPr>
          <w:ilvl w:val="1"/>
          <w:numId w:val="8"/>
        </w:numPr>
        <w:spacing w:before="120" w:after="120"/>
        <w:contextualSpacing w:val="0"/>
      </w:pPr>
      <w:r>
        <w:t>Whether the utility operated demand-side management programs during the reporting year</w:t>
      </w:r>
    </w:p>
    <w:p w:rsidR="00773785" w:rsidRDefault="00B15E2B" w:rsidP="00A62D30">
      <w:pPr>
        <w:pStyle w:val="ListParagraph"/>
        <w:numPr>
          <w:ilvl w:val="1"/>
          <w:numId w:val="8"/>
        </w:numPr>
        <w:spacing w:before="120" w:after="120"/>
        <w:contextualSpacing w:val="0"/>
      </w:pPr>
      <w:r>
        <w:t>Whether</w:t>
      </w:r>
      <w:r w:rsidR="00C379EA">
        <w:t xml:space="preserve"> </w:t>
      </w:r>
      <w:r w:rsidR="00D70076">
        <w:t>the utility operated time-based electric rate programs or advanced electric meters (e.g., “smart meters”)</w:t>
      </w:r>
      <w:r w:rsidR="00B16809">
        <w:t>.  If the answer is affirmative</w:t>
      </w:r>
      <w:r w:rsidR="00F5316A">
        <w:t>,</w:t>
      </w:r>
      <w:r w:rsidR="00B16809">
        <w:t xml:space="preserve"> </w:t>
      </w:r>
      <w:r w:rsidR="00D70076">
        <w:t>the respondent will be asked to provide</w:t>
      </w:r>
      <w:r w:rsidR="002D6038">
        <w:t xml:space="preserve"> a limited amount of basic data, such as the </w:t>
      </w:r>
      <w:r w:rsidR="00D70076">
        <w:t xml:space="preserve">number of </w:t>
      </w:r>
      <w:r w:rsidR="002D6038">
        <w:t xml:space="preserve">advanced meters it </w:t>
      </w:r>
      <w:r w:rsidR="00C62A0C">
        <w:t>installed</w:t>
      </w:r>
      <w:r w:rsidR="002D6038">
        <w:t>.</w:t>
      </w:r>
    </w:p>
    <w:p w:rsidR="00AB4933" w:rsidRDefault="00B16809" w:rsidP="00997235">
      <w:pPr>
        <w:spacing w:before="100" w:beforeAutospacing="1" w:after="100" w:afterAutospacing="1"/>
        <w:jc w:val="both"/>
      </w:pPr>
      <w:r>
        <w:t>For a single reporting year</w:t>
      </w:r>
      <w:r w:rsidR="00997235">
        <w:t>,</w:t>
      </w:r>
      <w:r>
        <w:t xml:space="preserve"> a r</w:t>
      </w:r>
      <w:r w:rsidR="00AB4933" w:rsidRPr="00980FD8">
        <w:t>espondent</w:t>
      </w:r>
      <w:r>
        <w:t xml:space="preserve"> w</w:t>
      </w:r>
      <w:r w:rsidR="00DC6AB0">
        <w:t>ill</w:t>
      </w:r>
      <w:r>
        <w:t xml:space="preserve"> </w:t>
      </w:r>
      <w:r w:rsidR="00AB4933" w:rsidRPr="00980FD8">
        <w:t>only</w:t>
      </w:r>
      <w:r w:rsidR="00BA076F">
        <w:t xml:space="preserve"> </w:t>
      </w:r>
      <w:r w:rsidR="00AB4933" w:rsidRPr="00980FD8">
        <w:t xml:space="preserve">complete one type of </w:t>
      </w:r>
      <w:r w:rsidR="002D6038">
        <w:t>survey</w:t>
      </w:r>
      <w:r w:rsidR="00AB4933" w:rsidRPr="00980FD8">
        <w:t>,</w:t>
      </w:r>
      <w:r w:rsidR="00BA076F">
        <w:t xml:space="preserve"> </w:t>
      </w:r>
      <w:r w:rsidR="00AB4933" w:rsidRPr="00980FD8">
        <w:t>either the Form EIA–861 or the Form</w:t>
      </w:r>
      <w:r w:rsidR="00BA076F">
        <w:t xml:space="preserve"> </w:t>
      </w:r>
      <w:r>
        <w:t>EIA–861S</w:t>
      </w:r>
      <w:r w:rsidR="00AB4933" w:rsidRPr="00980FD8">
        <w:t xml:space="preserve">. </w:t>
      </w:r>
      <w:r>
        <w:t xml:space="preserve"> </w:t>
      </w:r>
      <w:r w:rsidR="00AB4933" w:rsidRPr="00980FD8">
        <w:t>In order to maintain the accuracy of</w:t>
      </w:r>
      <w:r w:rsidR="00BA076F">
        <w:t xml:space="preserve"> </w:t>
      </w:r>
      <w:r w:rsidR="00AB4933" w:rsidRPr="00980FD8">
        <w:t>the estimation procedure, once every 5</w:t>
      </w:r>
      <w:r w:rsidR="00BA076F">
        <w:t xml:space="preserve"> </w:t>
      </w:r>
      <w:r w:rsidR="00AB4933" w:rsidRPr="00980FD8">
        <w:t>years the Form EIA–861S respondents</w:t>
      </w:r>
      <w:r w:rsidR="00BA076F">
        <w:t xml:space="preserve"> </w:t>
      </w:r>
      <w:r w:rsidR="00AB4933" w:rsidRPr="00980FD8">
        <w:t>w</w:t>
      </w:r>
      <w:r w:rsidR="00DC6AB0">
        <w:t>ill</w:t>
      </w:r>
      <w:r w:rsidR="00AB4933" w:rsidRPr="00980FD8">
        <w:t xml:space="preserve"> be required to complete the Form</w:t>
      </w:r>
      <w:r w:rsidR="00BA076F">
        <w:t xml:space="preserve"> </w:t>
      </w:r>
      <w:r w:rsidR="00AB4933" w:rsidRPr="00980FD8">
        <w:t>EIA–861</w:t>
      </w:r>
      <w:r w:rsidR="00997235">
        <w:t xml:space="preserve"> in lieu of the Form EIA-861S</w:t>
      </w:r>
      <w:r w:rsidR="00AB4933" w:rsidRPr="00980FD8">
        <w:t xml:space="preserve">. </w:t>
      </w:r>
      <w:r w:rsidR="003750FF">
        <w:t xml:space="preserve"> </w:t>
      </w:r>
      <w:r w:rsidR="00AB4933" w:rsidRPr="00980FD8">
        <w:t>Assuming this proposal is</w:t>
      </w:r>
      <w:r w:rsidR="00BA076F">
        <w:t xml:space="preserve"> </w:t>
      </w:r>
      <w:r w:rsidR="00AB4933" w:rsidRPr="00980FD8">
        <w:t xml:space="preserve">implemented, the first time </w:t>
      </w:r>
      <w:r w:rsidR="00C06F26">
        <w:t xml:space="preserve">Form </w:t>
      </w:r>
      <w:r w:rsidR="00E30609">
        <w:t>EIA-861S</w:t>
      </w:r>
      <w:r w:rsidR="00E30609" w:rsidRPr="005C1511">
        <w:t xml:space="preserve"> </w:t>
      </w:r>
      <w:r w:rsidR="00AB4933" w:rsidRPr="00980FD8">
        <w:t>respondents w</w:t>
      </w:r>
      <w:r w:rsidR="00DC6AB0">
        <w:t>ill</w:t>
      </w:r>
      <w:r w:rsidR="00AB4933" w:rsidRPr="00980FD8">
        <w:t xml:space="preserve"> be required to</w:t>
      </w:r>
      <w:r w:rsidR="00BA076F">
        <w:t xml:space="preserve"> </w:t>
      </w:r>
      <w:r w:rsidR="00AB4933" w:rsidRPr="00980FD8">
        <w:t>complete the Form EIA–861 w</w:t>
      </w:r>
      <w:r w:rsidR="00DC6AB0">
        <w:t>ill</w:t>
      </w:r>
      <w:r w:rsidR="00AB4933" w:rsidRPr="00980FD8">
        <w:t xml:space="preserve"> be in</w:t>
      </w:r>
      <w:r w:rsidR="00BA076F">
        <w:t xml:space="preserve"> </w:t>
      </w:r>
      <w:r w:rsidR="00AB4933" w:rsidRPr="00980FD8">
        <w:t>2017 for 2016 data.</w:t>
      </w:r>
    </w:p>
    <w:p w:rsidR="00B16809" w:rsidRDefault="00B16809" w:rsidP="00A06EF6">
      <w:pPr>
        <w:autoSpaceDE w:val="0"/>
        <w:autoSpaceDN w:val="0"/>
        <w:adjustRightInd w:val="0"/>
        <w:spacing w:before="100" w:beforeAutospacing="1" w:after="100" w:afterAutospacing="1"/>
        <w:jc w:val="both"/>
        <w:rPr>
          <w:rFonts w:cs="Calibri"/>
          <w:color w:val="000000"/>
        </w:rPr>
      </w:pPr>
      <w:r w:rsidRPr="00CF156B">
        <w:rPr>
          <w:rFonts w:cs="Calibri"/>
          <w:color w:val="000000"/>
        </w:rPr>
        <w:t xml:space="preserve">It is possible that a respondent could initially </w:t>
      </w:r>
      <w:r>
        <w:rPr>
          <w:rFonts w:cs="Calibri"/>
          <w:color w:val="000000"/>
        </w:rPr>
        <w:t>respond on</w:t>
      </w:r>
      <w:r w:rsidRPr="00CF156B">
        <w:rPr>
          <w:rFonts w:cs="Calibri"/>
          <w:color w:val="000000"/>
        </w:rPr>
        <w:t xml:space="preserve"> </w:t>
      </w:r>
      <w:r>
        <w:rPr>
          <w:rFonts w:cs="Calibri"/>
          <w:color w:val="000000"/>
        </w:rPr>
        <w:t xml:space="preserve">the </w:t>
      </w:r>
      <w:r w:rsidRPr="00CF156B">
        <w:rPr>
          <w:rFonts w:cs="Calibri"/>
          <w:color w:val="000000"/>
        </w:rPr>
        <w:t>Form EIA-861S</w:t>
      </w:r>
      <w:r>
        <w:rPr>
          <w:rFonts w:cs="Calibri"/>
          <w:color w:val="000000"/>
        </w:rPr>
        <w:t xml:space="preserve"> </w:t>
      </w:r>
      <w:r w:rsidR="00997235">
        <w:rPr>
          <w:rFonts w:cs="Calibri"/>
          <w:color w:val="000000"/>
        </w:rPr>
        <w:t xml:space="preserve">and </w:t>
      </w:r>
      <w:r>
        <w:rPr>
          <w:rFonts w:cs="Calibri"/>
          <w:color w:val="000000"/>
        </w:rPr>
        <w:t>in later</w:t>
      </w:r>
      <w:r w:rsidRPr="00CF156B">
        <w:rPr>
          <w:rFonts w:cs="Calibri"/>
          <w:color w:val="000000"/>
        </w:rPr>
        <w:t xml:space="preserve"> years be moved </w:t>
      </w:r>
      <w:r w:rsidR="002D6038">
        <w:rPr>
          <w:rFonts w:cs="Calibri"/>
          <w:color w:val="000000"/>
        </w:rPr>
        <w:t>to the Form EIA-</w:t>
      </w:r>
      <w:r w:rsidRPr="00CF156B">
        <w:rPr>
          <w:rFonts w:cs="Calibri"/>
          <w:color w:val="000000"/>
        </w:rPr>
        <w:t>861</w:t>
      </w:r>
      <w:r w:rsidR="00C62A0C">
        <w:rPr>
          <w:rFonts w:cs="Calibri"/>
          <w:color w:val="000000"/>
        </w:rPr>
        <w:t>, or vice versa</w:t>
      </w:r>
      <w:r>
        <w:rPr>
          <w:rFonts w:cs="Calibri"/>
          <w:color w:val="000000"/>
        </w:rPr>
        <w:t>.  This change in reporting instruments could be triggered</w:t>
      </w:r>
      <w:r w:rsidR="00C62A0C">
        <w:rPr>
          <w:rFonts w:cs="Calibri"/>
          <w:color w:val="000000"/>
        </w:rPr>
        <w:t>, for example,</w:t>
      </w:r>
      <w:r>
        <w:rPr>
          <w:rFonts w:cs="Calibri"/>
          <w:color w:val="000000"/>
        </w:rPr>
        <w:t xml:space="preserve"> by </w:t>
      </w:r>
      <w:r w:rsidR="00E24072">
        <w:rPr>
          <w:rFonts w:cs="Calibri"/>
          <w:color w:val="000000"/>
        </w:rPr>
        <w:t>s</w:t>
      </w:r>
      <w:r>
        <w:rPr>
          <w:rFonts w:cs="Calibri"/>
          <w:color w:val="000000"/>
        </w:rPr>
        <w:t>ales grow</w:t>
      </w:r>
      <w:r w:rsidR="00C62A0C">
        <w:rPr>
          <w:rFonts w:cs="Calibri"/>
          <w:color w:val="000000"/>
        </w:rPr>
        <w:t xml:space="preserve">ing </w:t>
      </w:r>
      <w:r>
        <w:rPr>
          <w:rFonts w:cs="Calibri"/>
          <w:color w:val="000000"/>
        </w:rPr>
        <w:t xml:space="preserve">above 100,000 </w:t>
      </w:r>
      <w:proofErr w:type="spellStart"/>
      <w:r>
        <w:rPr>
          <w:rFonts w:cs="Calibri"/>
          <w:color w:val="000000"/>
        </w:rPr>
        <w:t>M</w:t>
      </w:r>
      <w:r w:rsidR="00F5316A">
        <w:rPr>
          <w:rFonts w:cs="Calibri"/>
          <w:color w:val="000000"/>
        </w:rPr>
        <w:t>W</w:t>
      </w:r>
      <w:r>
        <w:rPr>
          <w:rFonts w:cs="Calibri"/>
          <w:color w:val="000000"/>
        </w:rPr>
        <w:t>h</w:t>
      </w:r>
      <w:proofErr w:type="spellEnd"/>
      <w:r>
        <w:rPr>
          <w:rFonts w:cs="Calibri"/>
          <w:color w:val="000000"/>
        </w:rPr>
        <w:t xml:space="preserve"> per year</w:t>
      </w:r>
      <w:r w:rsidR="00E24072">
        <w:rPr>
          <w:rFonts w:cs="Calibri"/>
          <w:color w:val="000000"/>
        </w:rPr>
        <w:t xml:space="preserve"> </w:t>
      </w:r>
      <w:r>
        <w:rPr>
          <w:rFonts w:cs="Calibri"/>
          <w:color w:val="000000"/>
        </w:rPr>
        <w:t>or change</w:t>
      </w:r>
      <w:r w:rsidR="00000EFA">
        <w:rPr>
          <w:rFonts w:cs="Calibri"/>
          <w:color w:val="000000"/>
        </w:rPr>
        <w:t>s</w:t>
      </w:r>
      <w:r>
        <w:rPr>
          <w:rFonts w:cs="Calibri"/>
          <w:color w:val="000000"/>
        </w:rPr>
        <w:t xml:space="preserve"> in the characteristics of the sample that require a respondent to complete the full survey in order to maintain the validity of imputed estimates at the business sector level.</w:t>
      </w:r>
    </w:p>
    <w:p w:rsidR="00631A36" w:rsidRPr="000A47ED" w:rsidRDefault="006C6062" w:rsidP="00CA1406">
      <w:pPr>
        <w:spacing w:before="100" w:beforeAutospacing="1" w:after="0"/>
        <w:jc w:val="both"/>
        <w:rPr>
          <w:b/>
          <w:bCs/>
        </w:rPr>
      </w:pPr>
      <w:r w:rsidRPr="000A47ED">
        <w:rPr>
          <w:b/>
          <w:bCs/>
        </w:rPr>
        <w:t>For</w:t>
      </w:r>
      <w:r w:rsidR="00E25119" w:rsidRPr="000A47ED">
        <w:rPr>
          <w:b/>
          <w:bCs/>
        </w:rPr>
        <w:t>m EIA-923, “Power Plant Operations Report”</w:t>
      </w:r>
    </w:p>
    <w:p w:rsidR="00860A98" w:rsidRDefault="00E25119" w:rsidP="001A5794">
      <w:pPr>
        <w:spacing w:before="120" w:after="100" w:afterAutospacing="1"/>
        <w:jc w:val="both"/>
      </w:pPr>
      <w:r w:rsidRPr="00525BC9">
        <w:t xml:space="preserve">The Form EIA-923 is a mandatory report that collects </w:t>
      </w:r>
      <w:r w:rsidR="00860A98">
        <w:t xml:space="preserve">power plant operations data, including </w:t>
      </w:r>
      <w:r w:rsidRPr="00525BC9">
        <w:t xml:space="preserve">fuel receipts, consumption, electric generation, fuel stocks, combustion byproducts, operational cooling water data, and operational data for </w:t>
      </w:r>
      <w:proofErr w:type="spellStart"/>
      <w:r w:rsidRPr="00525BC9">
        <w:t>NO</w:t>
      </w:r>
      <w:r w:rsidRPr="00525BC9">
        <w:rPr>
          <w:vertAlign w:val="subscript"/>
        </w:rPr>
        <w:t>x</w:t>
      </w:r>
      <w:proofErr w:type="spellEnd"/>
      <w:r w:rsidRPr="00525BC9">
        <w:t>, SO</w:t>
      </w:r>
      <w:r w:rsidRPr="00525BC9">
        <w:rPr>
          <w:vertAlign w:val="subscript"/>
        </w:rPr>
        <w:t>2</w:t>
      </w:r>
      <w:r w:rsidRPr="00525BC9">
        <w:t>, and particulate matter control equipment</w:t>
      </w:r>
      <w:r w:rsidR="00860A98">
        <w:t xml:space="preserve">.  The data </w:t>
      </w:r>
      <w:r w:rsidR="00F5316A">
        <w:t>are</w:t>
      </w:r>
      <w:r w:rsidR="00860A98">
        <w:t xml:space="preserve"> collected </w:t>
      </w:r>
      <w:r w:rsidRPr="00525BC9">
        <w:t xml:space="preserve">from all </w:t>
      </w:r>
      <w:r w:rsidR="002D6038">
        <w:t>electric power generators</w:t>
      </w:r>
      <w:r w:rsidRPr="00525BC9">
        <w:t xml:space="preserve"> with a generating ca</w:t>
      </w:r>
      <w:r w:rsidR="00860A98">
        <w:t xml:space="preserve">pacity of 1 </w:t>
      </w:r>
      <w:r w:rsidR="00F11443">
        <w:t>MW</w:t>
      </w:r>
      <w:r w:rsidR="00764A23">
        <w:t xml:space="preserve"> </w:t>
      </w:r>
      <w:r w:rsidR="00860A98">
        <w:t>and greater</w:t>
      </w:r>
      <w:r w:rsidRPr="00525BC9">
        <w:t>.</w:t>
      </w:r>
      <w:r w:rsidR="00860A98">
        <w:t xml:space="preserve">  </w:t>
      </w:r>
      <w:r w:rsidR="00DA6EE9">
        <w:t>D</w:t>
      </w:r>
      <w:r w:rsidR="00FA46E4" w:rsidRPr="00525BC9">
        <w:t xml:space="preserve">ata are collected monthly from a statistically determined </w:t>
      </w:r>
      <w:r w:rsidR="00860A98">
        <w:t xml:space="preserve">cut-off </w:t>
      </w:r>
      <w:r w:rsidR="00FA46E4" w:rsidRPr="00525BC9">
        <w:t>sample of relatively large plants.  The remaining smaller plants are surveyed annually.</w:t>
      </w:r>
    </w:p>
    <w:p w:rsidR="00CA2FC4" w:rsidRDefault="006C6062" w:rsidP="001A5794">
      <w:pPr>
        <w:spacing w:before="100" w:beforeAutospacing="1" w:after="100" w:afterAutospacing="1"/>
        <w:jc w:val="both"/>
      </w:pPr>
      <w:r w:rsidRPr="00525BC9">
        <w:t xml:space="preserve">This proposal affects </w:t>
      </w:r>
      <w:r w:rsidR="00FA46E4" w:rsidRPr="00525BC9">
        <w:t>Sc</w:t>
      </w:r>
      <w:r w:rsidRPr="00525BC9">
        <w:t>hedule 2</w:t>
      </w:r>
      <w:r w:rsidR="00D34FB8">
        <w:t>,</w:t>
      </w:r>
      <w:r w:rsidR="00FA46E4" w:rsidRPr="00525BC9">
        <w:t xml:space="preserve"> only</w:t>
      </w:r>
      <w:r w:rsidRPr="00525BC9">
        <w:t>.  Schedule 2</w:t>
      </w:r>
      <w:r w:rsidR="00FA46E4" w:rsidRPr="00525BC9">
        <w:t>, “Cost and Quality of Fuel at Electric Plants,</w:t>
      </w:r>
      <w:r w:rsidR="002C72D9">
        <w:t>”</w:t>
      </w:r>
      <w:r w:rsidR="00FA46E4" w:rsidRPr="00525BC9">
        <w:t xml:space="preserve"> </w:t>
      </w:r>
      <w:r w:rsidR="00CA2FC4">
        <w:t xml:space="preserve">is completed by all plants with a generating capacity that equals or exceeds </w:t>
      </w:r>
      <w:r w:rsidR="00E502BE">
        <w:t>a threshold</w:t>
      </w:r>
      <w:r w:rsidR="00CA2FC4">
        <w:t xml:space="preserve"> of </w:t>
      </w:r>
      <w:r w:rsidR="00CA2FC4" w:rsidRPr="00525BC9">
        <w:t xml:space="preserve">50 </w:t>
      </w:r>
      <w:r w:rsidR="00D34FB8">
        <w:t>MW</w:t>
      </w:r>
      <w:r w:rsidR="00CA2FC4">
        <w:t>.</w:t>
      </w:r>
      <w:r w:rsidR="009A0D41">
        <w:t xml:space="preserve">  The selection of respondents for Schedule 2 and its predecessors, the Form EIA‐423 and the FERC Form 423 (the latter dating to the early 1970s)</w:t>
      </w:r>
      <w:proofErr w:type="gramStart"/>
      <w:r w:rsidR="006A6E9C">
        <w:t>,</w:t>
      </w:r>
      <w:proofErr w:type="gramEnd"/>
      <w:r w:rsidR="009A0D41">
        <w:t xml:space="preserve"> have </w:t>
      </w:r>
      <w:r w:rsidR="00DA6EE9">
        <w:t xml:space="preserve">been </w:t>
      </w:r>
      <w:r w:rsidR="009A0D41">
        <w:t>tied to a minimum size threshold</w:t>
      </w:r>
      <w:r w:rsidR="00DA6EE9">
        <w:t xml:space="preserve"> that has </w:t>
      </w:r>
      <w:r w:rsidR="009A0D41">
        <w:t xml:space="preserve">varied over time from 25 MW to 50 MW.  </w:t>
      </w:r>
      <w:r w:rsidR="00CA2FC4">
        <w:t xml:space="preserve">The data collected </w:t>
      </w:r>
      <w:r w:rsidR="00C62A0C">
        <w:t xml:space="preserve">on Schedule 2 </w:t>
      </w:r>
      <w:r w:rsidR="00CA2FC4">
        <w:t xml:space="preserve">include </w:t>
      </w:r>
      <w:r w:rsidR="00FA46E4" w:rsidRPr="00525BC9">
        <w:t>the fuel quantity received, quality (</w:t>
      </w:r>
      <w:r w:rsidR="00C62A0C">
        <w:t>heat content of the fuel;</w:t>
      </w:r>
      <w:r w:rsidR="00FA46E4" w:rsidRPr="00525BC9">
        <w:t xml:space="preserve"> sulfur, ash, and mercury content), </w:t>
      </w:r>
      <w:r w:rsidR="00C62A0C">
        <w:t>type of purchasing arrangements</w:t>
      </w:r>
      <w:r w:rsidR="00FA46E4" w:rsidRPr="00525BC9">
        <w:t xml:space="preserve">, cost, contract expiration date, and </w:t>
      </w:r>
      <w:r w:rsidR="00DA6EE9">
        <w:t xml:space="preserve">the name of the </w:t>
      </w:r>
      <w:r w:rsidR="00FA46E4" w:rsidRPr="00525BC9">
        <w:t>supplier</w:t>
      </w:r>
      <w:r w:rsidR="002C72D9">
        <w:t>.</w:t>
      </w:r>
      <w:r w:rsidR="00DA6EE9">
        <w:rPr>
          <w:rStyle w:val="FootnoteReference"/>
        </w:rPr>
        <w:footnoteReference w:id="6"/>
      </w:r>
      <w:r w:rsidR="00CA2FC4">
        <w:t xml:space="preserve">  </w:t>
      </w:r>
      <w:r w:rsidR="00CA2FC4" w:rsidRPr="00525BC9">
        <w:t>In addition, for coal only, data</w:t>
      </w:r>
      <w:r w:rsidR="00CA2FC4">
        <w:t xml:space="preserve"> collected</w:t>
      </w:r>
      <w:r w:rsidR="00CA2FC4" w:rsidRPr="00525BC9">
        <w:t xml:space="preserve"> include mode of transportation</w:t>
      </w:r>
      <w:r w:rsidR="006B2905">
        <w:t xml:space="preserve"> from the mine to the plant</w:t>
      </w:r>
      <w:r w:rsidR="00CA2FC4" w:rsidRPr="00525BC9">
        <w:t>, mine name, type of mine</w:t>
      </w:r>
      <w:r w:rsidR="00C62A0C">
        <w:t xml:space="preserve"> (surface or underground)</w:t>
      </w:r>
      <w:r w:rsidR="00CA2FC4" w:rsidRPr="00525BC9">
        <w:t xml:space="preserve">, and the </w:t>
      </w:r>
      <w:r w:rsidR="00C06F26">
        <w:t>S</w:t>
      </w:r>
      <w:r w:rsidR="00CA2FC4" w:rsidRPr="00525BC9">
        <w:t>tate and county where the mine is located.</w:t>
      </w:r>
    </w:p>
    <w:p w:rsidR="007B2324" w:rsidRDefault="009A0D41" w:rsidP="001A5794">
      <w:pPr>
        <w:spacing w:before="100" w:beforeAutospacing="1" w:after="100" w:afterAutospacing="1"/>
        <w:jc w:val="both"/>
      </w:pPr>
      <w:r>
        <w:t xml:space="preserve">The primary purpose of </w:t>
      </w:r>
      <w:r w:rsidR="00D3289A">
        <w:t>the Schedule 2 data and its predecessors</w:t>
      </w:r>
      <w:r>
        <w:t xml:space="preserve"> has been to provide information for fuel market analysis</w:t>
      </w:r>
      <w:r w:rsidR="007B2324">
        <w:t xml:space="preserve"> by government and private industry</w:t>
      </w:r>
      <w:r>
        <w:t>.</w:t>
      </w:r>
      <w:r w:rsidR="00D3289A">
        <w:t xml:space="preserve">  </w:t>
      </w:r>
      <w:r w:rsidR="007B2324">
        <w:t>This is why the S</w:t>
      </w:r>
      <w:r w:rsidR="00D3289A">
        <w:t>chedule</w:t>
      </w:r>
      <w:r w:rsidR="007B2324">
        <w:t xml:space="preserve"> 2</w:t>
      </w:r>
      <w:r w:rsidR="00D3289A">
        <w:t xml:space="preserve"> collects price and quality data for fuel r</w:t>
      </w:r>
      <w:r w:rsidR="00D3289A" w:rsidRPr="00D3289A">
        <w:rPr>
          <w:i/>
        </w:rPr>
        <w:t>eceipts</w:t>
      </w:r>
      <w:r w:rsidR="00D3289A">
        <w:t xml:space="preserve">, rather than fuel </w:t>
      </w:r>
      <w:r w:rsidR="00D3289A" w:rsidRPr="00D3289A">
        <w:rPr>
          <w:i/>
        </w:rPr>
        <w:t>consumed</w:t>
      </w:r>
      <w:r w:rsidR="00D3289A">
        <w:t>.</w:t>
      </w:r>
      <w:r>
        <w:t xml:space="preserve">  </w:t>
      </w:r>
      <w:r w:rsidR="007B2324">
        <w:t>Price and quality can be precisely tied to specific shipments (receipts) of fuel and fuel contracts.  Once coal and fuel oil are delivered to a power plant</w:t>
      </w:r>
      <w:r w:rsidR="00D804CB">
        <w:t>,</w:t>
      </w:r>
      <w:r w:rsidR="007B2324">
        <w:t xml:space="preserve"> the fuels are intermingled with existing inventory</w:t>
      </w:r>
      <w:r w:rsidR="00D804CB">
        <w:t xml:space="preserve">. </w:t>
      </w:r>
      <w:r w:rsidR="007B2324">
        <w:t xml:space="preserve"> </w:t>
      </w:r>
      <w:r w:rsidR="00426DF1">
        <w:t>When the fuel is burned</w:t>
      </w:r>
      <w:r w:rsidR="00D804CB">
        <w:t xml:space="preserve">, </w:t>
      </w:r>
      <w:r w:rsidR="007B2324">
        <w:t xml:space="preserve">the clear linkages between quality, contract, and price are lost.  </w:t>
      </w:r>
      <w:r w:rsidR="007D487A">
        <w:t xml:space="preserve">This </w:t>
      </w:r>
      <w:r w:rsidR="007B2324">
        <w:t>intermingling issue also applies to natural gas in the case of power plants that have multiple pipeline connections.</w:t>
      </w:r>
    </w:p>
    <w:p w:rsidR="009A0D41" w:rsidRDefault="009A0D41" w:rsidP="001A5794">
      <w:pPr>
        <w:spacing w:before="100" w:beforeAutospacing="1" w:after="100" w:afterAutospacing="1"/>
        <w:jc w:val="both"/>
      </w:pPr>
      <w:r>
        <w:t>Although th</w:t>
      </w:r>
      <w:r w:rsidR="00206513">
        <w:t xml:space="preserve">e quality data collected by </w:t>
      </w:r>
      <w:r>
        <w:t>Schedule</w:t>
      </w:r>
      <w:r w:rsidR="00206513">
        <w:t xml:space="preserve"> 2 ha</w:t>
      </w:r>
      <w:r w:rsidR="00426DF1">
        <w:t>ve</w:t>
      </w:r>
      <w:r w:rsidR="00206513">
        <w:t xml:space="preserve"> some relationship to power plant environmental performance (e.g., the sulfur content of fuel)</w:t>
      </w:r>
      <w:r w:rsidR="00426DF1">
        <w:t>,</w:t>
      </w:r>
      <w:r w:rsidR="00206513">
        <w:t xml:space="preserve"> the quality data </w:t>
      </w:r>
      <w:r w:rsidR="00426DF1">
        <w:t xml:space="preserve">are </w:t>
      </w:r>
      <w:r w:rsidR="00206513">
        <w:t>collected primarily to illuminate quality/price relationships.  For environmental analysis purposes</w:t>
      </w:r>
      <w:r w:rsidR="00426DF1">
        <w:t>,</w:t>
      </w:r>
      <w:r w:rsidR="00206513">
        <w:t xml:space="preserve"> the key data </w:t>
      </w:r>
      <w:r w:rsidR="00F5316A">
        <w:t>are</w:t>
      </w:r>
      <w:r w:rsidR="00206513">
        <w:t xml:space="preserve"> collected on </w:t>
      </w:r>
      <w:r w:rsidR="00D3289A">
        <w:t xml:space="preserve">other schedules of the </w:t>
      </w:r>
      <w:r w:rsidR="00F5316A">
        <w:t xml:space="preserve">Form </w:t>
      </w:r>
      <w:r w:rsidR="00D3289A">
        <w:t xml:space="preserve">EIA-923 that collect data on the quality of fuel actually burned in </w:t>
      </w:r>
      <w:r w:rsidR="00AD10ED">
        <w:t>steam electric</w:t>
      </w:r>
      <w:r w:rsidR="00D3289A">
        <w:t xml:space="preserve"> power plant</w:t>
      </w:r>
      <w:r w:rsidR="00AD10ED">
        <w:t>s</w:t>
      </w:r>
      <w:r w:rsidR="00D3289A">
        <w:t xml:space="preserve"> (i.e., the quality data that most closely tie to actual emissions of pollutants).</w:t>
      </w:r>
      <w:r w:rsidR="007F0312">
        <w:rPr>
          <w:rStyle w:val="FootnoteReference"/>
        </w:rPr>
        <w:footnoteReference w:id="7"/>
      </w:r>
      <w:r w:rsidR="00D3289A">
        <w:t xml:space="preserve">  </w:t>
      </w:r>
      <w:r w:rsidR="00AD10ED">
        <w:t>However,</w:t>
      </w:r>
      <w:r w:rsidR="00D3289A">
        <w:t xml:space="preserve"> one important quality element, the mercury content of </w:t>
      </w:r>
      <w:r w:rsidR="00D640D3">
        <w:t>coal</w:t>
      </w:r>
      <w:r w:rsidR="00AD10ED">
        <w:t xml:space="preserve">, is </w:t>
      </w:r>
      <w:r w:rsidR="00D3289A">
        <w:t xml:space="preserve">not available in the </w:t>
      </w:r>
      <w:r w:rsidR="007D487A">
        <w:t>“</w:t>
      </w:r>
      <w:r w:rsidR="00D3289A">
        <w:t>as-burned</w:t>
      </w:r>
      <w:r w:rsidR="007D487A">
        <w:t>”</w:t>
      </w:r>
      <w:r w:rsidR="00D3289A">
        <w:t xml:space="preserve"> data</w:t>
      </w:r>
      <w:r w:rsidR="00DA6EE9">
        <w:t>; t</w:t>
      </w:r>
      <w:r w:rsidR="00D3289A">
        <w:t>his issue is discussed</w:t>
      </w:r>
      <w:r w:rsidR="00584D27">
        <w:t>,</w:t>
      </w:r>
      <w:r w:rsidR="00D3289A">
        <w:t xml:space="preserve"> below</w:t>
      </w:r>
      <w:r w:rsidR="007B2324">
        <w:t xml:space="preserve">.  All other quality parameters collected for fuel receipts (e.g., sulfur content, ash content, heat content, and volume of fuel burned) are also collected </w:t>
      </w:r>
      <w:r w:rsidR="007D487A">
        <w:t>“</w:t>
      </w:r>
      <w:r w:rsidR="007B2324">
        <w:t>as-burned</w:t>
      </w:r>
      <w:r w:rsidR="007D487A">
        <w:t>”</w:t>
      </w:r>
      <w:r w:rsidR="00DA6EE9">
        <w:t xml:space="preserve"> for environmental analysis purposes.</w:t>
      </w:r>
    </w:p>
    <w:p w:rsidR="00E25119" w:rsidRDefault="009A0D41" w:rsidP="001A5794">
      <w:pPr>
        <w:spacing w:before="100" w:beforeAutospacing="1" w:after="0"/>
        <w:jc w:val="both"/>
        <w:rPr>
          <w:b/>
          <w:sz w:val="24"/>
          <w:szCs w:val="24"/>
        </w:rPr>
      </w:pPr>
      <w:r>
        <w:t>EIA proposes to modify the frame for Schedule 2 reporting as follows:</w:t>
      </w:r>
    </w:p>
    <w:p w:rsidR="00773785" w:rsidRDefault="009A0D41" w:rsidP="00A62D30">
      <w:pPr>
        <w:pStyle w:val="ListParagraph"/>
        <w:numPr>
          <w:ilvl w:val="0"/>
          <w:numId w:val="7"/>
        </w:numPr>
        <w:spacing w:before="120" w:after="120"/>
        <w:contextualSpacing w:val="0"/>
      </w:pPr>
      <w:r>
        <w:t>Raise the</w:t>
      </w:r>
      <w:r w:rsidR="00AD10ED">
        <w:t xml:space="preserve"> reporting </w:t>
      </w:r>
      <w:r>
        <w:t xml:space="preserve">threshold </w:t>
      </w:r>
      <w:r w:rsidR="00AD10ED">
        <w:t>from 50 M</w:t>
      </w:r>
      <w:r w:rsidR="00F5316A">
        <w:t>W</w:t>
      </w:r>
      <w:r w:rsidR="00AD10ED">
        <w:t xml:space="preserve"> </w:t>
      </w:r>
      <w:r>
        <w:t xml:space="preserve">to 200 MW of nameplate capacity for plants fueled by natural gas, petroleum coke, distillate fuel oil, and residual fuel oil.  </w:t>
      </w:r>
      <w:r w:rsidR="00F928F0">
        <w:t>T</w:t>
      </w:r>
      <w:r>
        <w:t xml:space="preserve">he reporting threshold </w:t>
      </w:r>
      <w:r w:rsidRPr="00F928F0">
        <w:t>w</w:t>
      </w:r>
      <w:r w:rsidR="00DC6AB0" w:rsidRPr="00F928F0">
        <w:t>ill</w:t>
      </w:r>
      <w:r w:rsidRPr="00F928F0">
        <w:t xml:space="preserve"> not be raised for coal-fired power plants</w:t>
      </w:r>
      <w:r w:rsidR="00F928F0">
        <w:t>; it will remain at 50 MW</w:t>
      </w:r>
      <w:r w:rsidR="00DA6EE9">
        <w:t xml:space="preserve"> for the reasons discussed later in this section</w:t>
      </w:r>
      <w:r>
        <w:t>.</w:t>
      </w:r>
    </w:p>
    <w:p w:rsidR="00773785" w:rsidRDefault="009A0D41" w:rsidP="00A62D30">
      <w:pPr>
        <w:pStyle w:val="ListParagraph"/>
        <w:numPr>
          <w:ilvl w:val="0"/>
          <w:numId w:val="7"/>
        </w:numPr>
        <w:autoSpaceDE w:val="0"/>
        <w:autoSpaceDN w:val="0"/>
        <w:adjustRightInd w:val="0"/>
        <w:spacing w:before="120" w:after="120"/>
        <w:contextualSpacing w:val="0"/>
      </w:pPr>
      <w:r>
        <w:t>Remove the reporting requirement for self-produced and minor fuels</w:t>
      </w:r>
      <w:r w:rsidR="00AA6EBB">
        <w:t xml:space="preserve"> (</w:t>
      </w:r>
      <w:r>
        <w:t xml:space="preserve">i.e., blast furnace gas, other manufactured gases, kerosene, </w:t>
      </w:r>
      <w:r w:rsidR="00F928F0">
        <w:t xml:space="preserve">propane, </w:t>
      </w:r>
      <w:r>
        <w:t>jet fuel, and waste oils</w:t>
      </w:r>
      <w:r w:rsidR="00AA6EBB">
        <w:t>)</w:t>
      </w:r>
      <w:r>
        <w:t>.</w:t>
      </w:r>
    </w:p>
    <w:p w:rsidR="007B2324" w:rsidRDefault="00E502BE" w:rsidP="00584D27">
      <w:pPr>
        <w:spacing w:before="100" w:beforeAutospacing="1" w:after="100" w:afterAutospacing="1"/>
        <w:jc w:val="both"/>
      </w:pPr>
      <w:r>
        <w:t>As in the case of the Form EIA-861, part of the rationale for the proposed changes to Schedule 2 of the Form EIA-923 is to avoid the disproportionate amount of time needed to edit the data submitted by small entities.  In addition, the minor and self</w:t>
      </w:r>
      <w:r w:rsidR="009A0D0E">
        <w:t>-</w:t>
      </w:r>
      <w:r>
        <w:t xml:space="preserve">produced fuels are time-consuming to edit, because the </w:t>
      </w:r>
      <w:r w:rsidR="00C62A0C">
        <w:t xml:space="preserve">fuel </w:t>
      </w:r>
      <w:r>
        <w:t>quality is inconsistent and the prices are volatile.</w:t>
      </w:r>
    </w:p>
    <w:p w:rsidR="009A0D41" w:rsidRDefault="009A0D41" w:rsidP="00584D27">
      <w:pPr>
        <w:spacing w:before="100" w:beforeAutospacing="1" w:after="100" w:afterAutospacing="1"/>
        <w:jc w:val="both"/>
      </w:pPr>
      <w:r>
        <w:t>If approved, these changes w</w:t>
      </w:r>
      <w:r w:rsidR="00DC6AB0">
        <w:t>ill</w:t>
      </w:r>
      <w:r>
        <w:t xml:space="preserve"> reduce natural gas data collection on Schedule 2 from approximately 1,339 to 603 plants with a reduction of approximately 9 percent of natural gas purchases, cost, and quality data.  Petroleum (including petroleum coke) data collection on Schedule 2 will be reduced from approximately 160 to 57 plants with a reduction of approximately 22 percent of petroleum and petroleum coke purchases, cost, and quality data.  Additionally, 35 plants will no longer be required to report purchases of blast furnace gas, other manufactured gases, kerosene, jet fuel, propane, and waste oil.</w:t>
      </w:r>
    </w:p>
    <w:p w:rsidR="007B2324" w:rsidRDefault="007B2324" w:rsidP="00584D27">
      <w:pPr>
        <w:autoSpaceDE w:val="0"/>
        <w:autoSpaceDN w:val="0"/>
        <w:adjustRightInd w:val="0"/>
        <w:spacing w:before="100" w:beforeAutospacing="1" w:after="0"/>
        <w:jc w:val="both"/>
      </w:pPr>
      <w:r>
        <w:t>As noted above, no change is proposed for the 50 M</w:t>
      </w:r>
      <w:r w:rsidR="00F5316A">
        <w:t>W</w:t>
      </w:r>
      <w:r>
        <w:t xml:space="preserve"> reporting threshold for coal-fired power plants.  Increasing the reporting threshold for coal plants was part of EIA’s original plan put forth in the 60-day </w:t>
      </w:r>
      <w:r w:rsidR="001576F8" w:rsidRPr="001576F8">
        <w:t>Federal Register</w:t>
      </w:r>
      <w:r>
        <w:t xml:space="preserve"> </w:t>
      </w:r>
      <w:r w:rsidR="00F5316A">
        <w:t>N</w:t>
      </w:r>
      <w:r>
        <w:t xml:space="preserve">otice.  However, </w:t>
      </w:r>
      <w:r w:rsidR="009A0D0E">
        <w:t xml:space="preserve">in response to this notice </w:t>
      </w:r>
      <w:r>
        <w:t>EIA received persuasive argument</w:t>
      </w:r>
      <w:r w:rsidR="00CB734A">
        <w:t>s</w:t>
      </w:r>
      <w:r>
        <w:t xml:space="preserve"> to leave the reporting threshold unchanged for coal plants.  The key argument, made </w:t>
      </w:r>
      <w:r w:rsidR="004D4468">
        <w:t>in</w:t>
      </w:r>
      <w:r>
        <w:t xml:space="preserve"> several comment</w:t>
      </w:r>
      <w:r w:rsidR="004D4468">
        <w:t>s</w:t>
      </w:r>
      <w:r>
        <w:t xml:space="preserve">, is that because coal plants (and particularly small coal plants) are currently at risk of retirement, it is essential that the government continue to provide the same level of information on the costs and characteristics of these plants.  </w:t>
      </w:r>
      <w:r w:rsidR="00CB734A">
        <w:t>Comments</w:t>
      </w:r>
      <w:r>
        <w:t xml:space="preserve"> </w:t>
      </w:r>
      <w:r w:rsidR="00CB734A">
        <w:t xml:space="preserve">were also made </w:t>
      </w:r>
      <w:r>
        <w:t>that increasing the reporting threshold w</w:t>
      </w:r>
      <w:r w:rsidR="00CB734A">
        <w:t>ill</w:t>
      </w:r>
      <w:r>
        <w:t xml:space="preserve"> eliminate most reporting for certain parts of the United States (</w:t>
      </w:r>
      <w:r w:rsidR="00D640D3">
        <w:t>e.g.</w:t>
      </w:r>
      <w:r>
        <w:t xml:space="preserve">, the northeast and California) and most coverage for certain types of coal (e.g., waste coal).  Another consideration, as noted above, is </w:t>
      </w:r>
      <w:r w:rsidR="00AD0D96">
        <w:t xml:space="preserve">that </w:t>
      </w:r>
      <w:r>
        <w:t xml:space="preserve">the Schedule 2 receipts data </w:t>
      </w:r>
      <w:r w:rsidR="00F5316A">
        <w:t>are</w:t>
      </w:r>
      <w:r>
        <w:t xml:space="preserve"> the only source of data </w:t>
      </w:r>
      <w:r w:rsidR="00F5316A">
        <w:t>for</w:t>
      </w:r>
      <w:r>
        <w:t xml:space="preserve"> the mercury content of coal used at power plants.</w:t>
      </w:r>
      <w:r w:rsidR="00F928F0">
        <w:t xml:space="preserve">  (The comments received in response to the Federal Register Notice and EIA’s answers are summarized in Appendix A-1.)</w:t>
      </w:r>
    </w:p>
    <w:p w:rsidR="00DA6EE9" w:rsidRDefault="00DA6EE9" w:rsidP="00584D27">
      <w:pPr>
        <w:autoSpaceDE w:val="0"/>
        <w:autoSpaceDN w:val="0"/>
        <w:adjustRightInd w:val="0"/>
        <w:spacing w:before="100" w:beforeAutospacing="1" w:after="0"/>
        <w:jc w:val="both"/>
      </w:pPr>
    </w:p>
    <w:p w:rsidR="00E25119" w:rsidRPr="00571484" w:rsidRDefault="00E25119" w:rsidP="000A47ED">
      <w:pPr>
        <w:pStyle w:val="Heading2"/>
      </w:pPr>
      <w:bookmarkStart w:id="18" w:name="_Toc524334490"/>
      <w:bookmarkStart w:id="19" w:name="_Toc524334572"/>
      <w:bookmarkStart w:id="20" w:name="_Toc524334720"/>
      <w:bookmarkStart w:id="21" w:name="_Toc524334913"/>
      <w:bookmarkStart w:id="22" w:name="_Toc81279296"/>
      <w:bookmarkStart w:id="23" w:name="_Toc343524150"/>
      <w:r w:rsidRPr="00571484">
        <w:t>A.3. Use of Technology</w:t>
      </w:r>
      <w:bookmarkEnd w:id="18"/>
      <w:bookmarkEnd w:id="19"/>
      <w:bookmarkEnd w:id="20"/>
      <w:bookmarkEnd w:id="21"/>
      <w:bookmarkEnd w:id="22"/>
      <w:bookmarkEnd w:id="23"/>
    </w:p>
    <w:p w:rsidR="0002449A" w:rsidRPr="00B92317" w:rsidRDefault="0002449A" w:rsidP="0002449A">
      <w:pPr>
        <w:pStyle w:val="Heading5"/>
        <w:ind w:left="720"/>
      </w:pPr>
      <w:bookmarkStart w:id="24" w:name="_Toc328723065"/>
      <w:r>
        <w:t>A.3</w:t>
      </w:r>
      <w:r w:rsidRPr="003806C8">
        <w:t xml:space="preserve">.1. </w:t>
      </w:r>
      <w:r>
        <w:t>General</w:t>
      </w:r>
      <w:bookmarkEnd w:id="24"/>
    </w:p>
    <w:p w:rsidR="00EC5C76" w:rsidRDefault="00EC5C76" w:rsidP="004D4468">
      <w:pPr>
        <w:spacing w:before="120" w:after="100" w:afterAutospacing="1"/>
        <w:jc w:val="both"/>
      </w:pPr>
      <w:r>
        <w:t xml:space="preserve">All EIA electric power </w:t>
      </w:r>
      <w:r w:rsidR="00AD10ED">
        <w:t xml:space="preserve">surveys </w:t>
      </w:r>
      <w:r>
        <w:t>use Internet-based data collection systems as the primary means of data collection.  Approximately 95</w:t>
      </w:r>
      <w:r w:rsidR="00F5316A">
        <w:t xml:space="preserve"> percent</w:t>
      </w:r>
      <w:r>
        <w:t xml:space="preserve"> of all electric power surveys are currently filed with EIA using the Internet systems.  Most routine contact with respondents (e.g., notification that a survey has opened for a collection cyc</w:t>
      </w:r>
      <w:r w:rsidR="00976846">
        <w:t>le) is performed using e-mail.</w:t>
      </w:r>
    </w:p>
    <w:p w:rsidR="00EC5C76" w:rsidRDefault="00EC5C76" w:rsidP="004D4468">
      <w:pPr>
        <w:spacing w:before="100" w:beforeAutospacing="1" w:after="100" w:afterAutospacing="1"/>
        <w:jc w:val="both"/>
      </w:pPr>
      <w:r>
        <w:t xml:space="preserve">Internet data collection will continue to be the primary collection mode for the proposed modified </w:t>
      </w:r>
      <w:r w:rsidR="00F5316A">
        <w:t>Form</w:t>
      </w:r>
      <w:r w:rsidR="00C06F26">
        <w:t>s</w:t>
      </w:r>
      <w:r w:rsidR="00F5316A">
        <w:t xml:space="preserve"> </w:t>
      </w:r>
      <w:r>
        <w:t xml:space="preserve">EIA-923 and EIA-861 surveys and for the new </w:t>
      </w:r>
      <w:r w:rsidR="00F5316A">
        <w:t xml:space="preserve">Form </w:t>
      </w:r>
      <w:r>
        <w:t xml:space="preserve">EIA-861S survey.  The Internet-based system </w:t>
      </w:r>
      <w:r w:rsidR="00571484" w:rsidRPr="000D6A2A">
        <w:t>allows respondents to enter their data directly into the EIA survey database</w:t>
      </w:r>
      <w:r w:rsidR="00F5316A">
        <w:t>,</w:t>
      </w:r>
      <w:r w:rsidR="00571484" w:rsidRPr="000D6A2A">
        <w:t xml:space="preserve"> which reduces the time needed for data collection and processing. </w:t>
      </w:r>
      <w:r w:rsidR="00C6544A">
        <w:t xml:space="preserve"> </w:t>
      </w:r>
      <w:r w:rsidR="00571484" w:rsidRPr="000D6A2A">
        <w:t xml:space="preserve">The system also identifies data that fail </w:t>
      </w:r>
      <w:r w:rsidR="00B1103C">
        <w:t>data validation rules</w:t>
      </w:r>
      <w:r w:rsidR="00B1103C" w:rsidRPr="000D6A2A">
        <w:t xml:space="preserve"> </w:t>
      </w:r>
      <w:r w:rsidR="00571484" w:rsidRPr="000D6A2A">
        <w:t>prior to submission</w:t>
      </w:r>
      <w:r w:rsidR="00F5316A">
        <w:t>,</w:t>
      </w:r>
      <w:r w:rsidR="00571484" w:rsidRPr="000D6A2A">
        <w:t xml:space="preserve"> which allows respondents to make necessary correction</w:t>
      </w:r>
      <w:r w:rsidR="009075DC">
        <w:t>s</w:t>
      </w:r>
      <w:r w:rsidR="00571484" w:rsidRPr="000D6A2A">
        <w:t xml:space="preserve"> or explain unusual events impacting the reported data</w:t>
      </w:r>
      <w:r w:rsidR="00C62A0C">
        <w:t xml:space="preserve"> </w:t>
      </w:r>
      <w:r w:rsidR="00571484" w:rsidRPr="000D6A2A">
        <w:t xml:space="preserve">prior to submission. </w:t>
      </w:r>
      <w:r w:rsidR="00C6544A">
        <w:t xml:space="preserve"> </w:t>
      </w:r>
      <w:r w:rsidR="00571484" w:rsidRPr="000D6A2A">
        <w:t xml:space="preserve">This </w:t>
      </w:r>
      <w:r w:rsidR="004D4468">
        <w:t xml:space="preserve">data editing process </w:t>
      </w:r>
      <w:r w:rsidR="00571484" w:rsidRPr="000D6A2A">
        <w:t xml:space="preserve">reduces respondent burden by reducing the number of times a respondent must resubmit forms prior to acceptance by EIA. </w:t>
      </w:r>
      <w:r w:rsidR="00C6544A">
        <w:t xml:space="preserve"> </w:t>
      </w:r>
      <w:r w:rsidR="00571484" w:rsidRPr="000D6A2A">
        <w:t>It also improves the timeliness of reporting the information to the public.</w:t>
      </w:r>
      <w:r w:rsidR="006976D8">
        <w:t xml:space="preserve"> </w:t>
      </w:r>
      <w:r w:rsidR="00571484" w:rsidRPr="000D6A2A">
        <w:t xml:space="preserve"> The only equipment and software the respondent require</w:t>
      </w:r>
      <w:r w:rsidR="006976D8">
        <w:t>s</w:t>
      </w:r>
      <w:r w:rsidR="00571484" w:rsidRPr="000D6A2A">
        <w:t xml:space="preserve"> is a connection to the Internet and a s</w:t>
      </w:r>
      <w:r w:rsidR="00704809">
        <w:t xml:space="preserve">tandard industry </w:t>
      </w:r>
      <w:r w:rsidR="006976D8">
        <w:t>W</w:t>
      </w:r>
      <w:r w:rsidR="00704809">
        <w:t>eb browser.</w:t>
      </w:r>
    </w:p>
    <w:p w:rsidR="00571484" w:rsidRDefault="00571484" w:rsidP="004D4468">
      <w:pPr>
        <w:spacing w:before="100" w:beforeAutospacing="1" w:after="0"/>
        <w:jc w:val="both"/>
      </w:pPr>
      <w:r w:rsidRPr="000D6A2A">
        <w:t xml:space="preserve">EIA will continue to make all survey forms and instructions available for printing or downloading from the EIA </w:t>
      </w:r>
      <w:r w:rsidR="006976D8">
        <w:t>W</w:t>
      </w:r>
      <w:r w:rsidRPr="000D6A2A">
        <w:t xml:space="preserve">eb </w:t>
      </w:r>
      <w:r w:rsidR="006976D8">
        <w:t>s</w:t>
      </w:r>
      <w:r w:rsidRPr="000D6A2A">
        <w:t>ite</w:t>
      </w:r>
      <w:r w:rsidR="00EC5C76">
        <w:t xml:space="preserve"> for respondents who cannot or will not use the Internet-based systems</w:t>
      </w:r>
      <w:r w:rsidRPr="000D6A2A">
        <w:t>.</w:t>
      </w:r>
    </w:p>
    <w:p w:rsidR="0002449A" w:rsidRPr="000D6A2A" w:rsidRDefault="0002449A" w:rsidP="0002449A">
      <w:pPr>
        <w:pStyle w:val="Heading5"/>
        <w:ind w:left="720"/>
      </w:pPr>
      <w:bookmarkStart w:id="25" w:name="_Toc328723066"/>
      <w:r>
        <w:t>A.3.2</w:t>
      </w:r>
      <w:r w:rsidRPr="003806C8">
        <w:t xml:space="preserve">. </w:t>
      </w:r>
      <w:r w:rsidRPr="00E30279">
        <w:rPr>
          <w:szCs w:val="24"/>
        </w:rPr>
        <w:t>Use of Pick-Lists (Including Dynamic Lists)</w:t>
      </w:r>
      <w:bookmarkEnd w:id="25"/>
    </w:p>
    <w:p w:rsidR="0002449A" w:rsidRPr="00796DF6" w:rsidRDefault="0002449A" w:rsidP="00E708DD">
      <w:pPr>
        <w:jc w:val="both"/>
      </w:pPr>
      <w:r w:rsidRPr="00796DF6">
        <w:t>Pick-lists are a means of limiting a respondent’s answers to a question to a finite set of acceptable choices.  The objectives are to reduce respondent burden and to improve data quality, while reducing the time and effort needed by EIA to edit a response.</w:t>
      </w:r>
    </w:p>
    <w:p w:rsidR="0002449A" w:rsidRPr="00796DF6" w:rsidRDefault="0002449A" w:rsidP="0002449A">
      <w:r w:rsidRPr="00796DF6">
        <w:t>Pick-lists</w:t>
      </w:r>
      <w:r w:rsidRPr="00796DF6">
        <w:rPr>
          <w:rStyle w:val="FootnoteReference"/>
        </w:rPr>
        <w:footnoteReference w:id="8"/>
      </w:r>
      <w:r w:rsidRPr="00796DF6">
        <w:t xml:space="preserve"> are used in software-enabled surveys to:</w:t>
      </w:r>
    </w:p>
    <w:p w:rsidR="0002449A" w:rsidRPr="00796DF6" w:rsidRDefault="0002449A" w:rsidP="00A62D30">
      <w:pPr>
        <w:pStyle w:val="ListParagraph"/>
        <w:numPr>
          <w:ilvl w:val="0"/>
          <w:numId w:val="12"/>
        </w:numPr>
        <w:spacing w:line="240" w:lineRule="auto"/>
        <w:contextualSpacing w:val="0"/>
      </w:pPr>
      <w:r w:rsidRPr="00796DF6">
        <w:t xml:space="preserve">Avoid typographical errors, such as mistyping the abbreviation for a </w:t>
      </w:r>
      <w:r w:rsidR="00C06F26">
        <w:t>S</w:t>
      </w:r>
      <w:r w:rsidRPr="00796DF6">
        <w:t xml:space="preserve">tate or month; </w:t>
      </w:r>
    </w:p>
    <w:p w:rsidR="0002449A" w:rsidRPr="00796DF6" w:rsidRDefault="0002449A" w:rsidP="00A62D30">
      <w:pPr>
        <w:pStyle w:val="ListParagraph"/>
        <w:numPr>
          <w:ilvl w:val="0"/>
          <w:numId w:val="12"/>
        </w:numPr>
        <w:spacing w:line="240" w:lineRule="auto"/>
        <w:contextualSpacing w:val="0"/>
      </w:pPr>
      <w:r w:rsidRPr="00796DF6">
        <w:t xml:space="preserve">Assure consistent responses to questions asking standard information, such as entering a </w:t>
      </w:r>
      <w:r w:rsidR="00C06F26">
        <w:t>S</w:t>
      </w:r>
      <w:r w:rsidRPr="00796DF6">
        <w:t xml:space="preserve">tate as text or a number; </w:t>
      </w:r>
    </w:p>
    <w:p w:rsidR="0002449A" w:rsidRPr="00796DF6" w:rsidRDefault="0002449A" w:rsidP="00A62D30">
      <w:pPr>
        <w:pStyle w:val="ListParagraph"/>
        <w:numPr>
          <w:ilvl w:val="0"/>
          <w:numId w:val="12"/>
        </w:numPr>
        <w:spacing w:line="240" w:lineRule="auto"/>
        <w:contextualSpacing w:val="0"/>
      </w:pPr>
      <w:r w:rsidRPr="00796DF6">
        <w:t xml:space="preserve">Assure consistent responses to questions asking for technical information when the same concept has multiple monikers (e.g., “short term” and “spot” fuel supply contracts).  </w:t>
      </w:r>
    </w:p>
    <w:p w:rsidR="0002449A" w:rsidRPr="00796DF6" w:rsidRDefault="0002449A" w:rsidP="007350F8">
      <w:pPr>
        <w:jc w:val="both"/>
      </w:pPr>
      <w:r w:rsidRPr="00796DF6">
        <w:t>When the pick-list requests a choice of technical information, the list typically includes an “Other” choice.  In some cases the “Other” choice is accompanied by a request for the respondent to provide additional information in a comment area in the survey.  The “Other” choice acts as a mechanism to ensure that the form is capable of collecting all possible categories when a pick-list is variable.</w:t>
      </w:r>
    </w:p>
    <w:p w:rsidR="0002449A" w:rsidRPr="00796DF6" w:rsidRDefault="0002449A" w:rsidP="0002449A">
      <w:r w:rsidRPr="00796DF6">
        <w:t xml:space="preserve"> There are three types of pick-lists that may be used in software-enabled EIA surveys:</w:t>
      </w:r>
    </w:p>
    <w:p w:rsidR="0002449A" w:rsidRPr="00796DF6" w:rsidRDefault="0002449A" w:rsidP="00A62D30">
      <w:pPr>
        <w:pStyle w:val="ListParagraph"/>
        <w:numPr>
          <w:ilvl w:val="0"/>
          <w:numId w:val="13"/>
        </w:numPr>
        <w:contextualSpacing w:val="0"/>
      </w:pPr>
      <w:r w:rsidRPr="00796DF6">
        <w:t>Static pick-lists include information which does not change, such as a list of months.</w:t>
      </w:r>
    </w:p>
    <w:p w:rsidR="0002449A" w:rsidRPr="00796DF6" w:rsidRDefault="0002449A" w:rsidP="00A62D30">
      <w:pPr>
        <w:pStyle w:val="ListParagraph"/>
        <w:numPr>
          <w:ilvl w:val="0"/>
          <w:numId w:val="13"/>
        </w:numPr>
        <w:contextualSpacing w:val="0"/>
      </w:pPr>
      <w:r w:rsidRPr="00796DF6">
        <w:t>Variable pick-lists include choices that may be changed by EIA depending on circumstance</w:t>
      </w:r>
      <w:r w:rsidR="00A02646">
        <w:t>s, e.g. on the Form EIA-923 Schedule 2, there is a pick-list of all known fuel suppliers.  However, new ones crop up frequently and the survey manager has the capability to add them to the pick-list.</w:t>
      </w:r>
      <w:r w:rsidRPr="00796DF6">
        <w:t xml:space="preserve">  </w:t>
      </w:r>
    </w:p>
    <w:p w:rsidR="0002449A" w:rsidRPr="007B24B7" w:rsidRDefault="0002449A" w:rsidP="00A62D30">
      <w:pPr>
        <w:pStyle w:val="ListParagraph"/>
        <w:numPr>
          <w:ilvl w:val="0"/>
          <w:numId w:val="13"/>
        </w:numPr>
        <w:contextualSpacing w:val="0"/>
      </w:pPr>
      <w:r w:rsidRPr="007B24B7">
        <w:t>Dynamic pick-lists include a list of choices that varies depending on the respondent</w:t>
      </w:r>
      <w:r w:rsidR="00A02646">
        <w:t>’s answer to another question</w:t>
      </w:r>
      <w:r w:rsidR="007350F8">
        <w:t>.  For example</w:t>
      </w:r>
      <w:r w:rsidR="00C06F26">
        <w:t>, on the F</w:t>
      </w:r>
      <w:r w:rsidR="00A02646">
        <w:t xml:space="preserve">orm EIA-923, a respondent selects the type of fuel </w:t>
      </w:r>
      <w:r w:rsidR="007350F8">
        <w:t>it</w:t>
      </w:r>
      <w:r w:rsidR="00A02646">
        <w:t xml:space="preserve"> purchased from a static pick-list.  When</w:t>
      </w:r>
      <w:r w:rsidR="007350F8">
        <w:t xml:space="preserve"> the respondent</w:t>
      </w:r>
      <w:r w:rsidR="00A02646">
        <w:t xml:space="preserve"> proceed</w:t>
      </w:r>
      <w:r w:rsidR="007350F8">
        <w:t xml:space="preserve">s to the question that requests </w:t>
      </w:r>
      <w:r w:rsidR="00A02646">
        <w:t xml:space="preserve">the name of the </w:t>
      </w:r>
      <w:r w:rsidR="007350F8">
        <w:t xml:space="preserve">fuel </w:t>
      </w:r>
      <w:r w:rsidR="00EE2A0F">
        <w:t>s</w:t>
      </w:r>
      <w:r w:rsidR="00A02646">
        <w:t>upplier, only suppliers of that type of fuel are on the pick-list.</w:t>
      </w:r>
    </w:p>
    <w:p w:rsidR="00F630A5" w:rsidRDefault="00F630A5" w:rsidP="00DB3EEB">
      <w:bookmarkStart w:id="26" w:name="_Toc81279297"/>
    </w:p>
    <w:p w:rsidR="00E25119" w:rsidRPr="008B5156" w:rsidRDefault="00E25119" w:rsidP="000A47ED">
      <w:pPr>
        <w:pStyle w:val="Heading2"/>
      </w:pPr>
      <w:bookmarkStart w:id="27" w:name="_Toc343524151"/>
      <w:r w:rsidRPr="008B5156">
        <w:t>A.4. Efforts to Reduce Duplication</w:t>
      </w:r>
      <w:bookmarkEnd w:id="26"/>
      <w:bookmarkEnd w:id="27"/>
    </w:p>
    <w:p w:rsidR="00E25119" w:rsidRDefault="009A0C0F" w:rsidP="004D4468">
      <w:pPr>
        <w:spacing w:before="120" w:after="0"/>
        <w:jc w:val="both"/>
      </w:pPr>
      <w:r>
        <w:t>In addition to EIA, several other government and private entities conduct electric power data collection, estimation, and/or publication programs.  These include:</w:t>
      </w:r>
    </w:p>
    <w:p w:rsidR="00773785" w:rsidRDefault="00E25119" w:rsidP="00A62D30">
      <w:pPr>
        <w:numPr>
          <w:ilvl w:val="0"/>
          <w:numId w:val="4"/>
        </w:numPr>
        <w:spacing w:before="120" w:after="120"/>
      </w:pPr>
      <w:r w:rsidRPr="00631A36">
        <w:t>American Public Power Association (APPA)</w:t>
      </w:r>
    </w:p>
    <w:p w:rsidR="00773785" w:rsidRDefault="00E25119" w:rsidP="00A62D30">
      <w:pPr>
        <w:numPr>
          <w:ilvl w:val="0"/>
          <w:numId w:val="4"/>
        </w:numPr>
        <w:spacing w:before="120" w:after="120"/>
      </w:pPr>
      <w:r w:rsidRPr="00631A36">
        <w:t>Edison Electric Institute (EEI)</w:t>
      </w:r>
    </w:p>
    <w:p w:rsidR="00773785" w:rsidRDefault="00E25119" w:rsidP="00A62D30">
      <w:pPr>
        <w:numPr>
          <w:ilvl w:val="0"/>
          <w:numId w:val="4"/>
        </w:numPr>
        <w:spacing w:before="120" w:after="120"/>
      </w:pPr>
      <w:r w:rsidRPr="00631A36">
        <w:t>Rural Utilities Service (RUS), U.S. Department of Agriculture</w:t>
      </w:r>
    </w:p>
    <w:p w:rsidR="00773785" w:rsidRDefault="00E25119" w:rsidP="00A62D30">
      <w:pPr>
        <w:numPr>
          <w:ilvl w:val="0"/>
          <w:numId w:val="4"/>
        </w:numPr>
        <w:spacing w:before="120" w:after="120"/>
      </w:pPr>
      <w:r w:rsidRPr="00631A36">
        <w:t>Federal Energy Regulatory Commission (FERC)</w:t>
      </w:r>
    </w:p>
    <w:p w:rsidR="00773785" w:rsidRDefault="00E25119" w:rsidP="00A62D30">
      <w:pPr>
        <w:numPr>
          <w:ilvl w:val="0"/>
          <w:numId w:val="4"/>
        </w:numPr>
        <w:spacing w:before="120" w:after="120"/>
      </w:pPr>
      <w:r w:rsidRPr="00631A36">
        <w:t>Nucl</w:t>
      </w:r>
      <w:r w:rsidR="0081144D">
        <w:t>ear Regulatory Commission (NRC);</w:t>
      </w:r>
    </w:p>
    <w:p w:rsidR="00773785" w:rsidRDefault="00E25119" w:rsidP="00A62D30">
      <w:pPr>
        <w:numPr>
          <w:ilvl w:val="0"/>
          <w:numId w:val="4"/>
        </w:numPr>
        <w:spacing w:before="120" w:after="120"/>
      </w:pPr>
      <w:r w:rsidRPr="00631A36">
        <w:t>DOE Office of Electricity Delivery and Energy Reliability (OEDER)</w:t>
      </w:r>
    </w:p>
    <w:p w:rsidR="00E25119" w:rsidRDefault="00E25119" w:rsidP="00D511FB">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0"/>
        <w:jc w:val="both"/>
      </w:pPr>
      <w:bookmarkStart w:id="28" w:name="_Toc524420601"/>
      <w:r w:rsidRPr="0043780E">
        <w:t xml:space="preserve">EIA evaluated </w:t>
      </w:r>
      <w:r w:rsidR="009777B0" w:rsidRPr="0043780E">
        <w:t>other</w:t>
      </w:r>
      <w:r w:rsidRPr="0043780E">
        <w:t xml:space="preserve"> sources of data relating to the electric power industry and has found no other source </w:t>
      </w:r>
      <w:r w:rsidR="00F630A5">
        <w:t>that can</w:t>
      </w:r>
      <w:r w:rsidRPr="0043780E">
        <w:t xml:space="preserve"> replace the</w:t>
      </w:r>
      <w:r w:rsidR="00EE2A0F" w:rsidRPr="0043780E">
        <w:t xml:space="preserve"> Form EIA-861 or Form EIA-923 Schedule 2 </w:t>
      </w:r>
      <w:r w:rsidRPr="0043780E">
        <w:t>collection surveys</w:t>
      </w:r>
      <w:r w:rsidR="00D511FB" w:rsidRPr="0043780E">
        <w:t xml:space="preserve"> (see Table 1, below)</w:t>
      </w:r>
      <w:r w:rsidRPr="0043780E">
        <w:t xml:space="preserve">.  </w:t>
      </w:r>
      <w:r w:rsidR="00F630A5">
        <w:t>This is</w:t>
      </w:r>
      <w:r w:rsidRPr="0043780E">
        <w:t xml:space="preserve"> because of differences in classification, inconsistency, incompleteness, unavailability, or lack of universal coverage.</w:t>
      </w:r>
    </w:p>
    <w:p w:rsidR="000A47ED" w:rsidRDefault="000A47ED" w:rsidP="000A47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34"/>
        <w:gridCol w:w="818"/>
        <w:gridCol w:w="2156"/>
        <w:gridCol w:w="4968"/>
      </w:tblGrid>
      <w:tr w:rsidR="00EC30E3" w:rsidRPr="00D54D08" w:rsidTr="00DB7381">
        <w:trPr>
          <w:cantSplit/>
          <w:tblHeader/>
        </w:trPr>
        <w:tc>
          <w:tcPr>
            <w:tcW w:w="9576" w:type="dxa"/>
            <w:gridSpan w:val="4"/>
            <w:tcBorders>
              <w:bottom w:val="single" w:sz="4" w:space="0" w:color="auto"/>
            </w:tcBorders>
          </w:tcPr>
          <w:p w:rsidR="00EC30E3" w:rsidRPr="00D54D08" w:rsidRDefault="00EC30E3" w:rsidP="00DB7381">
            <w:pPr>
              <w:spacing w:before="120" w:after="0" w:line="240" w:lineRule="auto"/>
              <w:jc w:val="center"/>
              <w:rPr>
                <w:b/>
                <w:sz w:val="24"/>
                <w:szCs w:val="24"/>
              </w:rPr>
            </w:pPr>
            <w:r w:rsidRPr="00D54D08">
              <w:rPr>
                <w:b/>
                <w:sz w:val="24"/>
                <w:szCs w:val="24"/>
              </w:rPr>
              <w:t>Table 1.  Electric Power Data Collection Programs and Forms</w:t>
            </w:r>
          </w:p>
          <w:p w:rsidR="00EC30E3" w:rsidRPr="00D54D08" w:rsidRDefault="00EC30E3" w:rsidP="00DB7381">
            <w:pPr>
              <w:spacing w:after="0" w:line="240" w:lineRule="auto"/>
              <w:rPr>
                <w:sz w:val="20"/>
                <w:szCs w:val="20"/>
              </w:rPr>
            </w:pPr>
          </w:p>
        </w:tc>
      </w:tr>
      <w:tr w:rsidR="00EC30E3" w:rsidRPr="00D54D08" w:rsidTr="00DB7381">
        <w:trPr>
          <w:cantSplit/>
          <w:tblHeader/>
        </w:trPr>
        <w:tc>
          <w:tcPr>
            <w:tcW w:w="1634" w:type="dxa"/>
            <w:shd w:val="clear" w:color="auto" w:fill="EEECE1"/>
          </w:tcPr>
          <w:p w:rsidR="00EC30E3" w:rsidRPr="00D54D08" w:rsidRDefault="00EC30E3" w:rsidP="00066FFA">
            <w:pPr>
              <w:spacing w:after="0" w:line="240" w:lineRule="auto"/>
              <w:rPr>
                <w:b/>
                <w:sz w:val="20"/>
                <w:szCs w:val="20"/>
              </w:rPr>
            </w:pPr>
            <w:r w:rsidRPr="00D54D08">
              <w:rPr>
                <w:b/>
                <w:sz w:val="20"/>
                <w:szCs w:val="20"/>
              </w:rPr>
              <w:t>Responsible Group</w:t>
            </w:r>
          </w:p>
        </w:tc>
        <w:tc>
          <w:tcPr>
            <w:tcW w:w="818" w:type="dxa"/>
            <w:shd w:val="clear" w:color="auto" w:fill="EEECE1"/>
          </w:tcPr>
          <w:p w:rsidR="00EC30E3" w:rsidRPr="00D54D08" w:rsidRDefault="00EC30E3" w:rsidP="00066FFA">
            <w:pPr>
              <w:spacing w:after="0" w:line="240" w:lineRule="auto"/>
              <w:rPr>
                <w:b/>
                <w:sz w:val="20"/>
                <w:szCs w:val="20"/>
              </w:rPr>
            </w:pPr>
            <w:r w:rsidRPr="00D54D08">
              <w:rPr>
                <w:b/>
                <w:sz w:val="20"/>
                <w:szCs w:val="20"/>
              </w:rPr>
              <w:t>Form No.</w:t>
            </w:r>
          </w:p>
        </w:tc>
        <w:tc>
          <w:tcPr>
            <w:tcW w:w="2156" w:type="dxa"/>
            <w:shd w:val="clear" w:color="auto" w:fill="EEECE1"/>
          </w:tcPr>
          <w:p w:rsidR="00EC30E3" w:rsidRPr="00D54D08" w:rsidRDefault="00EC30E3" w:rsidP="00066FFA">
            <w:pPr>
              <w:spacing w:after="0" w:line="240" w:lineRule="auto"/>
              <w:rPr>
                <w:b/>
                <w:sz w:val="20"/>
                <w:szCs w:val="20"/>
              </w:rPr>
            </w:pPr>
            <w:r w:rsidRPr="00D54D08">
              <w:rPr>
                <w:b/>
                <w:sz w:val="20"/>
                <w:szCs w:val="20"/>
              </w:rPr>
              <w:t>Title</w:t>
            </w:r>
          </w:p>
        </w:tc>
        <w:tc>
          <w:tcPr>
            <w:tcW w:w="4968" w:type="dxa"/>
            <w:shd w:val="clear" w:color="auto" w:fill="EEECE1"/>
          </w:tcPr>
          <w:p w:rsidR="00EC30E3" w:rsidRPr="00D54D08" w:rsidRDefault="00EC30E3" w:rsidP="00066FFA">
            <w:pPr>
              <w:spacing w:after="0" w:line="240" w:lineRule="auto"/>
              <w:rPr>
                <w:b/>
                <w:sz w:val="20"/>
                <w:szCs w:val="20"/>
              </w:rPr>
            </w:pPr>
            <w:r w:rsidRPr="00D54D08">
              <w:rPr>
                <w:b/>
                <w:sz w:val="20"/>
                <w:szCs w:val="20"/>
              </w:rPr>
              <w:t>Notes</w:t>
            </w:r>
          </w:p>
        </w:tc>
      </w:tr>
      <w:tr w:rsidR="00EC30E3" w:rsidRPr="00D54D08" w:rsidTr="00DB7381">
        <w:trPr>
          <w:cantSplit/>
        </w:trPr>
        <w:tc>
          <w:tcPr>
            <w:tcW w:w="1634" w:type="dxa"/>
          </w:tcPr>
          <w:p w:rsidR="00EC30E3" w:rsidRPr="00D54D08" w:rsidRDefault="00EC30E3" w:rsidP="00F630A5">
            <w:pPr>
              <w:spacing w:after="0" w:line="240" w:lineRule="auto"/>
              <w:rPr>
                <w:sz w:val="20"/>
                <w:szCs w:val="20"/>
              </w:rPr>
            </w:pPr>
            <w:r w:rsidRPr="00D54D08">
              <w:rPr>
                <w:sz w:val="20"/>
                <w:szCs w:val="20"/>
              </w:rPr>
              <w:t xml:space="preserve">American Public Power </w:t>
            </w:r>
            <w:r w:rsidR="0010739C" w:rsidRPr="00D54D08">
              <w:rPr>
                <w:sz w:val="20"/>
                <w:szCs w:val="20"/>
              </w:rPr>
              <w:t>Association</w:t>
            </w:r>
          </w:p>
        </w:tc>
        <w:tc>
          <w:tcPr>
            <w:tcW w:w="818" w:type="dxa"/>
          </w:tcPr>
          <w:p w:rsidR="00EC30E3" w:rsidRPr="00D54D08" w:rsidRDefault="00EC30E3" w:rsidP="00DB7381">
            <w:pPr>
              <w:spacing w:after="0" w:line="240" w:lineRule="auto"/>
              <w:rPr>
                <w:sz w:val="20"/>
                <w:szCs w:val="20"/>
              </w:rPr>
            </w:pPr>
            <w:r w:rsidRPr="00D54D08">
              <w:rPr>
                <w:sz w:val="20"/>
                <w:szCs w:val="20"/>
              </w:rPr>
              <w:t>N/A</w:t>
            </w:r>
          </w:p>
        </w:tc>
        <w:tc>
          <w:tcPr>
            <w:tcW w:w="2156" w:type="dxa"/>
          </w:tcPr>
          <w:p w:rsidR="00EC30E3" w:rsidRPr="00D54D08" w:rsidRDefault="00EC30E3" w:rsidP="00DB7381">
            <w:pPr>
              <w:spacing w:after="0" w:line="240" w:lineRule="auto"/>
              <w:rPr>
                <w:sz w:val="20"/>
                <w:szCs w:val="20"/>
              </w:rPr>
            </w:pPr>
            <w:r w:rsidRPr="00D54D08">
              <w:rPr>
                <w:sz w:val="20"/>
                <w:szCs w:val="20"/>
              </w:rPr>
              <w:t xml:space="preserve">Performance Indicators Survey </w:t>
            </w:r>
          </w:p>
          <w:p w:rsidR="00EC30E3" w:rsidRPr="00D54D08" w:rsidRDefault="00EC30E3" w:rsidP="00DB7381">
            <w:pPr>
              <w:spacing w:after="0" w:line="240" w:lineRule="auto"/>
              <w:rPr>
                <w:sz w:val="20"/>
                <w:szCs w:val="20"/>
              </w:rPr>
            </w:pPr>
          </w:p>
        </w:tc>
        <w:tc>
          <w:tcPr>
            <w:tcW w:w="4968" w:type="dxa"/>
          </w:tcPr>
          <w:p w:rsidR="00EC30E3" w:rsidRPr="00D54D08" w:rsidRDefault="00EC30E3" w:rsidP="00066FFA">
            <w:pPr>
              <w:spacing w:after="0" w:line="240" w:lineRule="auto"/>
              <w:rPr>
                <w:sz w:val="20"/>
                <w:szCs w:val="20"/>
              </w:rPr>
            </w:pPr>
            <w:r w:rsidRPr="00D54D08">
              <w:rPr>
                <w:sz w:val="20"/>
                <w:szCs w:val="20"/>
              </w:rPr>
              <w:t>Annual.  Survey of electric facilities at educational institutions.  Cost to non-members is $1,000.</w:t>
            </w:r>
          </w:p>
          <w:p w:rsidR="00EC30E3" w:rsidRPr="00D54D08" w:rsidRDefault="00EC30E3" w:rsidP="00066FFA">
            <w:pPr>
              <w:spacing w:after="0" w:line="240" w:lineRule="auto"/>
              <w:rPr>
                <w:sz w:val="20"/>
                <w:szCs w:val="20"/>
              </w:rPr>
            </w:pPr>
          </w:p>
        </w:tc>
      </w:tr>
      <w:tr w:rsidR="00EC30E3" w:rsidRPr="00D54D08" w:rsidTr="00DB7381">
        <w:trPr>
          <w:cantSplit/>
        </w:trPr>
        <w:tc>
          <w:tcPr>
            <w:tcW w:w="1634" w:type="dxa"/>
            <w:vMerge w:val="restart"/>
          </w:tcPr>
          <w:p w:rsidR="00EC30E3" w:rsidRPr="00D54D08" w:rsidRDefault="00EC30E3" w:rsidP="009A0D0E">
            <w:pPr>
              <w:spacing w:after="0" w:line="240" w:lineRule="auto"/>
              <w:rPr>
                <w:sz w:val="20"/>
                <w:szCs w:val="20"/>
              </w:rPr>
            </w:pPr>
            <w:r w:rsidRPr="00D54D08">
              <w:rPr>
                <w:sz w:val="20"/>
                <w:szCs w:val="20"/>
              </w:rPr>
              <w:t>Edison Electric Institute</w:t>
            </w:r>
          </w:p>
        </w:tc>
        <w:tc>
          <w:tcPr>
            <w:tcW w:w="818" w:type="dxa"/>
          </w:tcPr>
          <w:p w:rsidR="00EC30E3" w:rsidRPr="00D54D08" w:rsidRDefault="00EC30E3" w:rsidP="00DB7381">
            <w:pPr>
              <w:spacing w:after="0" w:line="240" w:lineRule="auto"/>
              <w:rPr>
                <w:sz w:val="20"/>
                <w:szCs w:val="20"/>
              </w:rPr>
            </w:pPr>
            <w:r w:rsidRPr="00D54D08">
              <w:rPr>
                <w:sz w:val="20"/>
                <w:szCs w:val="20"/>
              </w:rPr>
              <w:t>N/A</w:t>
            </w:r>
          </w:p>
        </w:tc>
        <w:tc>
          <w:tcPr>
            <w:tcW w:w="2156" w:type="dxa"/>
          </w:tcPr>
          <w:p w:rsidR="00EC30E3" w:rsidRPr="00D54D08" w:rsidRDefault="00EC30E3" w:rsidP="00DB7381">
            <w:pPr>
              <w:spacing w:after="0" w:line="240" w:lineRule="auto"/>
              <w:rPr>
                <w:sz w:val="20"/>
                <w:szCs w:val="20"/>
              </w:rPr>
            </w:pPr>
            <w:r w:rsidRPr="00D54D08">
              <w:rPr>
                <w:sz w:val="20"/>
                <w:szCs w:val="20"/>
              </w:rPr>
              <w:t>Transmission and Distribution Line Information (not published)</w:t>
            </w:r>
          </w:p>
        </w:tc>
        <w:tc>
          <w:tcPr>
            <w:tcW w:w="4968" w:type="dxa"/>
          </w:tcPr>
          <w:p w:rsidR="00EC30E3" w:rsidRPr="00D54D08" w:rsidRDefault="00EC30E3" w:rsidP="00066FFA">
            <w:pPr>
              <w:spacing w:after="0" w:line="240" w:lineRule="auto"/>
              <w:rPr>
                <w:sz w:val="20"/>
                <w:szCs w:val="20"/>
              </w:rPr>
            </w:pPr>
            <w:r w:rsidRPr="00D54D08">
              <w:rPr>
                <w:sz w:val="20"/>
                <w:szCs w:val="20"/>
              </w:rPr>
              <w:t>DISCONTINUED</w:t>
            </w:r>
          </w:p>
        </w:tc>
      </w:tr>
      <w:tr w:rsidR="00EC30E3" w:rsidRPr="00D54D08" w:rsidTr="00DB7381">
        <w:trPr>
          <w:cantSplit/>
        </w:trPr>
        <w:tc>
          <w:tcPr>
            <w:tcW w:w="1634" w:type="dxa"/>
            <w:vMerge/>
          </w:tcPr>
          <w:p w:rsidR="00EC30E3" w:rsidRPr="00D54D08" w:rsidRDefault="00EC30E3" w:rsidP="009A0D0E">
            <w:pPr>
              <w:spacing w:after="0" w:line="240" w:lineRule="auto"/>
              <w:rPr>
                <w:sz w:val="20"/>
                <w:szCs w:val="20"/>
              </w:rPr>
            </w:pPr>
          </w:p>
        </w:tc>
        <w:tc>
          <w:tcPr>
            <w:tcW w:w="818" w:type="dxa"/>
          </w:tcPr>
          <w:p w:rsidR="00EC30E3" w:rsidRPr="00D54D08" w:rsidRDefault="00EC30E3" w:rsidP="00DB7381">
            <w:pPr>
              <w:spacing w:after="0" w:line="240" w:lineRule="auto"/>
              <w:rPr>
                <w:sz w:val="20"/>
                <w:szCs w:val="20"/>
              </w:rPr>
            </w:pPr>
            <w:r w:rsidRPr="00D54D08">
              <w:rPr>
                <w:sz w:val="20"/>
                <w:szCs w:val="20"/>
              </w:rPr>
              <w:t>N/A</w:t>
            </w:r>
          </w:p>
        </w:tc>
        <w:tc>
          <w:tcPr>
            <w:tcW w:w="2156" w:type="dxa"/>
          </w:tcPr>
          <w:p w:rsidR="00EC30E3" w:rsidRPr="00D54D08" w:rsidRDefault="00EC30E3" w:rsidP="00DB7381">
            <w:pPr>
              <w:spacing w:after="0" w:line="240" w:lineRule="auto"/>
              <w:rPr>
                <w:sz w:val="20"/>
                <w:szCs w:val="20"/>
              </w:rPr>
            </w:pPr>
            <w:r w:rsidRPr="00D54D08">
              <w:rPr>
                <w:sz w:val="20"/>
                <w:szCs w:val="20"/>
              </w:rPr>
              <w:t>Typical Electric Bills</w:t>
            </w:r>
          </w:p>
        </w:tc>
        <w:tc>
          <w:tcPr>
            <w:tcW w:w="4968" w:type="dxa"/>
          </w:tcPr>
          <w:p w:rsidR="00EC30E3" w:rsidRPr="00D54D08" w:rsidRDefault="00EC30E3" w:rsidP="00066FFA">
            <w:pPr>
              <w:spacing w:after="0" w:line="240" w:lineRule="auto"/>
              <w:rPr>
                <w:sz w:val="20"/>
                <w:szCs w:val="20"/>
              </w:rPr>
            </w:pPr>
            <w:r w:rsidRPr="00D54D08">
              <w:rPr>
                <w:sz w:val="20"/>
                <w:szCs w:val="20"/>
              </w:rPr>
              <w:t>Semi-Annual; limited to investor- -owned electric utilities.</w:t>
            </w:r>
          </w:p>
        </w:tc>
      </w:tr>
      <w:tr w:rsidR="00EC30E3" w:rsidRPr="00D54D08" w:rsidTr="00DB7381">
        <w:trPr>
          <w:cantSplit/>
        </w:trPr>
        <w:tc>
          <w:tcPr>
            <w:tcW w:w="1634" w:type="dxa"/>
            <w:vMerge/>
          </w:tcPr>
          <w:p w:rsidR="00EC30E3" w:rsidRPr="00D54D08" w:rsidRDefault="00EC30E3" w:rsidP="009A0D0E">
            <w:pPr>
              <w:spacing w:after="0" w:line="240" w:lineRule="auto"/>
              <w:rPr>
                <w:sz w:val="20"/>
                <w:szCs w:val="20"/>
              </w:rPr>
            </w:pPr>
          </w:p>
        </w:tc>
        <w:tc>
          <w:tcPr>
            <w:tcW w:w="818" w:type="dxa"/>
          </w:tcPr>
          <w:p w:rsidR="00EC30E3" w:rsidRPr="00D54D08" w:rsidRDefault="00EC30E3" w:rsidP="00DB7381">
            <w:pPr>
              <w:spacing w:after="0" w:line="240" w:lineRule="auto"/>
              <w:rPr>
                <w:sz w:val="20"/>
                <w:szCs w:val="20"/>
              </w:rPr>
            </w:pPr>
            <w:r w:rsidRPr="00D54D08">
              <w:rPr>
                <w:sz w:val="20"/>
                <w:szCs w:val="20"/>
              </w:rPr>
              <w:t>N/A</w:t>
            </w:r>
          </w:p>
        </w:tc>
        <w:tc>
          <w:tcPr>
            <w:tcW w:w="2156" w:type="dxa"/>
          </w:tcPr>
          <w:p w:rsidR="00EC30E3" w:rsidRPr="00D54D08" w:rsidRDefault="00EC30E3" w:rsidP="00DB7381">
            <w:pPr>
              <w:spacing w:after="0" w:line="240" w:lineRule="auto"/>
              <w:rPr>
                <w:sz w:val="20"/>
                <w:szCs w:val="20"/>
              </w:rPr>
            </w:pPr>
            <w:r w:rsidRPr="00D54D08">
              <w:rPr>
                <w:sz w:val="20"/>
                <w:szCs w:val="20"/>
              </w:rPr>
              <w:t>Uniform Statistical Report</w:t>
            </w:r>
          </w:p>
        </w:tc>
        <w:tc>
          <w:tcPr>
            <w:tcW w:w="4968" w:type="dxa"/>
          </w:tcPr>
          <w:p w:rsidR="00EC30E3" w:rsidRPr="00D54D08" w:rsidRDefault="00EC30E3" w:rsidP="00066FFA">
            <w:pPr>
              <w:spacing w:after="0" w:line="240" w:lineRule="auto"/>
              <w:rPr>
                <w:sz w:val="20"/>
                <w:szCs w:val="20"/>
              </w:rPr>
            </w:pPr>
            <w:r w:rsidRPr="00D54D08">
              <w:rPr>
                <w:sz w:val="20"/>
                <w:szCs w:val="20"/>
              </w:rPr>
              <w:t>DISCONTINUED.  EEI decided it was too great a reporting burden for its membership.</w:t>
            </w:r>
          </w:p>
        </w:tc>
      </w:tr>
      <w:tr w:rsidR="00EC30E3" w:rsidRPr="00D54D08" w:rsidTr="00DB7381">
        <w:trPr>
          <w:cantSplit/>
        </w:trPr>
        <w:tc>
          <w:tcPr>
            <w:tcW w:w="1634" w:type="dxa"/>
            <w:vMerge/>
          </w:tcPr>
          <w:p w:rsidR="00EC30E3" w:rsidRPr="00D54D08" w:rsidRDefault="00EC30E3" w:rsidP="009A0D0E">
            <w:pPr>
              <w:spacing w:after="0" w:line="240" w:lineRule="auto"/>
              <w:rPr>
                <w:sz w:val="20"/>
                <w:szCs w:val="20"/>
              </w:rPr>
            </w:pPr>
          </w:p>
        </w:tc>
        <w:tc>
          <w:tcPr>
            <w:tcW w:w="818" w:type="dxa"/>
          </w:tcPr>
          <w:p w:rsidR="00EC30E3" w:rsidRPr="00D54D08" w:rsidRDefault="00EC30E3" w:rsidP="00DB7381">
            <w:pPr>
              <w:spacing w:after="0" w:line="240" w:lineRule="auto"/>
              <w:rPr>
                <w:sz w:val="20"/>
                <w:szCs w:val="20"/>
              </w:rPr>
            </w:pPr>
            <w:r w:rsidRPr="00D54D08">
              <w:rPr>
                <w:sz w:val="20"/>
                <w:szCs w:val="20"/>
              </w:rPr>
              <w:t>N/A</w:t>
            </w:r>
          </w:p>
        </w:tc>
        <w:tc>
          <w:tcPr>
            <w:tcW w:w="2156" w:type="dxa"/>
          </w:tcPr>
          <w:p w:rsidR="00EC30E3" w:rsidRPr="00D54D08" w:rsidRDefault="00EC30E3" w:rsidP="00DB7381">
            <w:pPr>
              <w:spacing w:after="0" w:line="240" w:lineRule="auto"/>
              <w:rPr>
                <w:sz w:val="20"/>
                <w:szCs w:val="20"/>
              </w:rPr>
            </w:pPr>
            <w:r w:rsidRPr="00D54D08">
              <w:rPr>
                <w:sz w:val="20"/>
                <w:szCs w:val="20"/>
              </w:rPr>
              <w:t>Weekly Electric Output</w:t>
            </w:r>
          </w:p>
        </w:tc>
        <w:tc>
          <w:tcPr>
            <w:tcW w:w="4968" w:type="dxa"/>
          </w:tcPr>
          <w:p w:rsidR="00EC30E3" w:rsidRPr="00D54D08" w:rsidRDefault="00EC30E3" w:rsidP="00066FFA">
            <w:pPr>
              <w:spacing w:after="0" w:line="240" w:lineRule="auto"/>
              <w:rPr>
                <w:sz w:val="20"/>
                <w:szCs w:val="20"/>
              </w:rPr>
            </w:pPr>
            <w:r w:rsidRPr="00D54D08">
              <w:rPr>
                <w:sz w:val="20"/>
                <w:szCs w:val="20"/>
              </w:rPr>
              <w:t>Weekly.  Reports generation for nine geographic areas and the total United States; cost is $500/year.</w:t>
            </w:r>
          </w:p>
        </w:tc>
      </w:tr>
      <w:tr w:rsidR="00EC30E3" w:rsidRPr="0043780E" w:rsidTr="00DB7381">
        <w:trPr>
          <w:cantSplit/>
        </w:trPr>
        <w:tc>
          <w:tcPr>
            <w:tcW w:w="1634" w:type="dxa"/>
          </w:tcPr>
          <w:p w:rsidR="00EC30E3" w:rsidRPr="00D54D08" w:rsidRDefault="00EC30E3" w:rsidP="009A0D0E">
            <w:pPr>
              <w:spacing w:after="0" w:line="240" w:lineRule="auto"/>
              <w:rPr>
                <w:sz w:val="20"/>
                <w:szCs w:val="20"/>
              </w:rPr>
            </w:pPr>
            <w:r w:rsidRPr="00D54D08">
              <w:rPr>
                <w:sz w:val="20"/>
                <w:szCs w:val="20"/>
              </w:rPr>
              <w:t>Office of Electricity Delivery and Energy Reliability (Department of Energy)</w:t>
            </w:r>
          </w:p>
        </w:tc>
        <w:tc>
          <w:tcPr>
            <w:tcW w:w="818" w:type="dxa"/>
          </w:tcPr>
          <w:p w:rsidR="00EC30E3" w:rsidRPr="00D54D08" w:rsidRDefault="00EC30E3" w:rsidP="00DB7381">
            <w:pPr>
              <w:spacing w:after="0" w:line="240" w:lineRule="auto"/>
              <w:rPr>
                <w:sz w:val="20"/>
                <w:szCs w:val="20"/>
              </w:rPr>
            </w:pPr>
            <w:r w:rsidRPr="00D54D08">
              <w:rPr>
                <w:sz w:val="20"/>
                <w:szCs w:val="20"/>
              </w:rPr>
              <w:t>OE-417</w:t>
            </w:r>
          </w:p>
        </w:tc>
        <w:tc>
          <w:tcPr>
            <w:tcW w:w="2156" w:type="dxa"/>
          </w:tcPr>
          <w:p w:rsidR="00EC30E3" w:rsidRPr="00D54D08" w:rsidRDefault="00EC30E3" w:rsidP="00DB7381">
            <w:pPr>
              <w:spacing w:after="0" w:line="240" w:lineRule="auto"/>
              <w:rPr>
                <w:sz w:val="20"/>
                <w:szCs w:val="20"/>
              </w:rPr>
            </w:pPr>
            <w:r w:rsidRPr="00D54D08">
              <w:rPr>
                <w:sz w:val="20"/>
                <w:szCs w:val="20"/>
              </w:rPr>
              <w:t>Electric Incident and Disturbance Report</w:t>
            </w:r>
          </w:p>
        </w:tc>
        <w:tc>
          <w:tcPr>
            <w:tcW w:w="4968" w:type="dxa"/>
          </w:tcPr>
          <w:p w:rsidR="00EC30E3" w:rsidRPr="00D54D08" w:rsidRDefault="00EC30E3" w:rsidP="0086606E">
            <w:pPr>
              <w:spacing w:after="0" w:line="240" w:lineRule="auto"/>
              <w:rPr>
                <w:sz w:val="20"/>
                <w:szCs w:val="20"/>
              </w:rPr>
            </w:pPr>
            <w:r w:rsidRPr="00D54D08">
              <w:rPr>
                <w:sz w:val="20"/>
                <w:szCs w:val="20"/>
              </w:rPr>
              <w:t xml:space="preserve">Mandatory filing by electric utilities to report </w:t>
            </w:r>
            <w:r w:rsidR="0086606E">
              <w:rPr>
                <w:sz w:val="20"/>
                <w:szCs w:val="20"/>
              </w:rPr>
              <w:t>major power system disturbances</w:t>
            </w:r>
            <w:r w:rsidRPr="00D54D08">
              <w:rPr>
                <w:sz w:val="20"/>
                <w:szCs w:val="20"/>
              </w:rPr>
              <w:t xml:space="preserve">.  </w:t>
            </w:r>
            <w:hyperlink r:id="rId16" w:history="1">
              <w:r w:rsidRPr="0086606E">
                <w:rPr>
                  <w:sz w:val="20"/>
                  <w:szCs w:val="20"/>
                </w:rPr>
                <w:t>http://www.oe.netl.doe.gov/oe417.aspx</w:t>
              </w:r>
            </w:hyperlink>
          </w:p>
        </w:tc>
      </w:tr>
      <w:tr w:rsidR="00EC30E3" w:rsidRPr="00D54D08" w:rsidTr="00DB7381">
        <w:trPr>
          <w:cantSplit/>
        </w:trPr>
        <w:tc>
          <w:tcPr>
            <w:tcW w:w="1634" w:type="dxa"/>
            <w:vMerge w:val="restart"/>
          </w:tcPr>
          <w:p w:rsidR="00EC30E3" w:rsidRPr="00D54D08" w:rsidRDefault="00EC30E3" w:rsidP="00AD0A3A">
            <w:pPr>
              <w:spacing w:after="0" w:line="240" w:lineRule="auto"/>
              <w:rPr>
                <w:sz w:val="20"/>
                <w:szCs w:val="20"/>
              </w:rPr>
            </w:pPr>
            <w:r w:rsidRPr="00D54D08">
              <w:rPr>
                <w:sz w:val="20"/>
                <w:szCs w:val="20"/>
              </w:rPr>
              <w:t>Feder</w:t>
            </w:r>
            <w:r w:rsidR="00EF5A2E">
              <w:rPr>
                <w:sz w:val="20"/>
                <w:szCs w:val="20"/>
              </w:rPr>
              <w:t>al Energy Regulatory Commission</w:t>
            </w:r>
          </w:p>
        </w:tc>
        <w:tc>
          <w:tcPr>
            <w:tcW w:w="818" w:type="dxa"/>
          </w:tcPr>
          <w:p w:rsidR="00EC30E3" w:rsidRPr="00D54D08" w:rsidRDefault="00EC30E3" w:rsidP="00DB7381">
            <w:pPr>
              <w:spacing w:after="0" w:line="240" w:lineRule="auto"/>
              <w:rPr>
                <w:sz w:val="20"/>
                <w:szCs w:val="20"/>
              </w:rPr>
            </w:pPr>
            <w:r w:rsidRPr="00D54D08">
              <w:rPr>
                <w:sz w:val="20"/>
                <w:szCs w:val="20"/>
              </w:rPr>
              <w:t>FERC-1</w:t>
            </w:r>
          </w:p>
        </w:tc>
        <w:tc>
          <w:tcPr>
            <w:tcW w:w="2156" w:type="dxa"/>
          </w:tcPr>
          <w:p w:rsidR="00EC30E3" w:rsidRPr="00D54D08" w:rsidRDefault="00EC30E3" w:rsidP="00DB7381">
            <w:pPr>
              <w:spacing w:after="0" w:line="240" w:lineRule="auto"/>
              <w:rPr>
                <w:sz w:val="20"/>
                <w:szCs w:val="20"/>
              </w:rPr>
            </w:pPr>
            <w:r w:rsidRPr="00D54D08">
              <w:rPr>
                <w:sz w:val="20"/>
                <w:szCs w:val="20"/>
              </w:rPr>
              <w:t>Annual Report of Major Electric Utilities</w:t>
            </w:r>
            <w:r w:rsidR="00AD0A3A" w:rsidRPr="00D54D08">
              <w:rPr>
                <w:sz w:val="20"/>
                <w:szCs w:val="20"/>
              </w:rPr>
              <w:t>*</w:t>
            </w:r>
            <w:r w:rsidRPr="00D54D08">
              <w:rPr>
                <w:sz w:val="20"/>
                <w:szCs w:val="20"/>
              </w:rPr>
              <w:t xml:space="preserve"> Licensees and Others</w:t>
            </w:r>
          </w:p>
        </w:tc>
        <w:tc>
          <w:tcPr>
            <w:tcW w:w="4968" w:type="dxa"/>
          </w:tcPr>
          <w:p w:rsidR="00EC30E3" w:rsidRPr="00D54D08" w:rsidRDefault="00EC30E3" w:rsidP="00066FFA">
            <w:pPr>
              <w:spacing w:after="0" w:line="240" w:lineRule="auto"/>
              <w:rPr>
                <w:sz w:val="20"/>
                <w:szCs w:val="20"/>
              </w:rPr>
            </w:pPr>
            <w:r w:rsidRPr="00D54D08">
              <w:rPr>
                <w:sz w:val="20"/>
                <w:szCs w:val="20"/>
              </w:rPr>
              <w:t>Annual.  Comprehensive financial report for major utilities subject to FERC jurisdiction</w:t>
            </w:r>
            <w:r w:rsidR="0086606E">
              <w:rPr>
                <w:sz w:val="20"/>
                <w:szCs w:val="20"/>
              </w:rPr>
              <w:t>; also includes some operational data</w:t>
            </w:r>
            <w:r w:rsidRPr="00D54D08">
              <w:rPr>
                <w:sz w:val="20"/>
                <w:szCs w:val="20"/>
              </w:rPr>
              <w:t>.  Some of the data are confidential.  Non-jurisdictional utilities, such as municipal utilities, are excluded.</w:t>
            </w:r>
            <w:r w:rsidR="00EF5A2E">
              <w:rPr>
                <w:sz w:val="20"/>
                <w:szCs w:val="20"/>
              </w:rPr>
              <w:t xml:space="preserve">  There is also a quarterly form, the Form 3-Q.</w:t>
            </w:r>
          </w:p>
          <w:p w:rsidR="00EC30E3" w:rsidRPr="00EF5A2E" w:rsidRDefault="00EF5A2E" w:rsidP="00066FFA">
            <w:pPr>
              <w:spacing w:after="0" w:line="240" w:lineRule="auto"/>
              <w:rPr>
                <w:color w:val="0000FF"/>
                <w:sz w:val="20"/>
                <w:szCs w:val="20"/>
                <w:u w:val="single"/>
              </w:rPr>
            </w:pPr>
            <w:r w:rsidRPr="00EF5A2E">
              <w:rPr>
                <w:sz w:val="20"/>
                <w:szCs w:val="20"/>
              </w:rPr>
              <w:t>http://www.ferc.gov/docs-filing/forms.asp</w:t>
            </w:r>
          </w:p>
        </w:tc>
      </w:tr>
      <w:tr w:rsidR="00EC30E3" w:rsidRPr="00D54D08" w:rsidTr="00DB7381">
        <w:trPr>
          <w:cantSplit/>
        </w:trPr>
        <w:tc>
          <w:tcPr>
            <w:tcW w:w="1634" w:type="dxa"/>
            <w:vMerge/>
          </w:tcPr>
          <w:p w:rsidR="00EC30E3" w:rsidRPr="00D54D08" w:rsidRDefault="00EC30E3" w:rsidP="009A0D0E">
            <w:pPr>
              <w:spacing w:after="0" w:line="240" w:lineRule="auto"/>
              <w:rPr>
                <w:sz w:val="20"/>
                <w:szCs w:val="20"/>
              </w:rPr>
            </w:pPr>
          </w:p>
        </w:tc>
        <w:tc>
          <w:tcPr>
            <w:tcW w:w="818" w:type="dxa"/>
          </w:tcPr>
          <w:p w:rsidR="00EC30E3" w:rsidRPr="00D54D08" w:rsidRDefault="00EC30E3" w:rsidP="00DB7381">
            <w:pPr>
              <w:spacing w:after="0" w:line="240" w:lineRule="auto"/>
              <w:rPr>
                <w:sz w:val="20"/>
                <w:szCs w:val="20"/>
              </w:rPr>
            </w:pPr>
            <w:r w:rsidRPr="00D54D08">
              <w:rPr>
                <w:sz w:val="20"/>
                <w:szCs w:val="20"/>
              </w:rPr>
              <w:t>FERC-1F</w:t>
            </w:r>
          </w:p>
        </w:tc>
        <w:tc>
          <w:tcPr>
            <w:tcW w:w="2156" w:type="dxa"/>
          </w:tcPr>
          <w:p w:rsidR="00EC30E3" w:rsidRPr="00D54D08" w:rsidRDefault="00EC30E3" w:rsidP="00DB7381">
            <w:pPr>
              <w:spacing w:after="0" w:line="240" w:lineRule="auto"/>
              <w:rPr>
                <w:sz w:val="20"/>
                <w:szCs w:val="20"/>
              </w:rPr>
            </w:pPr>
            <w:r w:rsidRPr="00D54D08">
              <w:rPr>
                <w:sz w:val="20"/>
                <w:szCs w:val="20"/>
              </w:rPr>
              <w:t>Annual Report of Non-major Public Utilities and Licensees</w:t>
            </w:r>
          </w:p>
        </w:tc>
        <w:tc>
          <w:tcPr>
            <w:tcW w:w="4968" w:type="dxa"/>
          </w:tcPr>
          <w:p w:rsidR="00EC30E3" w:rsidRPr="00D54D08" w:rsidRDefault="00EC30E3" w:rsidP="00EF5A2E">
            <w:pPr>
              <w:spacing w:after="0" w:line="240" w:lineRule="auto"/>
              <w:rPr>
                <w:sz w:val="20"/>
                <w:szCs w:val="20"/>
              </w:rPr>
            </w:pPr>
            <w:r w:rsidRPr="00D54D08">
              <w:rPr>
                <w:sz w:val="20"/>
                <w:szCs w:val="20"/>
              </w:rPr>
              <w:t>Annual.  Similar to FERC 1 but for those companies subject to FERC jurisdiction that fail to meet the threshold for that survey.  Non-jurisdictional utilities, such as municipal utilities, are excluded.  See definition of “major electric utility” below.</w:t>
            </w:r>
            <w:r w:rsidR="00EF5A2E">
              <w:t xml:space="preserve"> </w:t>
            </w:r>
            <w:r w:rsidR="00EF5A2E" w:rsidRPr="00EF5A2E">
              <w:rPr>
                <w:sz w:val="20"/>
                <w:szCs w:val="20"/>
              </w:rPr>
              <w:t xml:space="preserve"> http://www.ferc.gov/docs-filing/forms.asp</w:t>
            </w:r>
          </w:p>
        </w:tc>
      </w:tr>
      <w:tr w:rsidR="00EC30E3" w:rsidRPr="00D54D08" w:rsidTr="00DB7381">
        <w:trPr>
          <w:cantSplit/>
        </w:trPr>
        <w:tc>
          <w:tcPr>
            <w:tcW w:w="1634" w:type="dxa"/>
            <w:vMerge/>
          </w:tcPr>
          <w:p w:rsidR="00EC30E3" w:rsidRPr="00D54D08" w:rsidRDefault="00EC30E3" w:rsidP="009A0D0E">
            <w:pPr>
              <w:spacing w:after="0" w:line="240" w:lineRule="auto"/>
              <w:rPr>
                <w:sz w:val="20"/>
                <w:szCs w:val="20"/>
              </w:rPr>
            </w:pPr>
          </w:p>
        </w:tc>
        <w:tc>
          <w:tcPr>
            <w:tcW w:w="818" w:type="dxa"/>
          </w:tcPr>
          <w:p w:rsidR="00EC30E3" w:rsidRPr="00D54D08" w:rsidRDefault="00EC30E3" w:rsidP="00DB7381">
            <w:pPr>
              <w:spacing w:after="0" w:line="240" w:lineRule="auto"/>
              <w:rPr>
                <w:sz w:val="20"/>
                <w:szCs w:val="20"/>
              </w:rPr>
            </w:pPr>
            <w:r w:rsidRPr="00D54D08">
              <w:rPr>
                <w:sz w:val="20"/>
                <w:szCs w:val="20"/>
              </w:rPr>
              <w:t>FERC-</w:t>
            </w:r>
          </w:p>
          <w:p w:rsidR="00EC30E3" w:rsidRPr="00D54D08" w:rsidRDefault="00EC30E3" w:rsidP="00DB7381">
            <w:pPr>
              <w:spacing w:after="0" w:line="240" w:lineRule="auto"/>
              <w:rPr>
                <w:sz w:val="20"/>
                <w:szCs w:val="20"/>
              </w:rPr>
            </w:pPr>
            <w:r w:rsidRPr="00D54D08">
              <w:rPr>
                <w:sz w:val="20"/>
                <w:szCs w:val="20"/>
              </w:rPr>
              <w:t>516</w:t>
            </w:r>
          </w:p>
        </w:tc>
        <w:tc>
          <w:tcPr>
            <w:tcW w:w="2156" w:type="dxa"/>
          </w:tcPr>
          <w:p w:rsidR="00EC30E3" w:rsidRPr="00D54D08" w:rsidRDefault="00EC30E3" w:rsidP="00DB7381">
            <w:pPr>
              <w:spacing w:after="0" w:line="240" w:lineRule="auto"/>
              <w:rPr>
                <w:sz w:val="20"/>
                <w:szCs w:val="20"/>
              </w:rPr>
            </w:pPr>
            <w:r w:rsidRPr="00D54D08">
              <w:rPr>
                <w:sz w:val="20"/>
                <w:szCs w:val="20"/>
              </w:rPr>
              <w:t>Electric Rate Schedule Filings</w:t>
            </w:r>
          </w:p>
        </w:tc>
        <w:tc>
          <w:tcPr>
            <w:tcW w:w="4968" w:type="dxa"/>
          </w:tcPr>
          <w:p w:rsidR="00EC30E3" w:rsidRPr="00D54D08" w:rsidRDefault="00EC30E3" w:rsidP="00066FFA">
            <w:pPr>
              <w:spacing w:after="0" w:line="240" w:lineRule="auto"/>
              <w:rPr>
                <w:sz w:val="20"/>
                <w:szCs w:val="20"/>
              </w:rPr>
            </w:pPr>
            <w:r w:rsidRPr="00D54D08">
              <w:rPr>
                <w:sz w:val="20"/>
                <w:szCs w:val="20"/>
              </w:rPr>
              <w:t>Quarterly.  Summarizes terms and conditions in contracts for jurisdictional services.  Filed by public electric utilities.</w:t>
            </w:r>
          </w:p>
          <w:p w:rsidR="00EC30E3" w:rsidRPr="00D54D08" w:rsidRDefault="00EF5A2E" w:rsidP="00066FFA">
            <w:pPr>
              <w:spacing w:after="0" w:line="240" w:lineRule="auto"/>
              <w:rPr>
                <w:sz w:val="20"/>
                <w:szCs w:val="20"/>
              </w:rPr>
            </w:pPr>
            <w:r w:rsidRPr="00EF5A2E">
              <w:rPr>
                <w:sz w:val="20"/>
                <w:szCs w:val="20"/>
              </w:rPr>
              <w:t>http://www.ferc.gov/docs-filing/forms.asp</w:t>
            </w:r>
          </w:p>
        </w:tc>
      </w:tr>
      <w:tr w:rsidR="00EC30E3" w:rsidRPr="00D54D08" w:rsidTr="00DB7381">
        <w:trPr>
          <w:cantSplit/>
        </w:trPr>
        <w:tc>
          <w:tcPr>
            <w:tcW w:w="1634" w:type="dxa"/>
            <w:vMerge/>
          </w:tcPr>
          <w:p w:rsidR="00EC30E3" w:rsidRPr="00D54D08" w:rsidRDefault="00EC30E3" w:rsidP="009A0D0E">
            <w:pPr>
              <w:spacing w:after="0" w:line="240" w:lineRule="auto"/>
              <w:rPr>
                <w:sz w:val="20"/>
                <w:szCs w:val="20"/>
              </w:rPr>
            </w:pPr>
          </w:p>
        </w:tc>
        <w:tc>
          <w:tcPr>
            <w:tcW w:w="818" w:type="dxa"/>
          </w:tcPr>
          <w:p w:rsidR="00EC30E3" w:rsidRPr="00D54D08" w:rsidRDefault="00EC30E3" w:rsidP="00DB7381">
            <w:pPr>
              <w:spacing w:after="0" w:line="240" w:lineRule="auto"/>
              <w:rPr>
                <w:sz w:val="20"/>
                <w:szCs w:val="20"/>
              </w:rPr>
            </w:pPr>
            <w:r w:rsidRPr="00D54D08">
              <w:rPr>
                <w:sz w:val="20"/>
                <w:szCs w:val="20"/>
              </w:rPr>
              <w:t>FERC-519</w:t>
            </w:r>
          </w:p>
        </w:tc>
        <w:tc>
          <w:tcPr>
            <w:tcW w:w="2156" w:type="dxa"/>
          </w:tcPr>
          <w:p w:rsidR="00EC30E3" w:rsidRPr="00D54D08" w:rsidRDefault="00EC30E3" w:rsidP="00DB7381">
            <w:pPr>
              <w:spacing w:after="0" w:line="240" w:lineRule="auto"/>
              <w:rPr>
                <w:sz w:val="20"/>
                <w:szCs w:val="20"/>
              </w:rPr>
            </w:pPr>
            <w:r w:rsidRPr="00D54D08">
              <w:rPr>
                <w:sz w:val="20"/>
                <w:szCs w:val="20"/>
              </w:rPr>
              <w:t>Corporate Applications</w:t>
            </w:r>
          </w:p>
        </w:tc>
        <w:tc>
          <w:tcPr>
            <w:tcW w:w="4968" w:type="dxa"/>
          </w:tcPr>
          <w:p w:rsidR="00EC30E3" w:rsidRPr="00D54D08" w:rsidRDefault="00EC30E3" w:rsidP="00066FFA">
            <w:pPr>
              <w:spacing w:after="0" w:line="240" w:lineRule="auto"/>
              <w:rPr>
                <w:sz w:val="20"/>
                <w:szCs w:val="20"/>
              </w:rPr>
            </w:pPr>
            <w:r w:rsidRPr="00D54D08">
              <w:rPr>
                <w:sz w:val="20"/>
                <w:szCs w:val="20"/>
              </w:rPr>
              <w:t>This is not a survey form as such.  The form number ensures OMB clearance, but it is not a data system.  FERC reviews proposed mergers, acquisitions, and dispositions.</w:t>
            </w:r>
          </w:p>
        </w:tc>
      </w:tr>
      <w:tr w:rsidR="00EC30E3" w:rsidRPr="00D54D08" w:rsidTr="00DB7381">
        <w:trPr>
          <w:cantSplit/>
        </w:trPr>
        <w:tc>
          <w:tcPr>
            <w:tcW w:w="1634" w:type="dxa"/>
            <w:vMerge/>
          </w:tcPr>
          <w:p w:rsidR="00EC30E3" w:rsidRPr="00D54D08" w:rsidRDefault="00EC30E3" w:rsidP="009A0D0E">
            <w:pPr>
              <w:spacing w:after="0" w:line="240" w:lineRule="auto"/>
              <w:rPr>
                <w:sz w:val="20"/>
                <w:szCs w:val="20"/>
              </w:rPr>
            </w:pPr>
          </w:p>
        </w:tc>
        <w:tc>
          <w:tcPr>
            <w:tcW w:w="818" w:type="dxa"/>
          </w:tcPr>
          <w:p w:rsidR="00EC30E3" w:rsidRPr="00D54D08" w:rsidRDefault="00EC30E3" w:rsidP="00DB7381">
            <w:pPr>
              <w:spacing w:after="0" w:line="240" w:lineRule="auto"/>
              <w:rPr>
                <w:sz w:val="20"/>
                <w:szCs w:val="20"/>
              </w:rPr>
            </w:pPr>
            <w:r w:rsidRPr="00D54D08">
              <w:rPr>
                <w:sz w:val="20"/>
                <w:szCs w:val="20"/>
              </w:rPr>
              <w:t>FERC-556</w:t>
            </w:r>
          </w:p>
        </w:tc>
        <w:tc>
          <w:tcPr>
            <w:tcW w:w="2156" w:type="dxa"/>
          </w:tcPr>
          <w:p w:rsidR="00EC30E3" w:rsidRPr="00D54D08" w:rsidRDefault="00EC30E3" w:rsidP="00BA4902">
            <w:pPr>
              <w:spacing w:after="0" w:line="240" w:lineRule="auto"/>
              <w:rPr>
                <w:sz w:val="20"/>
                <w:szCs w:val="20"/>
              </w:rPr>
            </w:pPr>
            <w:r w:rsidRPr="00D54D08">
              <w:rPr>
                <w:sz w:val="20"/>
                <w:szCs w:val="20"/>
              </w:rPr>
              <w:t>Cogeneration and Small Power Production (Qualifying Facilities Applications)</w:t>
            </w:r>
          </w:p>
        </w:tc>
        <w:tc>
          <w:tcPr>
            <w:tcW w:w="4968" w:type="dxa"/>
          </w:tcPr>
          <w:p w:rsidR="00EC30E3" w:rsidRPr="00D54D08" w:rsidRDefault="00EC30E3" w:rsidP="00066FFA">
            <w:pPr>
              <w:spacing w:after="0" w:line="240" w:lineRule="auto"/>
              <w:rPr>
                <w:sz w:val="20"/>
                <w:szCs w:val="20"/>
              </w:rPr>
            </w:pPr>
            <w:r w:rsidRPr="00D54D08">
              <w:rPr>
                <w:sz w:val="20"/>
                <w:szCs w:val="20"/>
              </w:rPr>
              <w:t>Used by applicants seeking qualifying facility (QF) status or recertification of QF status for a generating facility with a net power production capacity greater than 1000 kW.</w:t>
            </w:r>
            <w:r w:rsidR="00EF5A2E">
              <w:rPr>
                <w:sz w:val="20"/>
                <w:szCs w:val="20"/>
              </w:rPr>
              <w:t xml:space="preserve">  </w:t>
            </w:r>
            <w:r w:rsidR="00EF5A2E" w:rsidRPr="00EF5A2E">
              <w:rPr>
                <w:sz w:val="20"/>
                <w:szCs w:val="20"/>
              </w:rPr>
              <w:t>http://www.ferc.gov/docs-filing/forms.asp</w:t>
            </w:r>
          </w:p>
        </w:tc>
      </w:tr>
      <w:tr w:rsidR="00EC30E3" w:rsidRPr="00D54D08" w:rsidTr="00DB7381">
        <w:trPr>
          <w:cantSplit/>
        </w:trPr>
        <w:tc>
          <w:tcPr>
            <w:tcW w:w="1634" w:type="dxa"/>
            <w:vMerge/>
          </w:tcPr>
          <w:p w:rsidR="00EC30E3" w:rsidRPr="00D54D08" w:rsidRDefault="00EC30E3" w:rsidP="009A0D0E">
            <w:pPr>
              <w:spacing w:after="0" w:line="240" w:lineRule="auto"/>
              <w:rPr>
                <w:sz w:val="20"/>
                <w:szCs w:val="20"/>
              </w:rPr>
            </w:pPr>
          </w:p>
        </w:tc>
        <w:tc>
          <w:tcPr>
            <w:tcW w:w="818" w:type="dxa"/>
          </w:tcPr>
          <w:p w:rsidR="00EC30E3" w:rsidRPr="00D54D08" w:rsidRDefault="00EC30E3" w:rsidP="00DB7381">
            <w:pPr>
              <w:spacing w:after="0" w:line="240" w:lineRule="auto"/>
              <w:rPr>
                <w:sz w:val="20"/>
                <w:szCs w:val="20"/>
              </w:rPr>
            </w:pPr>
            <w:r w:rsidRPr="00D54D08">
              <w:rPr>
                <w:sz w:val="20"/>
                <w:szCs w:val="20"/>
              </w:rPr>
              <w:t>FERC-561</w:t>
            </w:r>
          </w:p>
        </w:tc>
        <w:tc>
          <w:tcPr>
            <w:tcW w:w="2156" w:type="dxa"/>
          </w:tcPr>
          <w:p w:rsidR="00EC30E3" w:rsidRPr="00D54D08" w:rsidRDefault="00EC30E3" w:rsidP="00DB7381">
            <w:pPr>
              <w:spacing w:after="0" w:line="240" w:lineRule="auto"/>
              <w:rPr>
                <w:sz w:val="20"/>
                <w:szCs w:val="20"/>
              </w:rPr>
            </w:pPr>
            <w:r w:rsidRPr="00D54D08">
              <w:rPr>
                <w:sz w:val="20"/>
                <w:szCs w:val="20"/>
              </w:rPr>
              <w:t>Annual Report of Interlocking Positions</w:t>
            </w:r>
          </w:p>
        </w:tc>
        <w:tc>
          <w:tcPr>
            <w:tcW w:w="4968" w:type="dxa"/>
          </w:tcPr>
          <w:p w:rsidR="00EC30E3" w:rsidRPr="00D54D08" w:rsidRDefault="00EC30E3" w:rsidP="00066FFA">
            <w:pPr>
              <w:spacing w:after="0" w:line="240" w:lineRule="auto"/>
              <w:rPr>
                <w:sz w:val="20"/>
                <w:szCs w:val="20"/>
              </w:rPr>
            </w:pPr>
            <w:r w:rsidRPr="00D54D08">
              <w:rPr>
                <w:sz w:val="20"/>
                <w:szCs w:val="20"/>
              </w:rPr>
              <w:t>Annual.  Details public utility and board of director positions.</w:t>
            </w:r>
            <w:r w:rsidR="00EF5A2E">
              <w:rPr>
                <w:sz w:val="20"/>
                <w:szCs w:val="20"/>
              </w:rPr>
              <w:t xml:space="preserve">  </w:t>
            </w:r>
            <w:r w:rsidR="00EF5A2E" w:rsidRPr="00EF5A2E">
              <w:rPr>
                <w:sz w:val="20"/>
                <w:szCs w:val="20"/>
              </w:rPr>
              <w:t>http://www.ferc.gov/docs-filing/forms.asp</w:t>
            </w:r>
          </w:p>
        </w:tc>
      </w:tr>
      <w:tr w:rsidR="00EC30E3" w:rsidRPr="00D54D08" w:rsidTr="00DB7381">
        <w:trPr>
          <w:cantSplit/>
        </w:trPr>
        <w:tc>
          <w:tcPr>
            <w:tcW w:w="1634" w:type="dxa"/>
            <w:vMerge/>
          </w:tcPr>
          <w:p w:rsidR="00EC30E3" w:rsidRPr="00D54D08" w:rsidRDefault="00EC30E3" w:rsidP="009A0D0E">
            <w:pPr>
              <w:spacing w:after="0" w:line="240" w:lineRule="auto"/>
              <w:rPr>
                <w:sz w:val="20"/>
                <w:szCs w:val="20"/>
              </w:rPr>
            </w:pPr>
          </w:p>
        </w:tc>
        <w:tc>
          <w:tcPr>
            <w:tcW w:w="818" w:type="dxa"/>
          </w:tcPr>
          <w:p w:rsidR="00EC30E3" w:rsidRPr="00D54D08" w:rsidRDefault="00EC30E3" w:rsidP="00DB7381">
            <w:pPr>
              <w:spacing w:after="0" w:line="240" w:lineRule="auto"/>
              <w:rPr>
                <w:sz w:val="20"/>
                <w:szCs w:val="20"/>
              </w:rPr>
            </w:pPr>
            <w:r w:rsidRPr="00D54D08">
              <w:rPr>
                <w:sz w:val="20"/>
                <w:szCs w:val="20"/>
              </w:rPr>
              <w:t>FERC-566</w:t>
            </w:r>
          </w:p>
        </w:tc>
        <w:tc>
          <w:tcPr>
            <w:tcW w:w="2156" w:type="dxa"/>
          </w:tcPr>
          <w:p w:rsidR="00EC30E3" w:rsidRPr="00D54D08" w:rsidRDefault="00EC30E3" w:rsidP="00DB7381">
            <w:pPr>
              <w:spacing w:after="0" w:line="240" w:lineRule="auto"/>
              <w:rPr>
                <w:sz w:val="20"/>
                <w:szCs w:val="20"/>
              </w:rPr>
            </w:pPr>
            <w:r w:rsidRPr="00D54D08">
              <w:rPr>
                <w:sz w:val="20"/>
                <w:szCs w:val="20"/>
              </w:rPr>
              <w:t>Report of Utility’s 20 Largest Purchasers</w:t>
            </w:r>
          </w:p>
        </w:tc>
        <w:tc>
          <w:tcPr>
            <w:tcW w:w="4968" w:type="dxa"/>
          </w:tcPr>
          <w:p w:rsidR="00EC30E3" w:rsidRPr="00D54D08" w:rsidRDefault="00EC30E3" w:rsidP="0086606E">
            <w:pPr>
              <w:spacing w:after="0" w:line="240" w:lineRule="auto"/>
              <w:rPr>
                <w:sz w:val="20"/>
                <w:szCs w:val="20"/>
              </w:rPr>
            </w:pPr>
            <w:r w:rsidRPr="00D54D08">
              <w:rPr>
                <w:sz w:val="20"/>
                <w:szCs w:val="20"/>
              </w:rPr>
              <w:t xml:space="preserve">Annual.  List </w:t>
            </w:r>
            <w:r w:rsidR="0086606E">
              <w:rPr>
                <w:sz w:val="20"/>
                <w:szCs w:val="20"/>
              </w:rPr>
              <w:t xml:space="preserve">of a public utility’s </w:t>
            </w:r>
            <w:r w:rsidRPr="00D54D08">
              <w:rPr>
                <w:sz w:val="20"/>
                <w:szCs w:val="20"/>
              </w:rPr>
              <w:t xml:space="preserve">20 largest </w:t>
            </w:r>
            <w:r w:rsidR="0086606E">
              <w:rPr>
                <w:sz w:val="20"/>
                <w:szCs w:val="20"/>
              </w:rPr>
              <w:t>customers</w:t>
            </w:r>
            <w:r w:rsidRPr="00D54D08">
              <w:rPr>
                <w:sz w:val="20"/>
                <w:szCs w:val="20"/>
              </w:rPr>
              <w:t>.</w:t>
            </w:r>
            <w:r w:rsidR="00EF5A2E">
              <w:rPr>
                <w:sz w:val="20"/>
                <w:szCs w:val="20"/>
              </w:rPr>
              <w:t xml:space="preserve">   </w:t>
            </w:r>
            <w:r w:rsidR="00EF5A2E" w:rsidRPr="00EF5A2E">
              <w:rPr>
                <w:sz w:val="20"/>
                <w:szCs w:val="20"/>
              </w:rPr>
              <w:t>http://www.ferc.gov/docs-filing/forms.asp</w:t>
            </w:r>
          </w:p>
        </w:tc>
      </w:tr>
      <w:tr w:rsidR="00EC30E3" w:rsidRPr="00D54D08" w:rsidTr="00DB7381">
        <w:trPr>
          <w:cantSplit/>
        </w:trPr>
        <w:tc>
          <w:tcPr>
            <w:tcW w:w="1634" w:type="dxa"/>
            <w:vMerge/>
          </w:tcPr>
          <w:p w:rsidR="00EC30E3" w:rsidRPr="00D54D08" w:rsidRDefault="00EC30E3" w:rsidP="009A0D0E">
            <w:pPr>
              <w:spacing w:after="0" w:line="240" w:lineRule="auto"/>
              <w:rPr>
                <w:sz w:val="20"/>
                <w:szCs w:val="20"/>
              </w:rPr>
            </w:pPr>
          </w:p>
        </w:tc>
        <w:tc>
          <w:tcPr>
            <w:tcW w:w="818" w:type="dxa"/>
          </w:tcPr>
          <w:p w:rsidR="00EC30E3" w:rsidRPr="00D54D08" w:rsidRDefault="00EC30E3" w:rsidP="00DB7381">
            <w:pPr>
              <w:spacing w:after="0" w:line="240" w:lineRule="auto"/>
              <w:rPr>
                <w:sz w:val="20"/>
                <w:szCs w:val="20"/>
              </w:rPr>
            </w:pPr>
            <w:r w:rsidRPr="00D54D08">
              <w:rPr>
                <w:sz w:val="20"/>
                <w:szCs w:val="20"/>
              </w:rPr>
              <w:t>FERC-580</w:t>
            </w:r>
          </w:p>
        </w:tc>
        <w:tc>
          <w:tcPr>
            <w:tcW w:w="2156" w:type="dxa"/>
          </w:tcPr>
          <w:p w:rsidR="00EC30E3" w:rsidRPr="00D54D08" w:rsidRDefault="00EC30E3" w:rsidP="00DB7381">
            <w:pPr>
              <w:spacing w:after="0" w:line="240" w:lineRule="auto"/>
              <w:rPr>
                <w:sz w:val="20"/>
                <w:szCs w:val="20"/>
              </w:rPr>
            </w:pPr>
            <w:r w:rsidRPr="00D54D08">
              <w:rPr>
                <w:sz w:val="20"/>
                <w:szCs w:val="20"/>
              </w:rPr>
              <w:t>Interrogatory on Fuel and Energy Purchase Practices Pursuant to Section 205 (f)(2) of the Federal Power Act</w:t>
            </w:r>
          </w:p>
        </w:tc>
        <w:tc>
          <w:tcPr>
            <w:tcW w:w="4968" w:type="dxa"/>
          </w:tcPr>
          <w:p w:rsidR="00EC30E3" w:rsidRPr="00D54D08" w:rsidRDefault="00EC30E3" w:rsidP="00066FFA">
            <w:pPr>
              <w:spacing w:after="0" w:line="240" w:lineRule="auto"/>
              <w:rPr>
                <w:sz w:val="20"/>
                <w:szCs w:val="20"/>
              </w:rPr>
            </w:pPr>
            <w:r w:rsidRPr="00D54D08">
              <w:rPr>
                <w:sz w:val="20"/>
                <w:szCs w:val="20"/>
              </w:rPr>
              <w:t xml:space="preserve">Biennial.  Gatherers info on utility fuel supply contracts and other costs recovered through </w:t>
            </w:r>
            <w:r w:rsidR="0086606E">
              <w:rPr>
                <w:sz w:val="20"/>
                <w:szCs w:val="20"/>
              </w:rPr>
              <w:t xml:space="preserve">wholesale </w:t>
            </w:r>
            <w:r w:rsidRPr="00D54D08">
              <w:rPr>
                <w:sz w:val="20"/>
                <w:szCs w:val="20"/>
              </w:rPr>
              <w:t>automatic adjustment clauses.</w:t>
            </w:r>
            <w:r w:rsidR="00EF5A2E">
              <w:rPr>
                <w:sz w:val="20"/>
                <w:szCs w:val="20"/>
              </w:rPr>
              <w:t xml:space="preserve">  </w:t>
            </w:r>
            <w:r w:rsidR="00EF5A2E" w:rsidRPr="00EF5A2E">
              <w:rPr>
                <w:sz w:val="20"/>
                <w:szCs w:val="20"/>
              </w:rPr>
              <w:t>http://www.ferc.gov/docs-filing/forms.asp</w:t>
            </w:r>
          </w:p>
          <w:p w:rsidR="00EC30E3" w:rsidRPr="00D54D08" w:rsidRDefault="00EC30E3" w:rsidP="00066FFA">
            <w:pPr>
              <w:spacing w:after="0" w:line="240" w:lineRule="auto"/>
              <w:rPr>
                <w:sz w:val="20"/>
                <w:szCs w:val="20"/>
              </w:rPr>
            </w:pPr>
          </w:p>
        </w:tc>
      </w:tr>
      <w:tr w:rsidR="008B1F61" w:rsidRPr="00D54D08" w:rsidTr="00DB7381">
        <w:trPr>
          <w:cantSplit/>
        </w:trPr>
        <w:tc>
          <w:tcPr>
            <w:tcW w:w="1634" w:type="dxa"/>
            <w:vMerge w:val="restart"/>
          </w:tcPr>
          <w:p w:rsidR="008B1F61" w:rsidRPr="00D54D08" w:rsidRDefault="008B1F61" w:rsidP="00EF5A2E">
            <w:pPr>
              <w:spacing w:after="0" w:line="240" w:lineRule="auto"/>
              <w:rPr>
                <w:sz w:val="20"/>
                <w:szCs w:val="20"/>
              </w:rPr>
            </w:pPr>
            <w:r w:rsidRPr="00D54D08">
              <w:rPr>
                <w:sz w:val="20"/>
                <w:szCs w:val="20"/>
              </w:rPr>
              <w:t>Federal Energy Regulatory Commission (</w:t>
            </w:r>
            <w:r>
              <w:rPr>
                <w:sz w:val="20"/>
                <w:szCs w:val="20"/>
              </w:rPr>
              <w:t>Continued</w:t>
            </w:r>
            <w:r w:rsidRPr="00D54D08">
              <w:rPr>
                <w:sz w:val="20"/>
                <w:szCs w:val="20"/>
              </w:rPr>
              <w:t>)</w:t>
            </w:r>
          </w:p>
        </w:tc>
        <w:tc>
          <w:tcPr>
            <w:tcW w:w="818" w:type="dxa"/>
          </w:tcPr>
          <w:p w:rsidR="008B1F61" w:rsidRPr="00D54D08" w:rsidRDefault="008B1F61" w:rsidP="00DB7381">
            <w:pPr>
              <w:spacing w:after="0" w:line="240" w:lineRule="auto"/>
              <w:rPr>
                <w:sz w:val="20"/>
                <w:szCs w:val="20"/>
              </w:rPr>
            </w:pPr>
            <w:r w:rsidRPr="00D54D08">
              <w:rPr>
                <w:sz w:val="20"/>
                <w:szCs w:val="20"/>
              </w:rPr>
              <w:t>FERC- 585</w:t>
            </w:r>
          </w:p>
        </w:tc>
        <w:tc>
          <w:tcPr>
            <w:tcW w:w="2156" w:type="dxa"/>
          </w:tcPr>
          <w:p w:rsidR="008B1F61" w:rsidRPr="00D54D08" w:rsidRDefault="008B1F61" w:rsidP="00DB7381">
            <w:pPr>
              <w:spacing w:after="0" w:line="240" w:lineRule="auto"/>
              <w:rPr>
                <w:sz w:val="20"/>
                <w:szCs w:val="20"/>
              </w:rPr>
            </w:pPr>
            <w:r w:rsidRPr="00D54D08">
              <w:rPr>
                <w:sz w:val="20"/>
                <w:szCs w:val="20"/>
              </w:rPr>
              <w:t>Reports on Electric Energy Shortages and Contingency Plans under PURPA 206</w:t>
            </w:r>
          </w:p>
        </w:tc>
        <w:tc>
          <w:tcPr>
            <w:tcW w:w="4968" w:type="dxa"/>
          </w:tcPr>
          <w:p w:rsidR="008B1F61" w:rsidRPr="00D54D08" w:rsidRDefault="008B1F61" w:rsidP="00EF5A2E">
            <w:pPr>
              <w:spacing w:after="0" w:line="240" w:lineRule="auto"/>
              <w:rPr>
                <w:sz w:val="20"/>
                <w:szCs w:val="20"/>
              </w:rPr>
            </w:pPr>
            <w:r>
              <w:rPr>
                <w:sz w:val="20"/>
                <w:szCs w:val="20"/>
              </w:rPr>
              <w:t>Used to e</w:t>
            </w:r>
            <w:r w:rsidRPr="0086606E">
              <w:rPr>
                <w:sz w:val="20"/>
                <w:szCs w:val="20"/>
              </w:rPr>
              <w:t>stablish procedures for</w:t>
            </w:r>
            <w:r>
              <w:rPr>
                <w:sz w:val="20"/>
                <w:szCs w:val="20"/>
              </w:rPr>
              <w:t xml:space="preserve"> </w:t>
            </w:r>
            <w:r w:rsidRPr="0086606E">
              <w:rPr>
                <w:sz w:val="20"/>
                <w:szCs w:val="20"/>
              </w:rPr>
              <w:t>reporting shortages of Electric Energy</w:t>
            </w:r>
            <w:r>
              <w:rPr>
                <w:sz w:val="20"/>
                <w:szCs w:val="20"/>
              </w:rPr>
              <w:t xml:space="preserve"> </w:t>
            </w:r>
            <w:r w:rsidRPr="0086606E">
              <w:rPr>
                <w:sz w:val="20"/>
                <w:szCs w:val="20"/>
              </w:rPr>
              <w:t>and Capacity and Contingency Plans for</w:t>
            </w:r>
            <w:r>
              <w:rPr>
                <w:sz w:val="20"/>
                <w:szCs w:val="20"/>
              </w:rPr>
              <w:t xml:space="preserve"> </w:t>
            </w:r>
            <w:r w:rsidRPr="0086606E">
              <w:rPr>
                <w:sz w:val="20"/>
                <w:szCs w:val="20"/>
              </w:rPr>
              <w:t>such Shortages.</w:t>
            </w:r>
            <w:r>
              <w:rPr>
                <w:sz w:val="20"/>
                <w:szCs w:val="20"/>
              </w:rPr>
              <w:t xml:space="preserve"> </w:t>
            </w:r>
            <w:r w:rsidRPr="0086606E">
              <w:rPr>
                <w:sz w:val="20"/>
                <w:szCs w:val="20"/>
              </w:rPr>
              <w:t>Due</w:t>
            </w:r>
            <w:r>
              <w:rPr>
                <w:sz w:val="20"/>
                <w:szCs w:val="20"/>
              </w:rPr>
              <w:t xml:space="preserve"> i</w:t>
            </w:r>
            <w:r w:rsidRPr="0086606E">
              <w:rPr>
                <w:sz w:val="20"/>
                <w:szCs w:val="20"/>
              </w:rPr>
              <w:t>mmediately upon any anticipated</w:t>
            </w:r>
            <w:r>
              <w:rPr>
                <w:sz w:val="20"/>
                <w:szCs w:val="20"/>
              </w:rPr>
              <w:t xml:space="preserve"> </w:t>
            </w:r>
            <w:r w:rsidRPr="0086606E">
              <w:rPr>
                <w:sz w:val="20"/>
                <w:szCs w:val="20"/>
              </w:rPr>
              <w:t>shortage.</w:t>
            </w:r>
            <w:r>
              <w:rPr>
                <w:sz w:val="20"/>
                <w:szCs w:val="20"/>
              </w:rPr>
              <w:t xml:space="preserve">  There is n</w:t>
            </w:r>
            <w:r w:rsidRPr="0086606E">
              <w:rPr>
                <w:sz w:val="20"/>
                <w:szCs w:val="20"/>
              </w:rPr>
              <w:t>o hard copy</w:t>
            </w:r>
            <w:r>
              <w:rPr>
                <w:sz w:val="20"/>
                <w:szCs w:val="20"/>
              </w:rPr>
              <w:t xml:space="preserve">; the </w:t>
            </w:r>
            <w:r w:rsidRPr="0086606E">
              <w:rPr>
                <w:sz w:val="20"/>
                <w:szCs w:val="20"/>
              </w:rPr>
              <w:t>Commission only provides format</w:t>
            </w:r>
          </w:p>
        </w:tc>
      </w:tr>
      <w:tr w:rsidR="008B1F61" w:rsidRPr="00D54D08" w:rsidTr="00DB7381">
        <w:trPr>
          <w:cantSplit/>
        </w:trPr>
        <w:tc>
          <w:tcPr>
            <w:tcW w:w="1634" w:type="dxa"/>
            <w:vMerge/>
          </w:tcPr>
          <w:p w:rsidR="008B1F61" w:rsidRPr="00D54D08" w:rsidRDefault="008B1F61" w:rsidP="009A0D0E">
            <w:pPr>
              <w:spacing w:after="0" w:line="240" w:lineRule="auto"/>
              <w:rPr>
                <w:sz w:val="20"/>
                <w:szCs w:val="20"/>
              </w:rPr>
            </w:pPr>
          </w:p>
        </w:tc>
        <w:tc>
          <w:tcPr>
            <w:tcW w:w="818" w:type="dxa"/>
          </w:tcPr>
          <w:p w:rsidR="008B1F61" w:rsidRPr="00D54D08" w:rsidRDefault="008B1F61" w:rsidP="00DB7381">
            <w:pPr>
              <w:spacing w:after="0" w:line="240" w:lineRule="auto"/>
              <w:rPr>
                <w:sz w:val="20"/>
                <w:szCs w:val="20"/>
              </w:rPr>
            </w:pPr>
            <w:r w:rsidRPr="00D54D08">
              <w:rPr>
                <w:sz w:val="20"/>
                <w:szCs w:val="20"/>
              </w:rPr>
              <w:t>FERC-714</w:t>
            </w:r>
          </w:p>
        </w:tc>
        <w:tc>
          <w:tcPr>
            <w:tcW w:w="2156" w:type="dxa"/>
          </w:tcPr>
          <w:p w:rsidR="008B1F61" w:rsidRPr="00D54D08" w:rsidRDefault="008B1F61" w:rsidP="00DB7381">
            <w:pPr>
              <w:spacing w:after="0" w:line="240" w:lineRule="auto"/>
              <w:rPr>
                <w:sz w:val="20"/>
                <w:szCs w:val="20"/>
              </w:rPr>
            </w:pPr>
            <w:r w:rsidRPr="00D54D08">
              <w:rPr>
                <w:sz w:val="20"/>
                <w:szCs w:val="20"/>
              </w:rPr>
              <w:t>Annual Electric Control and Planning Area Report</w:t>
            </w:r>
          </w:p>
        </w:tc>
        <w:tc>
          <w:tcPr>
            <w:tcW w:w="4968" w:type="dxa"/>
          </w:tcPr>
          <w:p w:rsidR="008B1F61" w:rsidRPr="00D54D08" w:rsidRDefault="008B1F61" w:rsidP="00066FFA">
            <w:pPr>
              <w:spacing w:after="0" w:line="240" w:lineRule="auto"/>
              <w:rPr>
                <w:sz w:val="20"/>
                <w:szCs w:val="20"/>
              </w:rPr>
            </w:pPr>
            <w:r w:rsidRPr="00D54D08">
              <w:rPr>
                <w:sz w:val="20"/>
                <w:szCs w:val="20"/>
              </w:rPr>
              <w:t>Annual.  Describes principal structures and improvements, acquisitions, capacity, transmission lines.</w:t>
            </w:r>
            <w:r>
              <w:rPr>
                <w:sz w:val="20"/>
                <w:szCs w:val="20"/>
              </w:rPr>
              <w:t xml:space="preserve">  </w:t>
            </w:r>
            <w:r w:rsidRPr="00EF5A2E">
              <w:rPr>
                <w:sz w:val="20"/>
                <w:szCs w:val="20"/>
              </w:rPr>
              <w:t>http://www.ferc.gov/docs-filing/forms.asp</w:t>
            </w:r>
          </w:p>
          <w:p w:rsidR="008B1F61" w:rsidRPr="00D54D08" w:rsidRDefault="008B1F61" w:rsidP="00066FFA">
            <w:pPr>
              <w:spacing w:after="0" w:line="240" w:lineRule="auto"/>
              <w:rPr>
                <w:sz w:val="20"/>
                <w:szCs w:val="20"/>
              </w:rPr>
            </w:pPr>
          </w:p>
        </w:tc>
      </w:tr>
      <w:tr w:rsidR="008B1F61" w:rsidRPr="00D54D08" w:rsidTr="00EF5A2E">
        <w:trPr>
          <w:cantSplit/>
        </w:trPr>
        <w:tc>
          <w:tcPr>
            <w:tcW w:w="1634" w:type="dxa"/>
            <w:vMerge/>
          </w:tcPr>
          <w:p w:rsidR="008B1F61" w:rsidRPr="00D54D08" w:rsidRDefault="008B1F61" w:rsidP="009A0D0E">
            <w:pPr>
              <w:spacing w:after="0" w:line="240" w:lineRule="auto"/>
              <w:rPr>
                <w:sz w:val="20"/>
                <w:szCs w:val="20"/>
              </w:rPr>
            </w:pPr>
          </w:p>
        </w:tc>
        <w:tc>
          <w:tcPr>
            <w:tcW w:w="818" w:type="dxa"/>
          </w:tcPr>
          <w:p w:rsidR="008B1F61" w:rsidRPr="00D54D08" w:rsidRDefault="008B1F61" w:rsidP="00DB7381">
            <w:pPr>
              <w:spacing w:after="0" w:line="240" w:lineRule="auto"/>
              <w:rPr>
                <w:sz w:val="20"/>
                <w:szCs w:val="20"/>
              </w:rPr>
            </w:pPr>
            <w:r w:rsidRPr="00D54D08">
              <w:rPr>
                <w:sz w:val="20"/>
                <w:szCs w:val="20"/>
              </w:rPr>
              <w:t>FERC-715</w:t>
            </w:r>
          </w:p>
        </w:tc>
        <w:tc>
          <w:tcPr>
            <w:tcW w:w="2156" w:type="dxa"/>
          </w:tcPr>
          <w:p w:rsidR="008B1F61" w:rsidRPr="00D54D08" w:rsidRDefault="008B1F61" w:rsidP="00DB7381">
            <w:pPr>
              <w:spacing w:after="0" w:line="240" w:lineRule="auto"/>
              <w:rPr>
                <w:sz w:val="20"/>
                <w:szCs w:val="20"/>
              </w:rPr>
            </w:pPr>
            <w:r w:rsidRPr="00D54D08">
              <w:rPr>
                <w:sz w:val="20"/>
                <w:szCs w:val="20"/>
              </w:rPr>
              <w:t>Annual Transmission Planning and Evaluation  Rpt.</w:t>
            </w:r>
          </w:p>
        </w:tc>
        <w:tc>
          <w:tcPr>
            <w:tcW w:w="4968" w:type="dxa"/>
          </w:tcPr>
          <w:p w:rsidR="008B1F61" w:rsidRPr="00D54D08" w:rsidRDefault="008B1F61" w:rsidP="00EF5A2E">
            <w:pPr>
              <w:spacing w:after="0" w:line="240" w:lineRule="auto"/>
              <w:rPr>
                <w:sz w:val="20"/>
                <w:szCs w:val="20"/>
              </w:rPr>
            </w:pPr>
            <w:r w:rsidRPr="00D54D08">
              <w:rPr>
                <w:sz w:val="20"/>
                <w:szCs w:val="20"/>
              </w:rPr>
              <w:t>CEII, Critical Energy Infrastructure Info</w:t>
            </w:r>
          </w:p>
          <w:p w:rsidR="008B1F61" w:rsidRPr="00D54D08" w:rsidRDefault="008B1F61" w:rsidP="00EF5A2E">
            <w:pPr>
              <w:spacing w:after="0" w:line="240" w:lineRule="auto"/>
              <w:rPr>
                <w:sz w:val="20"/>
                <w:szCs w:val="20"/>
              </w:rPr>
            </w:pPr>
            <w:r w:rsidRPr="00D54D08">
              <w:rPr>
                <w:sz w:val="20"/>
                <w:szCs w:val="20"/>
              </w:rPr>
              <w:t>(Not accessible to the public)</w:t>
            </w:r>
            <w:r>
              <w:rPr>
                <w:sz w:val="20"/>
                <w:szCs w:val="20"/>
              </w:rPr>
              <w:t xml:space="preserve">  </w:t>
            </w:r>
            <w:r w:rsidRPr="00EF5A2E">
              <w:rPr>
                <w:sz w:val="20"/>
                <w:szCs w:val="20"/>
              </w:rPr>
              <w:t>http://www.ferc.gov/docs-filing/forms.asp</w:t>
            </w:r>
          </w:p>
        </w:tc>
      </w:tr>
      <w:tr w:rsidR="008B1F61" w:rsidRPr="00D54D08" w:rsidTr="00DB7381">
        <w:trPr>
          <w:cantSplit/>
          <w:trHeight w:val="647"/>
        </w:trPr>
        <w:tc>
          <w:tcPr>
            <w:tcW w:w="1634" w:type="dxa"/>
            <w:vMerge/>
          </w:tcPr>
          <w:p w:rsidR="008B1F61" w:rsidRPr="00D54D08" w:rsidRDefault="008B1F61" w:rsidP="009A0D0E">
            <w:pPr>
              <w:spacing w:after="0" w:line="240" w:lineRule="auto"/>
              <w:rPr>
                <w:sz w:val="20"/>
                <w:szCs w:val="20"/>
              </w:rPr>
            </w:pPr>
          </w:p>
        </w:tc>
        <w:tc>
          <w:tcPr>
            <w:tcW w:w="818" w:type="dxa"/>
          </w:tcPr>
          <w:p w:rsidR="008B1F61" w:rsidRPr="00D54D08" w:rsidRDefault="008B1F61" w:rsidP="00DB7381">
            <w:pPr>
              <w:spacing w:after="0" w:line="240" w:lineRule="auto"/>
              <w:rPr>
                <w:sz w:val="20"/>
                <w:szCs w:val="20"/>
              </w:rPr>
            </w:pPr>
            <w:r w:rsidRPr="00D54D08">
              <w:rPr>
                <w:sz w:val="20"/>
                <w:szCs w:val="20"/>
              </w:rPr>
              <w:t>FERC 717</w:t>
            </w:r>
          </w:p>
        </w:tc>
        <w:tc>
          <w:tcPr>
            <w:tcW w:w="2156" w:type="dxa"/>
          </w:tcPr>
          <w:p w:rsidR="008B1F61" w:rsidRPr="00D54D08" w:rsidRDefault="008B1F61" w:rsidP="00DB7381">
            <w:pPr>
              <w:spacing w:after="0" w:line="240" w:lineRule="auto"/>
              <w:rPr>
                <w:sz w:val="20"/>
                <w:szCs w:val="20"/>
              </w:rPr>
            </w:pPr>
            <w:r w:rsidRPr="00D54D08">
              <w:rPr>
                <w:sz w:val="20"/>
                <w:szCs w:val="20"/>
              </w:rPr>
              <w:t>Open Access Same-Time Information System</w:t>
            </w:r>
          </w:p>
        </w:tc>
        <w:tc>
          <w:tcPr>
            <w:tcW w:w="4968" w:type="dxa"/>
          </w:tcPr>
          <w:p w:rsidR="008B1F61" w:rsidRPr="00D54D08" w:rsidRDefault="008B1F61" w:rsidP="00066FFA">
            <w:pPr>
              <w:spacing w:after="0" w:line="240" w:lineRule="auto"/>
              <w:rPr>
                <w:sz w:val="20"/>
                <w:szCs w:val="20"/>
              </w:rPr>
            </w:pPr>
            <w:r w:rsidRPr="00D54D08">
              <w:rPr>
                <w:sz w:val="20"/>
                <w:szCs w:val="20"/>
              </w:rPr>
              <w:t>This is not a survey form but a system used by utilities to facilitate the procurement of transmission services.</w:t>
            </w:r>
          </w:p>
          <w:p w:rsidR="008B1F61" w:rsidRPr="00D54D08" w:rsidRDefault="008B1F61" w:rsidP="00066FFA">
            <w:pPr>
              <w:spacing w:after="0" w:line="240" w:lineRule="auto"/>
              <w:rPr>
                <w:sz w:val="20"/>
                <w:szCs w:val="20"/>
              </w:rPr>
            </w:pPr>
          </w:p>
        </w:tc>
      </w:tr>
      <w:tr w:rsidR="008B1F61" w:rsidRPr="00D54D08" w:rsidTr="00DB7381">
        <w:trPr>
          <w:cantSplit/>
          <w:trHeight w:val="647"/>
        </w:trPr>
        <w:tc>
          <w:tcPr>
            <w:tcW w:w="1634" w:type="dxa"/>
            <w:vMerge/>
          </w:tcPr>
          <w:p w:rsidR="008B1F61" w:rsidRPr="00D54D08" w:rsidRDefault="008B1F61" w:rsidP="009A0D0E">
            <w:pPr>
              <w:spacing w:after="0" w:line="240" w:lineRule="auto"/>
              <w:rPr>
                <w:sz w:val="20"/>
                <w:szCs w:val="20"/>
              </w:rPr>
            </w:pPr>
          </w:p>
        </w:tc>
        <w:tc>
          <w:tcPr>
            <w:tcW w:w="818" w:type="dxa"/>
          </w:tcPr>
          <w:p w:rsidR="008B1F61" w:rsidRPr="00D54D08" w:rsidRDefault="008B1F61" w:rsidP="00DB7381">
            <w:pPr>
              <w:spacing w:after="0" w:line="240" w:lineRule="auto"/>
              <w:rPr>
                <w:sz w:val="20"/>
                <w:szCs w:val="20"/>
              </w:rPr>
            </w:pPr>
            <w:r>
              <w:rPr>
                <w:sz w:val="20"/>
                <w:szCs w:val="20"/>
              </w:rPr>
              <w:t>FERC-731</w:t>
            </w:r>
          </w:p>
        </w:tc>
        <w:tc>
          <w:tcPr>
            <w:tcW w:w="2156" w:type="dxa"/>
          </w:tcPr>
          <w:p w:rsidR="008B1F61" w:rsidRPr="00D54D08" w:rsidRDefault="008B1F61" w:rsidP="00DB7381">
            <w:pPr>
              <w:spacing w:after="0" w:line="240" w:lineRule="auto"/>
              <w:rPr>
                <w:sz w:val="20"/>
                <w:szCs w:val="20"/>
              </w:rPr>
            </w:pPr>
            <w:r w:rsidRPr="00AD0A3A">
              <w:rPr>
                <w:sz w:val="20"/>
                <w:szCs w:val="20"/>
              </w:rPr>
              <w:t>Survey on Demand Response and Advanced Metering</w:t>
            </w:r>
          </w:p>
        </w:tc>
        <w:tc>
          <w:tcPr>
            <w:tcW w:w="4968" w:type="dxa"/>
          </w:tcPr>
          <w:p w:rsidR="008B1F61" w:rsidRPr="00D54D08" w:rsidRDefault="008B1F61" w:rsidP="00417F6C">
            <w:pPr>
              <w:spacing w:after="0" w:line="240" w:lineRule="auto"/>
              <w:rPr>
                <w:sz w:val="20"/>
                <w:szCs w:val="20"/>
              </w:rPr>
            </w:pPr>
            <w:r>
              <w:rPr>
                <w:sz w:val="20"/>
                <w:szCs w:val="20"/>
              </w:rPr>
              <w:t xml:space="preserve">Annual voluntary survey required by the Energy Policy Act of 2005.  The questions overlap in part with the </w:t>
            </w:r>
            <w:r w:rsidR="00C06F26">
              <w:rPr>
                <w:sz w:val="20"/>
                <w:szCs w:val="20"/>
              </w:rPr>
              <w:t xml:space="preserve">Form </w:t>
            </w:r>
            <w:r>
              <w:rPr>
                <w:sz w:val="20"/>
                <w:szCs w:val="20"/>
              </w:rPr>
              <w:t xml:space="preserve">EIA-861 but coverage is limited due to the survey being voluntary (recent response rate of 52%).  The frame for this survey is based on the </w:t>
            </w:r>
            <w:r w:rsidR="00C06F26">
              <w:rPr>
                <w:sz w:val="20"/>
                <w:szCs w:val="20"/>
              </w:rPr>
              <w:t xml:space="preserve">Form </w:t>
            </w:r>
            <w:r>
              <w:rPr>
                <w:sz w:val="20"/>
                <w:szCs w:val="20"/>
              </w:rPr>
              <w:t xml:space="preserve">EIA-861 frame.  FERC’s annual demand response and advanced metering reports (also required by EPACT 2005) rely on </w:t>
            </w:r>
            <w:r w:rsidR="00C06F26">
              <w:rPr>
                <w:sz w:val="20"/>
                <w:szCs w:val="20"/>
              </w:rPr>
              <w:t xml:space="preserve">Form </w:t>
            </w:r>
            <w:r>
              <w:rPr>
                <w:sz w:val="20"/>
                <w:szCs w:val="20"/>
              </w:rPr>
              <w:t xml:space="preserve">EIA-861 data.  </w:t>
            </w:r>
            <w:r w:rsidRPr="00417F6C">
              <w:rPr>
                <w:sz w:val="20"/>
                <w:szCs w:val="20"/>
              </w:rPr>
              <w:t>http://www.ferc.gov/industries/electric/indus-act/demand-response/2012/survey.asp</w:t>
            </w:r>
          </w:p>
        </w:tc>
      </w:tr>
      <w:tr w:rsidR="00EC30E3" w:rsidRPr="00D54D08" w:rsidTr="00DB7381">
        <w:trPr>
          <w:cantSplit/>
        </w:trPr>
        <w:tc>
          <w:tcPr>
            <w:tcW w:w="1634" w:type="dxa"/>
            <w:vMerge w:val="restart"/>
          </w:tcPr>
          <w:p w:rsidR="00EC30E3" w:rsidRPr="00D54D08" w:rsidRDefault="00EC30E3" w:rsidP="009A0D0E">
            <w:pPr>
              <w:spacing w:after="0" w:line="240" w:lineRule="auto"/>
              <w:rPr>
                <w:sz w:val="20"/>
                <w:szCs w:val="20"/>
              </w:rPr>
            </w:pPr>
            <w:r w:rsidRPr="00D54D08">
              <w:rPr>
                <w:sz w:val="20"/>
                <w:szCs w:val="20"/>
              </w:rPr>
              <w:t>North American Electric Reliability Corporation</w:t>
            </w:r>
          </w:p>
        </w:tc>
        <w:tc>
          <w:tcPr>
            <w:tcW w:w="818" w:type="dxa"/>
          </w:tcPr>
          <w:p w:rsidR="00EC30E3" w:rsidRPr="00D54D08" w:rsidRDefault="00EC30E3" w:rsidP="00DB7381">
            <w:pPr>
              <w:spacing w:after="0" w:line="240" w:lineRule="auto"/>
              <w:rPr>
                <w:sz w:val="20"/>
                <w:szCs w:val="20"/>
              </w:rPr>
            </w:pPr>
          </w:p>
          <w:p w:rsidR="00EC30E3" w:rsidRPr="00D54D08" w:rsidRDefault="00EC30E3" w:rsidP="00DB7381">
            <w:pPr>
              <w:spacing w:after="0" w:line="240" w:lineRule="auto"/>
              <w:rPr>
                <w:sz w:val="20"/>
                <w:szCs w:val="20"/>
              </w:rPr>
            </w:pPr>
            <w:r w:rsidRPr="00D54D08">
              <w:rPr>
                <w:sz w:val="20"/>
                <w:szCs w:val="20"/>
              </w:rPr>
              <w:t>N/A</w:t>
            </w:r>
          </w:p>
        </w:tc>
        <w:tc>
          <w:tcPr>
            <w:tcW w:w="2156" w:type="dxa"/>
          </w:tcPr>
          <w:p w:rsidR="00EC30E3" w:rsidRPr="00D54D08" w:rsidRDefault="00EC30E3" w:rsidP="00DB7381">
            <w:pPr>
              <w:spacing w:after="0" w:line="240" w:lineRule="auto"/>
              <w:rPr>
                <w:sz w:val="20"/>
                <w:szCs w:val="20"/>
              </w:rPr>
            </w:pPr>
            <w:r w:rsidRPr="00D54D08">
              <w:rPr>
                <w:sz w:val="20"/>
                <w:szCs w:val="20"/>
              </w:rPr>
              <w:t>Generating Availability Data System (GADS)</w:t>
            </w:r>
          </w:p>
        </w:tc>
        <w:tc>
          <w:tcPr>
            <w:tcW w:w="4968" w:type="dxa"/>
          </w:tcPr>
          <w:p w:rsidR="00EC30E3" w:rsidRPr="00D54D08" w:rsidRDefault="00EC30E3" w:rsidP="00066FFA">
            <w:pPr>
              <w:spacing w:after="0" w:line="240" w:lineRule="auto"/>
              <w:rPr>
                <w:sz w:val="20"/>
                <w:szCs w:val="20"/>
              </w:rPr>
            </w:pPr>
            <w:r w:rsidRPr="00D54D08">
              <w:rPr>
                <w:sz w:val="20"/>
                <w:szCs w:val="20"/>
              </w:rPr>
              <w:t>Gathers data from all generator owners on the NERC registry concerning the reliability of generating units.</w:t>
            </w:r>
            <w:r w:rsidR="00EF5A2E">
              <w:rPr>
                <w:sz w:val="20"/>
                <w:szCs w:val="20"/>
              </w:rPr>
              <w:t xml:space="preserve">  </w:t>
            </w:r>
            <w:r w:rsidR="00EF5A2E" w:rsidRPr="00EF5A2E">
              <w:rPr>
                <w:sz w:val="20"/>
                <w:szCs w:val="20"/>
              </w:rPr>
              <w:t>http://www.nerc.com/page.php?cid=4|43</w:t>
            </w:r>
          </w:p>
        </w:tc>
      </w:tr>
      <w:tr w:rsidR="00EC30E3" w:rsidRPr="00D54D08" w:rsidTr="00DB7381">
        <w:trPr>
          <w:cantSplit/>
        </w:trPr>
        <w:tc>
          <w:tcPr>
            <w:tcW w:w="1634" w:type="dxa"/>
            <w:vMerge/>
          </w:tcPr>
          <w:p w:rsidR="00EC30E3" w:rsidRPr="00D54D08" w:rsidRDefault="00EC30E3" w:rsidP="009A0D0E">
            <w:pPr>
              <w:spacing w:after="0" w:line="240" w:lineRule="auto"/>
              <w:rPr>
                <w:sz w:val="20"/>
                <w:szCs w:val="20"/>
              </w:rPr>
            </w:pPr>
          </w:p>
        </w:tc>
        <w:tc>
          <w:tcPr>
            <w:tcW w:w="818" w:type="dxa"/>
          </w:tcPr>
          <w:p w:rsidR="00EC30E3" w:rsidRPr="00D54D08" w:rsidRDefault="00EC30E3" w:rsidP="00DB7381">
            <w:pPr>
              <w:spacing w:after="0" w:line="240" w:lineRule="auto"/>
              <w:rPr>
                <w:sz w:val="20"/>
                <w:szCs w:val="20"/>
              </w:rPr>
            </w:pPr>
          </w:p>
          <w:p w:rsidR="00EC30E3" w:rsidRPr="00D54D08" w:rsidRDefault="00EC30E3" w:rsidP="00DB7381">
            <w:pPr>
              <w:spacing w:after="0" w:line="240" w:lineRule="auto"/>
              <w:rPr>
                <w:sz w:val="20"/>
                <w:szCs w:val="20"/>
              </w:rPr>
            </w:pPr>
            <w:r w:rsidRPr="00D54D08">
              <w:rPr>
                <w:sz w:val="20"/>
                <w:szCs w:val="20"/>
              </w:rPr>
              <w:t>N/A</w:t>
            </w:r>
          </w:p>
        </w:tc>
        <w:tc>
          <w:tcPr>
            <w:tcW w:w="2156" w:type="dxa"/>
          </w:tcPr>
          <w:p w:rsidR="00EC30E3" w:rsidRPr="00D54D08" w:rsidRDefault="00EC30E3" w:rsidP="00DB7381">
            <w:pPr>
              <w:spacing w:after="0" w:line="240" w:lineRule="auto"/>
              <w:rPr>
                <w:sz w:val="20"/>
                <w:szCs w:val="20"/>
              </w:rPr>
            </w:pPr>
            <w:r w:rsidRPr="00D54D08">
              <w:rPr>
                <w:sz w:val="20"/>
                <w:szCs w:val="20"/>
              </w:rPr>
              <w:t>Transmission Availability Data System (TADS)</w:t>
            </w:r>
          </w:p>
        </w:tc>
        <w:tc>
          <w:tcPr>
            <w:tcW w:w="4968" w:type="dxa"/>
          </w:tcPr>
          <w:p w:rsidR="00EC30E3" w:rsidRPr="00D54D08" w:rsidRDefault="00EC30E3" w:rsidP="00EF5A2E">
            <w:pPr>
              <w:spacing w:after="0" w:line="240" w:lineRule="auto"/>
              <w:rPr>
                <w:sz w:val="20"/>
                <w:szCs w:val="20"/>
              </w:rPr>
            </w:pPr>
            <w:r w:rsidRPr="007350F8">
              <w:rPr>
                <w:sz w:val="20"/>
                <w:szCs w:val="20"/>
              </w:rPr>
              <w:t>Collects data on certain reliability aspects of the transmission system.</w:t>
            </w:r>
            <w:r w:rsidR="00EF5A2E">
              <w:rPr>
                <w:sz w:val="20"/>
                <w:szCs w:val="20"/>
              </w:rPr>
              <w:t xml:space="preserve"> </w:t>
            </w:r>
            <w:r w:rsidR="00EF5A2E" w:rsidRPr="00EF5A2E">
              <w:rPr>
                <w:rStyle w:val="Hyperlink"/>
                <w:sz w:val="20"/>
                <w:szCs w:val="20"/>
              </w:rPr>
              <w:t>http://www.nerc.com/page.php?cid=4|62</w:t>
            </w:r>
          </w:p>
        </w:tc>
      </w:tr>
      <w:tr w:rsidR="00EC30E3" w:rsidRPr="00D54D08" w:rsidTr="00DB7381">
        <w:trPr>
          <w:cantSplit/>
        </w:trPr>
        <w:tc>
          <w:tcPr>
            <w:tcW w:w="1634" w:type="dxa"/>
          </w:tcPr>
          <w:p w:rsidR="00EC30E3" w:rsidRPr="00D54D08" w:rsidRDefault="00EC30E3" w:rsidP="009A0D0E">
            <w:pPr>
              <w:spacing w:after="0" w:line="240" w:lineRule="auto"/>
              <w:rPr>
                <w:sz w:val="20"/>
                <w:szCs w:val="20"/>
              </w:rPr>
            </w:pPr>
            <w:r w:rsidRPr="00D54D08">
              <w:rPr>
                <w:sz w:val="20"/>
                <w:szCs w:val="20"/>
              </w:rPr>
              <w:t>Nuclear Regulatory Commission</w:t>
            </w:r>
          </w:p>
        </w:tc>
        <w:tc>
          <w:tcPr>
            <w:tcW w:w="818" w:type="dxa"/>
          </w:tcPr>
          <w:p w:rsidR="00EC30E3" w:rsidRPr="00D54D08" w:rsidRDefault="00EC30E3" w:rsidP="00DB7381">
            <w:pPr>
              <w:spacing w:after="0" w:line="240" w:lineRule="auto"/>
              <w:rPr>
                <w:sz w:val="20"/>
                <w:szCs w:val="20"/>
              </w:rPr>
            </w:pPr>
          </w:p>
          <w:p w:rsidR="00EC30E3" w:rsidRPr="00D54D08" w:rsidRDefault="00EC30E3" w:rsidP="00DB7381">
            <w:pPr>
              <w:spacing w:after="0" w:line="240" w:lineRule="auto"/>
              <w:rPr>
                <w:sz w:val="20"/>
                <w:szCs w:val="20"/>
              </w:rPr>
            </w:pPr>
            <w:r w:rsidRPr="00D54D08">
              <w:rPr>
                <w:sz w:val="20"/>
                <w:szCs w:val="20"/>
              </w:rPr>
              <w:t>N/A</w:t>
            </w:r>
          </w:p>
        </w:tc>
        <w:tc>
          <w:tcPr>
            <w:tcW w:w="2156" w:type="dxa"/>
          </w:tcPr>
          <w:p w:rsidR="00EC30E3" w:rsidRPr="00EF5A2E" w:rsidRDefault="00EF5A2E" w:rsidP="001D1739">
            <w:pPr>
              <w:spacing w:line="240" w:lineRule="auto"/>
              <w:rPr>
                <w:sz w:val="20"/>
                <w:szCs w:val="20"/>
              </w:rPr>
            </w:pPr>
            <w:r w:rsidRPr="00EF5A2E">
              <w:rPr>
                <w:sz w:val="20"/>
                <w:szCs w:val="20"/>
              </w:rPr>
              <w:t>Current Po</w:t>
            </w:r>
            <w:r w:rsidR="001D1739">
              <w:rPr>
                <w:sz w:val="20"/>
                <w:szCs w:val="20"/>
              </w:rPr>
              <w:t>wer Reactor S</w:t>
            </w:r>
            <w:r w:rsidRPr="00EF5A2E">
              <w:rPr>
                <w:sz w:val="20"/>
                <w:szCs w:val="20"/>
              </w:rPr>
              <w:t xml:space="preserve">tatus Report </w:t>
            </w:r>
          </w:p>
        </w:tc>
        <w:tc>
          <w:tcPr>
            <w:tcW w:w="4968" w:type="dxa"/>
          </w:tcPr>
          <w:p w:rsidR="00EC30E3" w:rsidRPr="00D54D08" w:rsidRDefault="00EF5A2E" w:rsidP="00066FFA">
            <w:pPr>
              <w:spacing w:after="0" w:line="240" w:lineRule="auto"/>
              <w:rPr>
                <w:sz w:val="20"/>
                <w:szCs w:val="20"/>
              </w:rPr>
            </w:pPr>
            <w:r>
              <w:rPr>
                <w:sz w:val="20"/>
                <w:szCs w:val="20"/>
              </w:rPr>
              <w:t xml:space="preserve">Daily report on percentage of available capacity from commercial nuclear generating units.  </w:t>
            </w:r>
            <w:r w:rsidRPr="00EF5A2E">
              <w:rPr>
                <w:sz w:val="20"/>
                <w:szCs w:val="20"/>
              </w:rPr>
              <w:t>http://www.nrc.gov/reading-rm/doc-collections/event-status/reactor-status/</w:t>
            </w:r>
          </w:p>
        </w:tc>
      </w:tr>
      <w:tr w:rsidR="00EC30E3" w:rsidRPr="00D54D08" w:rsidTr="00DB7381">
        <w:trPr>
          <w:cantSplit/>
        </w:trPr>
        <w:tc>
          <w:tcPr>
            <w:tcW w:w="1634" w:type="dxa"/>
          </w:tcPr>
          <w:p w:rsidR="00EC30E3" w:rsidRPr="00D54D08" w:rsidRDefault="00EF5A2E" w:rsidP="009A0D0E">
            <w:pPr>
              <w:spacing w:after="0" w:line="240" w:lineRule="auto"/>
              <w:rPr>
                <w:sz w:val="20"/>
                <w:szCs w:val="20"/>
              </w:rPr>
            </w:pPr>
            <w:r>
              <w:rPr>
                <w:sz w:val="20"/>
                <w:szCs w:val="20"/>
              </w:rPr>
              <w:t>Office of Civilian Radioactive Waste Management</w:t>
            </w:r>
            <w:r w:rsidR="00EC30E3" w:rsidRPr="00D54D08">
              <w:rPr>
                <w:sz w:val="20"/>
                <w:szCs w:val="20"/>
              </w:rPr>
              <w:t>**</w:t>
            </w:r>
          </w:p>
        </w:tc>
        <w:tc>
          <w:tcPr>
            <w:tcW w:w="818" w:type="dxa"/>
          </w:tcPr>
          <w:p w:rsidR="00EC30E3" w:rsidRPr="00D54D08" w:rsidRDefault="00EC30E3" w:rsidP="00DB7381">
            <w:pPr>
              <w:spacing w:after="0" w:line="240" w:lineRule="auto"/>
              <w:rPr>
                <w:sz w:val="20"/>
                <w:szCs w:val="20"/>
              </w:rPr>
            </w:pPr>
          </w:p>
          <w:p w:rsidR="00EC30E3" w:rsidRPr="00D54D08" w:rsidRDefault="00EC30E3" w:rsidP="00DB7381">
            <w:pPr>
              <w:spacing w:after="0" w:line="240" w:lineRule="auto"/>
              <w:rPr>
                <w:sz w:val="20"/>
                <w:szCs w:val="20"/>
              </w:rPr>
            </w:pPr>
            <w:r w:rsidRPr="00D54D08">
              <w:rPr>
                <w:sz w:val="20"/>
                <w:szCs w:val="20"/>
              </w:rPr>
              <w:t>NWPA-</w:t>
            </w:r>
          </w:p>
          <w:p w:rsidR="00EC30E3" w:rsidRPr="00D54D08" w:rsidRDefault="00EC30E3" w:rsidP="00DB7381">
            <w:pPr>
              <w:spacing w:after="0" w:line="240" w:lineRule="auto"/>
              <w:rPr>
                <w:sz w:val="20"/>
                <w:szCs w:val="20"/>
              </w:rPr>
            </w:pPr>
            <w:r w:rsidRPr="00D54D08">
              <w:rPr>
                <w:sz w:val="20"/>
                <w:szCs w:val="20"/>
              </w:rPr>
              <w:t>830G</w:t>
            </w:r>
          </w:p>
        </w:tc>
        <w:tc>
          <w:tcPr>
            <w:tcW w:w="2156" w:type="dxa"/>
          </w:tcPr>
          <w:p w:rsidR="00EC30E3" w:rsidRPr="00D54D08" w:rsidRDefault="00EC30E3" w:rsidP="00DB7381">
            <w:pPr>
              <w:spacing w:after="0" w:line="240" w:lineRule="auto"/>
              <w:rPr>
                <w:sz w:val="20"/>
                <w:szCs w:val="20"/>
              </w:rPr>
            </w:pPr>
            <w:r w:rsidRPr="00D54D08">
              <w:rPr>
                <w:sz w:val="20"/>
                <w:szCs w:val="20"/>
              </w:rPr>
              <w:t>Appendix G-Standard Remittance Advice for Payment of Fees</w:t>
            </w:r>
          </w:p>
        </w:tc>
        <w:tc>
          <w:tcPr>
            <w:tcW w:w="4968" w:type="dxa"/>
          </w:tcPr>
          <w:p w:rsidR="00EC30E3" w:rsidRPr="00D54D08" w:rsidRDefault="00EC30E3" w:rsidP="00066FFA">
            <w:pPr>
              <w:spacing w:after="0" w:line="240" w:lineRule="auto"/>
              <w:rPr>
                <w:sz w:val="20"/>
                <w:szCs w:val="20"/>
              </w:rPr>
            </w:pPr>
            <w:r w:rsidRPr="00D54D08">
              <w:rPr>
                <w:sz w:val="20"/>
                <w:szCs w:val="20"/>
              </w:rPr>
              <w:t>Collects data related to the collection of fees for nuclear waste disposal.</w:t>
            </w:r>
            <w:r w:rsidR="00AD0A3A">
              <w:rPr>
                <w:sz w:val="20"/>
                <w:szCs w:val="20"/>
              </w:rPr>
              <w:t xml:space="preserve">  </w:t>
            </w:r>
            <w:r w:rsidR="00AD0A3A" w:rsidRPr="00AD0A3A">
              <w:rPr>
                <w:sz w:val="20"/>
                <w:szCs w:val="20"/>
              </w:rPr>
              <w:t>http://www.eia.gov/survey/#nwpa-830g</w:t>
            </w:r>
          </w:p>
        </w:tc>
      </w:tr>
      <w:tr w:rsidR="00EC30E3" w:rsidRPr="00D54D08" w:rsidTr="00DB7381">
        <w:trPr>
          <w:cantSplit/>
        </w:trPr>
        <w:tc>
          <w:tcPr>
            <w:tcW w:w="1634" w:type="dxa"/>
            <w:vMerge w:val="restart"/>
          </w:tcPr>
          <w:p w:rsidR="00EC30E3" w:rsidRPr="00D54D08" w:rsidRDefault="00EC30E3" w:rsidP="009A0D0E">
            <w:pPr>
              <w:spacing w:after="0" w:line="240" w:lineRule="auto"/>
              <w:rPr>
                <w:sz w:val="20"/>
                <w:szCs w:val="20"/>
              </w:rPr>
            </w:pPr>
            <w:r w:rsidRPr="00D54D08">
              <w:rPr>
                <w:sz w:val="20"/>
                <w:szCs w:val="20"/>
              </w:rPr>
              <w:t>Rural Electric Utilities Service (Department of Agriculture)</w:t>
            </w:r>
          </w:p>
        </w:tc>
        <w:tc>
          <w:tcPr>
            <w:tcW w:w="818" w:type="dxa"/>
          </w:tcPr>
          <w:p w:rsidR="00EC30E3" w:rsidRPr="00D54D08" w:rsidRDefault="00EC30E3" w:rsidP="00DB7381">
            <w:pPr>
              <w:spacing w:after="0" w:line="240" w:lineRule="auto"/>
              <w:rPr>
                <w:sz w:val="20"/>
                <w:szCs w:val="20"/>
              </w:rPr>
            </w:pPr>
            <w:r w:rsidRPr="00D54D08">
              <w:rPr>
                <w:sz w:val="20"/>
                <w:szCs w:val="20"/>
              </w:rPr>
              <w:t>RUS-7</w:t>
            </w:r>
          </w:p>
        </w:tc>
        <w:tc>
          <w:tcPr>
            <w:tcW w:w="2156" w:type="dxa"/>
          </w:tcPr>
          <w:p w:rsidR="00EC30E3" w:rsidRPr="00D54D08" w:rsidRDefault="00EC30E3" w:rsidP="00DB7381">
            <w:pPr>
              <w:spacing w:after="0" w:line="240" w:lineRule="auto"/>
              <w:rPr>
                <w:sz w:val="20"/>
                <w:szCs w:val="20"/>
              </w:rPr>
            </w:pPr>
            <w:r w:rsidRPr="00D54D08">
              <w:rPr>
                <w:sz w:val="20"/>
                <w:szCs w:val="20"/>
              </w:rPr>
              <w:t>Financial and Statistical Report</w:t>
            </w:r>
          </w:p>
        </w:tc>
        <w:tc>
          <w:tcPr>
            <w:tcW w:w="4968" w:type="dxa"/>
          </w:tcPr>
          <w:p w:rsidR="00EC30E3" w:rsidRPr="00D54D08" w:rsidRDefault="00EC30E3" w:rsidP="00066FFA">
            <w:pPr>
              <w:spacing w:after="0" w:line="240" w:lineRule="auto"/>
              <w:rPr>
                <w:sz w:val="20"/>
                <w:szCs w:val="20"/>
              </w:rPr>
            </w:pPr>
            <w:r w:rsidRPr="00D54D08">
              <w:rPr>
                <w:sz w:val="20"/>
                <w:szCs w:val="20"/>
              </w:rPr>
              <w:t>Form number dropped.  New form title is “Financial and Operating Report Electric Distribution.</w:t>
            </w:r>
            <w:r w:rsidR="00AD0A3A">
              <w:rPr>
                <w:sz w:val="20"/>
                <w:szCs w:val="20"/>
              </w:rPr>
              <w:t>”</w:t>
            </w:r>
            <w:r w:rsidRPr="00D54D08">
              <w:rPr>
                <w:sz w:val="20"/>
                <w:szCs w:val="20"/>
              </w:rPr>
              <w:t xml:space="preserve">  Provides financial data on electricity distribution by rural utilities.</w:t>
            </w:r>
            <w:r w:rsidR="00AD0A3A">
              <w:t xml:space="preserve"> </w:t>
            </w:r>
            <w:r w:rsidR="00AD0A3A" w:rsidRPr="00AD0A3A">
              <w:rPr>
                <w:sz w:val="20"/>
                <w:szCs w:val="20"/>
              </w:rPr>
              <w:t>http://www.rurdev.usda.gov/UEP_Support_DCS.html</w:t>
            </w:r>
          </w:p>
        </w:tc>
      </w:tr>
      <w:tr w:rsidR="00EC30E3" w:rsidRPr="00D54D08" w:rsidTr="00DB7381">
        <w:trPr>
          <w:cantSplit/>
        </w:trPr>
        <w:tc>
          <w:tcPr>
            <w:tcW w:w="1634" w:type="dxa"/>
            <w:vMerge/>
          </w:tcPr>
          <w:p w:rsidR="00EC30E3" w:rsidRPr="00D54D08" w:rsidRDefault="00EC30E3" w:rsidP="00DB7381">
            <w:pPr>
              <w:spacing w:after="0" w:line="240" w:lineRule="auto"/>
              <w:rPr>
                <w:sz w:val="20"/>
                <w:szCs w:val="20"/>
              </w:rPr>
            </w:pPr>
          </w:p>
        </w:tc>
        <w:tc>
          <w:tcPr>
            <w:tcW w:w="818" w:type="dxa"/>
          </w:tcPr>
          <w:p w:rsidR="00EC30E3" w:rsidRPr="00D54D08" w:rsidRDefault="00EC30E3" w:rsidP="00DB7381">
            <w:pPr>
              <w:spacing w:after="0" w:line="240" w:lineRule="auto"/>
              <w:rPr>
                <w:sz w:val="20"/>
                <w:szCs w:val="20"/>
              </w:rPr>
            </w:pPr>
            <w:r w:rsidRPr="00D54D08">
              <w:rPr>
                <w:sz w:val="20"/>
                <w:szCs w:val="20"/>
              </w:rPr>
              <w:t>RUS-12</w:t>
            </w:r>
          </w:p>
        </w:tc>
        <w:tc>
          <w:tcPr>
            <w:tcW w:w="2156" w:type="dxa"/>
          </w:tcPr>
          <w:p w:rsidR="00EC30E3" w:rsidRPr="00D54D08" w:rsidRDefault="00EC30E3" w:rsidP="00DB7381">
            <w:pPr>
              <w:spacing w:after="0" w:line="240" w:lineRule="auto"/>
              <w:rPr>
                <w:sz w:val="20"/>
                <w:szCs w:val="20"/>
              </w:rPr>
            </w:pPr>
            <w:r w:rsidRPr="00D54D08">
              <w:rPr>
                <w:sz w:val="20"/>
                <w:szCs w:val="20"/>
              </w:rPr>
              <w:t xml:space="preserve">Operating Report for </w:t>
            </w:r>
            <w:r w:rsidR="001D1739">
              <w:rPr>
                <w:sz w:val="20"/>
                <w:szCs w:val="20"/>
              </w:rPr>
              <w:t>Electric Power Supply Borrowers</w:t>
            </w:r>
          </w:p>
        </w:tc>
        <w:tc>
          <w:tcPr>
            <w:tcW w:w="4968" w:type="dxa"/>
          </w:tcPr>
          <w:p w:rsidR="00EC30E3" w:rsidRPr="00D54D08" w:rsidRDefault="00EC30E3" w:rsidP="00066FFA">
            <w:pPr>
              <w:spacing w:after="0" w:line="240" w:lineRule="auto"/>
              <w:rPr>
                <w:sz w:val="20"/>
                <w:szCs w:val="20"/>
              </w:rPr>
            </w:pPr>
            <w:r w:rsidRPr="00D54D08">
              <w:rPr>
                <w:sz w:val="20"/>
                <w:szCs w:val="20"/>
              </w:rPr>
              <w:t>Form number dropped.  New form title is “Financial and Operating Report Electric Power Supply.”  See preceding information on RUS-7.</w:t>
            </w:r>
            <w:r w:rsidR="00AD0A3A">
              <w:rPr>
                <w:sz w:val="20"/>
                <w:szCs w:val="20"/>
              </w:rPr>
              <w:t xml:space="preserve">  </w:t>
            </w:r>
            <w:r w:rsidR="00AD0A3A" w:rsidRPr="00AD0A3A">
              <w:rPr>
                <w:sz w:val="20"/>
                <w:szCs w:val="20"/>
              </w:rPr>
              <w:t>http://www.rurdev.usda.gov/UEP_Support_DCS.html</w:t>
            </w:r>
          </w:p>
        </w:tc>
      </w:tr>
      <w:tr w:rsidR="00EC30E3" w:rsidRPr="00D54D08" w:rsidTr="00DB7381">
        <w:trPr>
          <w:cantSplit/>
          <w:trHeight w:val="1223"/>
        </w:trPr>
        <w:tc>
          <w:tcPr>
            <w:tcW w:w="9576" w:type="dxa"/>
            <w:gridSpan w:val="4"/>
          </w:tcPr>
          <w:p w:rsidR="00EC30E3" w:rsidRDefault="00EC30E3" w:rsidP="00DB7381">
            <w:pPr>
              <w:spacing w:after="0" w:line="240" w:lineRule="auto"/>
              <w:rPr>
                <w:sz w:val="20"/>
                <w:szCs w:val="20"/>
              </w:rPr>
            </w:pPr>
            <w:r w:rsidRPr="00D54D08">
              <w:rPr>
                <w:sz w:val="20"/>
                <w:szCs w:val="20"/>
              </w:rPr>
              <w:t xml:space="preserve">*Major utilities in FERC 1 refers to </w:t>
            </w:r>
            <w:r w:rsidR="0043780E">
              <w:rPr>
                <w:sz w:val="20"/>
                <w:szCs w:val="20"/>
              </w:rPr>
              <w:t>those</w:t>
            </w:r>
            <w:r w:rsidRPr="00D54D08">
              <w:rPr>
                <w:sz w:val="20"/>
                <w:szCs w:val="20"/>
              </w:rPr>
              <w:t xml:space="preserve"> having (1) one million </w:t>
            </w:r>
            <w:proofErr w:type="spellStart"/>
            <w:r w:rsidRPr="00D54D08">
              <w:rPr>
                <w:sz w:val="20"/>
                <w:szCs w:val="20"/>
              </w:rPr>
              <w:t>megawatthour</w:t>
            </w:r>
            <w:r w:rsidR="0043780E">
              <w:rPr>
                <w:sz w:val="20"/>
                <w:szCs w:val="20"/>
              </w:rPr>
              <w:t>s</w:t>
            </w:r>
            <w:proofErr w:type="spellEnd"/>
            <w:r w:rsidRPr="00D54D08">
              <w:rPr>
                <w:sz w:val="20"/>
                <w:szCs w:val="20"/>
              </w:rPr>
              <w:t xml:space="preserve"> (</w:t>
            </w:r>
            <w:proofErr w:type="spellStart"/>
            <w:r w:rsidRPr="00D54D08">
              <w:rPr>
                <w:sz w:val="20"/>
                <w:szCs w:val="20"/>
              </w:rPr>
              <w:t>MWh</w:t>
            </w:r>
            <w:proofErr w:type="spellEnd"/>
            <w:r w:rsidRPr="00D54D08">
              <w:rPr>
                <w:sz w:val="20"/>
                <w:szCs w:val="20"/>
              </w:rPr>
              <w:t xml:space="preserve">) or more; (2) 100 </w:t>
            </w:r>
            <w:proofErr w:type="spellStart"/>
            <w:r w:rsidRPr="00D54D08">
              <w:rPr>
                <w:sz w:val="20"/>
                <w:szCs w:val="20"/>
              </w:rPr>
              <w:t>MWh</w:t>
            </w:r>
            <w:proofErr w:type="spellEnd"/>
            <w:r w:rsidRPr="00D54D08">
              <w:rPr>
                <w:sz w:val="20"/>
                <w:szCs w:val="20"/>
              </w:rPr>
              <w:t xml:space="preserve"> of annual sales for resale; (3) 500 </w:t>
            </w:r>
            <w:proofErr w:type="spellStart"/>
            <w:r w:rsidRPr="00D54D08">
              <w:rPr>
                <w:sz w:val="20"/>
                <w:szCs w:val="20"/>
              </w:rPr>
              <w:t>MWh</w:t>
            </w:r>
            <w:proofErr w:type="spellEnd"/>
            <w:r w:rsidRPr="00D54D08">
              <w:rPr>
                <w:sz w:val="20"/>
                <w:szCs w:val="20"/>
              </w:rPr>
              <w:t xml:space="preserve"> of annual power exchange delivered or 500 </w:t>
            </w:r>
            <w:proofErr w:type="spellStart"/>
            <w:r w:rsidRPr="00D54D08">
              <w:rPr>
                <w:sz w:val="20"/>
                <w:szCs w:val="20"/>
              </w:rPr>
              <w:t>MWh</w:t>
            </w:r>
            <w:proofErr w:type="spellEnd"/>
            <w:r w:rsidRPr="00D54D08">
              <w:rPr>
                <w:sz w:val="20"/>
                <w:szCs w:val="20"/>
              </w:rPr>
              <w:t xml:space="preserve"> annual wheeling for others (deliveries plus losses).</w:t>
            </w:r>
          </w:p>
          <w:p w:rsidR="00EC30E3" w:rsidRPr="00D54D08" w:rsidRDefault="00EC30E3" w:rsidP="00DB7381">
            <w:pPr>
              <w:spacing w:after="0" w:line="240" w:lineRule="auto"/>
              <w:rPr>
                <w:sz w:val="20"/>
                <w:szCs w:val="20"/>
              </w:rPr>
            </w:pPr>
          </w:p>
          <w:p w:rsidR="00EC30E3" w:rsidRPr="00D54D08" w:rsidRDefault="00EC30E3" w:rsidP="00DB7381">
            <w:pPr>
              <w:spacing w:after="0" w:line="240" w:lineRule="auto"/>
              <w:rPr>
                <w:sz w:val="20"/>
                <w:szCs w:val="20"/>
              </w:rPr>
            </w:pPr>
            <w:r w:rsidRPr="00D54D08">
              <w:rPr>
                <w:sz w:val="20"/>
                <w:szCs w:val="20"/>
              </w:rPr>
              <w:t>**OCRWM is no longer in existence, but some functions are still maintained.</w:t>
            </w:r>
          </w:p>
        </w:tc>
      </w:tr>
    </w:tbl>
    <w:p w:rsidR="00EC30E3" w:rsidRPr="00111BEC" w:rsidRDefault="00EC30E3" w:rsidP="000A47E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pPr>
    </w:p>
    <w:p w:rsidR="003806C8" w:rsidRPr="00583461" w:rsidRDefault="003806C8" w:rsidP="000A47ED">
      <w:pPr>
        <w:pStyle w:val="Heading2"/>
      </w:pPr>
      <w:bookmarkStart w:id="29" w:name="_Toc318697077"/>
      <w:bookmarkStart w:id="30" w:name="_Toc343524152"/>
      <w:bookmarkEnd w:id="28"/>
      <w:r w:rsidRPr="00583461">
        <w:t>A.5. Provisions for Reducing Burden on Small Businesses</w:t>
      </w:r>
      <w:bookmarkEnd w:id="29"/>
      <w:bookmarkEnd w:id="30"/>
    </w:p>
    <w:p w:rsidR="003B7EDC" w:rsidRDefault="0009773C" w:rsidP="002A55E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0"/>
        <w:jc w:val="both"/>
      </w:pPr>
      <w:bookmarkStart w:id="31" w:name="_Toc524334494"/>
      <w:bookmarkStart w:id="32" w:name="_Toc524334576"/>
      <w:bookmarkStart w:id="33" w:name="_Toc524334724"/>
      <w:bookmarkStart w:id="34" w:name="_Toc524334917"/>
      <w:r>
        <w:t>The burden on smaller entities is reduced through the use of cut-off sampling</w:t>
      </w:r>
      <w:r w:rsidR="00FD427A">
        <w:rPr>
          <w:rStyle w:val="FootnoteReference"/>
        </w:rPr>
        <w:footnoteReference w:id="9"/>
      </w:r>
      <w:r>
        <w:t xml:space="preserve"> for monthly surveys and the use of Internet data collection.  In addition, </w:t>
      </w:r>
      <w:r w:rsidRPr="000906EB">
        <w:t xml:space="preserve">EIA pre-populates many data elements reported on prior surveys for items that do not </w:t>
      </w:r>
      <w:r w:rsidR="006E4825">
        <w:t xml:space="preserve">frequently </w:t>
      </w:r>
      <w:r w:rsidRPr="000906EB">
        <w:t>change.  This allows respondents (both large and small) to simply verify that the information has not changed</w:t>
      </w:r>
      <w:r w:rsidR="006E4825">
        <w:t>,</w:t>
      </w:r>
      <w:r w:rsidRPr="000906EB">
        <w:t xml:space="preserve"> as opposed to reporting </w:t>
      </w:r>
      <w:r w:rsidR="006E4825">
        <w:t>the information in</w:t>
      </w:r>
      <w:r w:rsidR="006E4825" w:rsidRPr="000906EB">
        <w:t xml:space="preserve"> </w:t>
      </w:r>
      <w:r w:rsidRPr="000906EB">
        <w:t>each period.</w:t>
      </w:r>
      <w:r>
        <w:t xml:space="preserve">  </w:t>
      </w:r>
      <w:r w:rsidR="003B7EDC" w:rsidRPr="000906EB">
        <w:t xml:space="preserve">The current proposal lessens the burden on smaller entities by </w:t>
      </w:r>
      <w:r w:rsidR="006E4825">
        <w:t>modifying</w:t>
      </w:r>
      <w:r w:rsidR="006E4825" w:rsidRPr="000906EB">
        <w:t xml:space="preserve"> </w:t>
      </w:r>
      <w:r w:rsidR="003B7EDC" w:rsidRPr="000906EB">
        <w:t xml:space="preserve">the reporting </w:t>
      </w:r>
      <w:r w:rsidR="006E4825">
        <w:t>requirements</w:t>
      </w:r>
      <w:r w:rsidR="003B7EDC" w:rsidRPr="000906EB">
        <w:t xml:space="preserve"> for Schedule 2 o</w:t>
      </w:r>
      <w:r w:rsidR="00EC0FCE" w:rsidRPr="000906EB">
        <w:t>f</w:t>
      </w:r>
      <w:r w:rsidR="003B7EDC" w:rsidRPr="000906EB">
        <w:t xml:space="preserve"> the Form EIA-923</w:t>
      </w:r>
      <w:r w:rsidR="006E4825">
        <w:t xml:space="preserve"> (including increasing the reporting threshold</w:t>
      </w:r>
      <w:r w:rsidR="007A7EE3">
        <w:rPr>
          <w:rStyle w:val="FootnoteReference"/>
        </w:rPr>
        <w:footnoteReference w:id="10"/>
      </w:r>
      <w:r w:rsidR="006E4825">
        <w:t>)</w:t>
      </w:r>
      <w:r w:rsidR="007F23B7" w:rsidRPr="000906EB">
        <w:t>,</w:t>
      </w:r>
      <w:r w:rsidR="003B7EDC" w:rsidRPr="000906EB">
        <w:t xml:space="preserve"> and </w:t>
      </w:r>
      <w:r w:rsidRPr="000906EB">
        <w:t xml:space="preserve">through the reduction in the </w:t>
      </w:r>
      <w:r w:rsidR="002176EB">
        <w:t>sample</w:t>
      </w:r>
      <w:r w:rsidR="002176EB" w:rsidRPr="000906EB">
        <w:t xml:space="preserve"> </w:t>
      </w:r>
      <w:r w:rsidRPr="000906EB">
        <w:t xml:space="preserve">size for the </w:t>
      </w:r>
      <w:r w:rsidR="00F5316A" w:rsidRPr="000906EB">
        <w:t xml:space="preserve">Form </w:t>
      </w:r>
      <w:r w:rsidRPr="000906EB">
        <w:t xml:space="preserve">EIA-861 survey and the </w:t>
      </w:r>
      <w:r w:rsidR="006E4825">
        <w:t xml:space="preserve">associated </w:t>
      </w:r>
      <w:r w:rsidRPr="000906EB">
        <w:t xml:space="preserve">introduction </w:t>
      </w:r>
      <w:r w:rsidR="00EC0FCE" w:rsidRPr="000906EB">
        <w:t xml:space="preserve">of the </w:t>
      </w:r>
      <w:r w:rsidR="006E4825">
        <w:t xml:space="preserve">shorter </w:t>
      </w:r>
      <w:r w:rsidR="00F5316A" w:rsidRPr="000906EB">
        <w:t xml:space="preserve">Form </w:t>
      </w:r>
      <w:r w:rsidR="00EC0FCE" w:rsidRPr="000906EB">
        <w:t>EIA-861</w:t>
      </w:r>
      <w:r w:rsidRPr="000906EB">
        <w:t>S</w:t>
      </w:r>
      <w:r w:rsidR="00830A19">
        <w:t xml:space="preserve"> </w:t>
      </w:r>
      <w:r w:rsidR="001C17AC">
        <w:t>.</w:t>
      </w:r>
      <w:r w:rsidR="0017196F" w:rsidRPr="0017196F">
        <w:t xml:space="preserve">  The estimated time to complete the proposed </w:t>
      </w:r>
      <w:r w:rsidR="001951D4">
        <w:t>F</w:t>
      </w:r>
      <w:r w:rsidR="00532022">
        <w:t xml:space="preserve">orm </w:t>
      </w:r>
      <w:r w:rsidR="0017196F" w:rsidRPr="0017196F">
        <w:t xml:space="preserve">EIA-861S is 45 minutes, compared to 540 minutes (9 hours) to complete the </w:t>
      </w:r>
      <w:r w:rsidR="00532022">
        <w:t xml:space="preserve">Form </w:t>
      </w:r>
      <w:r w:rsidR="0017196F" w:rsidRPr="0017196F">
        <w:t>EIA-861, a difference of 8.25 hours per response</w:t>
      </w:r>
      <w:r w:rsidR="0017196F">
        <w:t>.</w:t>
      </w:r>
    </w:p>
    <w:p w:rsidR="00F630A5" w:rsidRDefault="00F630A5" w:rsidP="00DB3EEB">
      <w:bookmarkStart w:id="35" w:name="_Toc318697078"/>
    </w:p>
    <w:p w:rsidR="003806C8" w:rsidRPr="00583461" w:rsidRDefault="003806C8" w:rsidP="000A47ED">
      <w:pPr>
        <w:pStyle w:val="Heading2"/>
      </w:pPr>
      <w:bookmarkStart w:id="36" w:name="_Toc343524153"/>
      <w:r w:rsidRPr="00583461">
        <w:t>A.6. Consequences of Less-Frequent Reporting</w:t>
      </w:r>
      <w:bookmarkEnd w:id="31"/>
      <w:bookmarkEnd w:id="32"/>
      <w:bookmarkEnd w:id="33"/>
      <w:bookmarkEnd w:id="34"/>
      <w:bookmarkEnd w:id="35"/>
      <w:bookmarkEnd w:id="36"/>
    </w:p>
    <w:p w:rsidR="00EC0FCE" w:rsidRDefault="00EC0FCE" w:rsidP="006E482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0"/>
        <w:jc w:val="both"/>
      </w:pPr>
      <w:r w:rsidRPr="00EC0FCE">
        <w:t xml:space="preserve">The monthly </w:t>
      </w:r>
      <w:r w:rsidR="0009773C">
        <w:t xml:space="preserve">and annual </w:t>
      </w:r>
      <w:r w:rsidRPr="00EC0FCE">
        <w:t xml:space="preserve">data </w:t>
      </w:r>
      <w:r>
        <w:t xml:space="preserve">collected on the </w:t>
      </w:r>
      <w:r w:rsidR="0087598C">
        <w:t xml:space="preserve">electricity forms are </w:t>
      </w:r>
      <w:r w:rsidRPr="00EC0FCE">
        <w:t>used to provide statistics on net generation</w:t>
      </w:r>
      <w:r w:rsidR="006E4825">
        <w:t>,</w:t>
      </w:r>
      <w:r w:rsidR="006E4825" w:rsidRPr="00EC0FCE">
        <w:t xml:space="preserve"> </w:t>
      </w:r>
      <w:r w:rsidRPr="00EC0FCE">
        <w:t>sales and revenues of electric power</w:t>
      </w:r>
      <w:r w:rsidR="006E4825">
        <w:t>,</w:t>
      </w:r>
      <w:r w:rsidR="006E4825" w:rsidRPr="00EC0FCE">
        <w:t xml:space="preserve"> </w:t>
      </w:r>
      <w:r w:rsidRPr="00EC0FCE">
        <w:t>consumption of fuels used to generate electricity</w:t>
      </w:r>
      <w:r w:rsidR="006E4825">
        <w:t>,</w:t>
      </w:r>
      <w:r w:rsidR="006E4825" w:rsidRPr="00EC0FCE">
        <w:t xml:space="preserve"> </w:t>
      </w:r>
      <w:r w:rsidRPr="00EC0FCE">
        <w:t>fuel receipts and costs</w:t>
      </w:r>
      <w:r w:rsidR="006E4825">
        <w:t>,</w:t>
      </w:r>
      <w:r w:rsidR="006E4825" w:rsidRPr="00EC0FCE">
        <w:t xml:space="preserve"> </w:t>
      </w:r>
      <w:r w:rsidRPr="00EC0FCE">
        <w:t xml:space="preserve">and fuel stocks for the electric power industry.  These data are used </w:t>
      </w:r>
      <w:r w:rsidR="006E4825">
        <w:t xml:space="preserve">on a monthly basis </w:t>
      </w:r>
      <w:r w:rsidRPr="00EC0FCE">
        <w:t xml:space="preserve">to monitor the state of </w:t>
      </w:r>
      <w:r w:rsidR="0009773C">
        <w:t xml:space="preserve">electric power industry.  </w:t>
      </w:r>
      <w:r w:rsidRPr="0087598C">
        <w:t>Eliminating the EIA’s ability to provide monthly</w:t>
      </w:r>
      <w:r w:rsidR="0009773C">
        <w:t xml:space="preserve"> </w:t>
      </w:r>
      <w:r w:rsidRPr="0087598C">
        <w:t>status reports on the electric power industry w</w:t>
      </w:r>
      <w:r w:rsidR="00DC6AB0">
        <w:t>ill</w:t>
      </w:r>
      <w:r w:rsidRPr="0087598C">
        <w:t xml:space="preserve"> deprive the </w:t>
      </w:r>
      <w:r w:rsidR="00CC5F0B">
        <w:t xml:space="preserve">U.S. </w:t>
      </w:r>
      <w:r w:rsidRPr="0087598C">
        <w:t>Congress</w:t>
      </w:r>
      <w:r w:rsidR="0009773C">
        <w:t xml:space="preserve"> and public of up to date information on an industry </w:t>
      </w:r>
      <w:r w:rsidR="006E4825">
        <w:t xml:space="preserve">that is </w:t>
      </w:r>
      <w:r w:rsidR="0009773C">
        <w:t xml:space="preserve">central to the economy.  </w:t>
      </w:r>
      <w:r w:rsidR="00CC5F0B">
        <w:t xml:space="preserve">In addition, </w:t>
      </w:r>
      <w:r w:rsidR="006E4825">
        <w:t>les</w:t>
      </w:r>
      <w:r w:rsidR="00D511FB">
        <w:t>s</w:t>
      </w:r>
      <w:r w:rsidR="006E4825">
        <w:t xml:space="preserve"> frequent EIA reporting</w:t>
      </w:r>
      <w:r w:rsidR="00CC5F0B">
        <w:t xml:space="preserve"> </w:t>
      </w:r>
      <w:r w:rsidR="00DC6AB0">
        <w:t>m</w:t>
      </w:r>
      <w:r w:rsidR="006E4825">
        <w:t>ight</w:t>
      </w:r>
      <w:r w:rsidR="0009773C">
        <w:t xml:space="preserve"> </w:t>
      </w:r>
      <w:r w:rsidRPr="0087598C">
        <w:t>place a large</w:t>
      </w:r>
      <w:r w:rsidR="00CC5F0B">
        <w:t>r</w:t>
      </w:r>
      <w:r w:rsidRPr="0087598C">
        <w:t xml:space="preserve"> burden on the </w:t>
      </w:r>
      <w:r w:rsidR="00C06F26">
        <w:t>S</w:t>
      </w:r>
      <w:r w:rsidRPr="0087598C">
        <w:t xml:space="preserve">tate governments to collect and process </w:t>
      </w:r>
      <w:r w:rsidR="0009773C">
        <w:t>replacement</w:t>
      </w:r>
      <w:r w:rsidRPr="0087598C">
        <w:t xml:space="preserve"> data</w:t>
      </w:r>
      <w:r w:rsidR="007F23B7">
        <w:t xml:space="preserve"> and</w:t>
      </w:r>
      <w:r w:rsidRPr="0087598C">
        <w:t xml:space="preserve"> on the industry to provide its information to more than one data collection agency.</w:t>
      </w:r>
    </w:p>
    <w:p w:rsidR="00F630A5" w:rsidRDefault="00F630A5" w:rsidP="00DB3EEB">
      <w:bookmarkStart w:id="37" w:name="_Toc318697079"/>
    </w:p>
    <w:p w:rsidR="003806C8" w:rsidRPr="00583461" w:rsidRDefault="003806C8" w:rsidP="000A47ED">
      <w:pPr>
        <w:pStyle w:val="Heading2"/>
      </w:pPr>
      <w:bookmarkStart w:id="38" w:name="_Toc343524154"/>
      <w:r w:rsidRPr="00583461">
        <w:t>A.7. Compliance with 5 CFR 1320.5</w:t>
      </w:r>
      <w:bookmarkEnd w:id="37"/>
      <w:bookmarkEnd w:id="38"/>
    </w:p>
    <w:p w:rsidR="003806C8" w:rsidRDefault="003806C8" w:rsidP="006E482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0"/>
        <w:jc w:val="both"/>
      </w:pPr>
      <w:r w:rsidRPr="000D6A2A">
        <w:t xml:space="preserve">The data </w:t>
      </w:r>
      <w:r w:rsidR="006E4825">
        <w:t xml:space="preserve">for the collection instruments in this proposal </w:t>
      </w:r>
      <w:r w:rsidRPr="000D6A2A">
        <w:t>are being collected consistent with the guidelines in 5 C.F.R. 1320.5</w:t>
      </w:r>
      <w:r w:rsidR="007F23B7">
        <w:t xml:space="preserve"> (</w:t>
      </w:r>
      <w:r w:rsidR="007F23B7" w:rsidRPr="000906EB">
        <w:t>Controlling Paperwork Burdens On the Public – General Requirements</w:t>
      </w:r>
      <w:r w:rsidR="007F23B7">
        <w:t>)</w:t>
      </w:r>
      <w:r w:rsidR="000C26A4">
        <w:t>, with the exception of monthly information collections as discussed in section A.6 above.</w:t>
      </w:r>
    </w:p>
    <w:p w:rsidR="00F630A5" w:rsidRDefault="00F630A5" w:rsidP="00DB3EEB">
      <w:bookmarkStart w:id="39" w:name="_Toc524334496"/>
      <w:bookmarkStart w:id="40" w:name="_Toc524334578"/>
      <w:bookmarkStart w:id="41" w:name="_Toc524334726"/>
      <w:bookmarkStart w:id="42" w:name="_Toc524334919"/>
      <w:bookmarkStart w:id="43" w:name="_Toc318697080"/>
    </w:p>
    <w:p w:rsidR="003806C8" w:rsidRPr="00583461" w:rsidRDefault="003806C8" w:rsidP="000A47ED">
      <w:pPr>
        <w:pStyle w:val="Heading2"/>
      </w:pPr>
      <w:bookmarkStart w:id="44" w:name="_Toc343524155"/>
      <w:r w:rsidRPr="00583461">
        <w:t>A.8. Summary of Consultations outside the Agency</w:t>
      </w:r>
      <w:bookmarkEnd w:id="39"/>
      <w:bookmarkEnd w:id="40"/>
      <w:bookmarkEnd w:id="41"/>
      <w:bookmarkEnd w:id="42"/>
      <w:bookmarkEnd w:id="43"/>
      <w:bookmarkEnd w:id="44"/>
    </w:p>
    <w:p w:rsidR="00267E5C" w:rsidRPr="000906EB" w:rsidRDefault="003806C8" w:rsidP="006E482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00" w:afterAutospacing="1"/>
        <w:jc w:val="both"/>
      </w:pPr>
      <w:r w:rsidRPr="000D6A2A">
        <w:t xml:space="preserve">Consultations were conducted using </w:t>
      </w:r>
      <w:r w:rsidRPr="00D511FB">
        <w:t xml:space="preserve">a </w:t>
      </w:r>
      <w:r w:rsidR="00E502BE">
        <w:t>Federal Register Notice (FR Vol. 77, No. 51, pg. 15362</w:t>
      </w:r>
      <w:r w:rsidRPr="00D511FB">
        <w:t>)</w:t>
      </w:r>
      <w:r w:rsidRPr="000D6A2A">
        <w:t xml:space="preserve"> published on </w:t>
      </w:r>
      <w:r w:rsidR="00111BEC">
        <w:t>March 15, 2012</w:t>
      </w:r>
      <w:r w:rsidRPr="000D6A2A">
        <w:t xml:space="preserve">.  Copies of the notice were mailed to </w:t>
      </w:r>
      <w:r w:rsidR="00F630A5">
        <w:t>all</w:t>
      </w:r>
      <w:r w:rsidRPr="000D6A2A">
        <w:t xml:space="preserve"> respondents</w:t>
      </w:r>
      <w:r w:rsidR="00F630A5">
        <w:t xml:space="preserve"> to the current EIA-861 and EIA-923-Schedule 2 surveys,</w:t>
      </w:r>
      <w:r w:rsidRPr="000D6A2A">
        <w:t xml:space="preserve"> industry associations, and </w:t>
      </w:r>
      <w:r w:rsidR="00267E5C">
        <w:t>non-governmental organizations</w:t>
      </w:r>
      <w:r w:rsidRPr="000D6A2A">
        <w:t>.</w:t>
      </w:r>
      <w:r w:rsidR="00267E5C">
        <w:t xml:space="preserve">  Notification of the proposed changes was also released as an EIA press release</w:t>
      </w:r>
      <w:r w:rsidR="007F23B7">
        <w:t xml:space="preserve"> on </w:t>
      </w:r>
      <w:r w:rsidR="0059602F">
        <w:t>April 9, 2012</w:t>
      </w:r>
      <w:r w:rsidR="00A76D5A">
        <w:t xml:space="preserve"> to an</w:t>
      </w:r>
      <w:r w:rsidR="00CD4D88" w:rsidRPr="000906EB">
        <w:t xml:space="preserve"> email list</w:t>
      </w:r>
      <w:r w:rsidR="0059602F">
        <w:t xml:space="preserve"> of</w:t>
      </w:r>
      <w:r w:rsidR="00CD4D88" w:rsidRPr="000906EB">
        <w:t xml:space="preserve"> over 10,000 subscribers.</w:t>
      </w:r>
    </w:p>
    <w:p w:rsidR="00773785" w:rsidRDefault="003806C8" w:rsidP="0077378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240"/>
        <w:jc w:val="both"/>
      </w:pPr>
      <w:r w:rsidRPr="000D6A2A">
        <w:t>A summary of the comments received</w:t>
      </w:r>
      <w:r w:rsidR="006E4825">
        <w:t xml:space="preserve"> and</w:t>
      </w:r>
      <w:r w:rsidRPr="000D6A2A">
        <w:t xml:space="preserve"> the EIA responses provided are in Appendix </w:t>
      </w:r>
      <w:r w:rsidR="009D2A64">
        <w:t>A-</w:t>
      </w:r>
      <w:r w:rsidR="005E7BDC">
        <w:t>1</w:t>
      </w:r>
      <w:r w:rsidR="009D2A64">
        <w:t>, at the end of this document</w:t>
      </w:r>
      <w:r w:rsidRPr="000D6A2A">
        <w:t>.</w:t>
      </w:r>
      <w:r w:rsidR="007F23B7" w:rsidRPr="007F23B7">
        <w:t xml:space="preserve"> </w:t>
      </w:r>
      <w:r w:rsidR="00F42DD0">
        <w:t xml:space="preserve"> </w:t>
      </w:r>
      <w:r w:rsidR="007F23B7" w:rsidRPr="000D6A2A">
        <w:t xml:space="preserve">This supporting statement will be made available on the EIA </w:t>
      </w:r>
      <w:r w:rsidR="006976D8">
        <w:t>W</w:t>
      </w:r>
      <w:r w:rsidR="007F23B7" w:rsidRPr="000D6A2A">
        <w:t>eb</w:t>
      </w:r>
      <w:r w:rsidR="006976D8">
        <w:t xml:space="preserve"> s</w:t>
      </w:r>
      <w:r w:rsidR="007F23B7" w:rsidRPr="000D6A2A">
        <w:t>ite, along with drafts of the proposed form</w:t>
      </w:r>
      <w:r w:rsidR="007F23B7">
        <w:t>s</w:t>
      </w:r>
      <w:r w:rsidR="007F23B7" w:rsidRPr="000D6A2A">
        <w:t xml:space="preserve"> and </w:t>
      </w:r>
      <w:r w:rsidR="00F42DD0">
        <w:t>instructions.</w:t>
      </w:r>
    </w:p>
    <w:p w:rsidR="005E7BDC" w:rsidRDefault="0072299E" w:rsidP="005E7BDC">
      <w:r>
        <w:t>I</w:t>
      </w:r>
      <w:r w:rsidR="005E7BDC">
        <w:t>n response to the comments received</w:t>
      </w:r>
      <w:r>
        <w:t>,</w:t>
      </w:r>
      <w:r w:rsidR="005E7BDC">
        <w:t xml:space="preserve"> EIA made the following changes to its initial proposal:</w:t>
      </w:r>
    </w:p>
    <w:p w:rsidR="00773785" w:rsidRDefault="005E7BDC" w:rsidP="00A62D30">
      <w:pPr>
        <w:numPr>
          <w:ilvl w:val="0"/>
          <w:numId w:val="10"/>
        </w:numPr>
      </w:pPr>
      <w:r>
        <w:t xml:space="preserve">Added retail revenues </w:t>
      </w:r>
      <w:r w:rsidR="00F928F0">
        <w:t xml:space="preserve">and customer counts </w:t>
      </w:r>
      <w:r>
        <w:t xml:space="preserve">to the data collected on the </w:t>
      </w:r>
      <w:r w:rsidR="00C06F26">
        <w:t xml:space="preserve">Form </w:t>
      </w:r>
      <w:r>
        <w:t>EIA-861S</w:t>
      </w:r>
    </w:p>
    <w:p w:rsidR="00773785" w:rsidRDefault="005E7BDC" w:rsidP="00AA4C06">
      <w:pPr>
        <w:numPr>
          <w:ilvl w:val="0"/>
          <w:numId w:val="10"/>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0"/>
        <w:jc w:val="both"/>
      </w:pPr>
      <w:r>
        <w:t>Kept the reporting threshold for coal plants at 50 M</w:t>
      </w:r>
      <w:r w:rsidR="00C06F26">
        <w:t>W</w:t>
      </w:r>
      <w:r>
        <w:t xml:space="preserve"> on the </w:t>
      </w:r>
      <w:r w:rsidR="00C06F26">
        <w:t xml:space="preserve">Form </w:t>
      </w:r>
      <w:r>
        <w:t>EIA-923, Schedule 2</w:t>
      </w:r>
      <w:r w:rsidR="00BC0656">
        <w:t>,</w:t>
      </w:r>
      <w:r w:rsidR="00AA4C06">
        <w:t xml:space="preserve"> </w:t>
      </w:r>
      <w:r w:rsidR="00BC0656">
        <w:t>while</w:t>
      </w:r>
      <w:r w:rsidR="00AA4C06">
        <w:t xml:space="preserve"> increasing the threshold for </w:t>
      </w:r>
      <w:r w:rsidR="00AA4C06" w:rsidRPr="00AA4C06">
        <w:t>plants fueled by natural gas, petroleum coke, distillate fuel oil, and residua</w:t>
      </w:r>
      <w:r w:rsidR="00BC0656">
        <w:t xml:space="preserve">l fuel oil </w:t>
      </w:r>
      <w:r w:rsidR="00AA4C06">
        <w:t>to 200 MW</w:t>
      </w:r>
      <w:r w:rsidR="00C06F26">
        <w:t>.</w:t>
      </w:r>
    </w:p>
    <w:p w:rsidR="003806C8" w:rsidRPr="00583461" w:rsidRDefault="003806C8" w:rsidP="000A47ED">
      <w:pPr>
        <w:pStyle w:val="Heading2"/>
      </w:pPr>
      <w:bookmarkStart w:id="45" w:name="_Toc524334497"/>
      <w:bookmarkStart w:id="46" w:name="_Toc524334579"/>
      <w:bookmarkStart w:id="47" w:name="_Toc524334727"/>
      <w:bookmarkStart w:id="48" w:name="_Toc524334920"/>
      <w:bookmarkStart w:id="49" w:name="_Toc318697081"/>
      <w:bookmarkStart w:id="50" w:name="_Toc343524156"/>
      <w:r w:rsidRPr="00583461">
        <w:t>A.9. Payments or Gifts to Respondents</w:t>
      </w:r>
      <w:bookmarkEnd w:id="45"/>
      <w:bookmarkEnd w:id="46"/>
      <w:bookmarkEnd w:id="47"/>
      <w:bookmarkEnd w:id="48"/>
      <w:bookmarkEnd w:id="49"/>
      <w:bookmarkEnd w:id="50"/>
    </w:p>
    <w:p w:rsidR="00BB25DD" w:rsidRDefault="003806C8" w:rsidP="006E482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0"/>
        <w:jc w:val="both"/>
      </w:pPr>
      <w:r w:rsidRPr="000D6A2A">
        <w:t>No payments or gifts are made to the respondents of the survey.</w:t>
      </w:r>
      <w:bookmarkStart w:id="51" w:name="_Toc524334498"/>
      <w:bookmarkStart w:id="52" w:name="_Toc524334580"/>
      <w:bookmarkStart w:id="53" w:name="_Toc524334728"/>
      <w:bookmarkStart w:id="54" w:name="_Toc524334921"/>
    </w:p>
    <w:p w:rsidR="00F630A5" w:rsidRDefault="00F630A5" w:rsidP="00DB3EEB">
      <w:bookmarkStart w:id="55" w:name="_Toc318697082"/>
    </w:p>
    <w:p w:rsidR="003806C8" w:rsidRPr="00583461" w:rsidRDefault="003806C8" w:rsidP="000A47ED">
      <w:pPr>
        <w:pStyle w:val="Heading2"/>
      </w:pPr>
      <w:bookmarkStart w:id="56" w:name="_Toc343524157"/>
      <w:r w:rsidRPr="00583461">
        <w:t xml:space="preserve">A.10. Provisions for </w:t>
      </w:r>
      <w:r w:rsidR="00E82327">
        <w:t>Protection</w:t>
      </w:r>
      <w:r w:rsidRPr="00583461">
        <w:t xml:space="preserve"> of Information</w:t>
      </w:r>
      <w:bookmarkEnd w:id="51"/>
      <w:bookmarkEnd w:id="52"/>
      <w:bookmarkEnd w:id="53"/>
      <w:bookmarkEnd w:id="54"/>
      <w:bookmarkEnd w:id="55"/>
      <w:bookmarkEnd w:id="56"/>
    </w:p>
    <w:p w:rsidR="00A8582E" w:rsidRPr="00267E5C" w:rsidRDefault="00267E5C" w:rsidP="006E482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0"/>
        <w:jc w:val="both"/>
      </w:pPr>
      <w:r>
        <w:t xml:space="preserve">EIA </w:t>
      </w:r>
      <w:r w:rsidR="00870CE3">
        <w:t>protects the data reported on these surveys</w:t>
      </w:r>
      <w:r>
        <w:t xml:space="preserve"> based </w:t>
      </w:r>
      <w:r w:rsidR="007F23B7">
        <w:t xml:space="preserve">on </w:t>
      </w:r>
      <w:r>
        <w:t xml:space="preserve">comments received as part of the survey clearance process and its understanding of </w:t>
      </w:r>
      <w:r w:rsidR="006E4825">
        <w:t xml:space="preserve">U.S. </w:t>
      </w:r>
      <w:r>
        <w:t xml:space="preserve">Congressional and public need for data series.  EIA takes into account </w:t>
      </w:r>
      <w:r w:rsidR="00A8582E" w:rsidRPr="00267E5C">
        <w:t>the applicable laws and regulations</w:t>
      </w:r>
      <w:r w:rsidRPr="00267E5C">
        <w:t>, including</w:t>
      </w:r>
      <w:r w:rsidR="00A8582E" w:rsidRPr="00267E5C">
        <w:t>:</w:t>
      </w:r>
    </w:p>
    <w:p w:rsidR="00773785" w:rsidRDefault="00A8582E" w:rsidP="00A62D30">
      <w:pPr>
        <w:pStyle w:val="BodyText"/>
        <w:numPr>
          <w:ilvl w:val="0"/>
          <w:numId w:val="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sz w:val="22"/>
          <w:szCs w:val="22"/>
        </w:rPr>
      </w:pPr>
      <w:r w:rsidRPr="00A8582E">
        <w:rPr>
          <w:rFonts w:ascii="Calibri" w:hAnsi="Calibri"/>
          <w:sz w:val="22"/>
          <w:szCs w:val="22"/>
        </w:rPr>
        <w:t>Trade</w:t>
      </w:r>
      <w:r w:rsidR="00A71BA9">
        <w:rPr>
          <w:rFonts w:ascii="Calibri" w:hAnsi="Calibri"/>
          <w:sz w:val="22"/>
          <w:szCs w:val="22"/>
        </w:rPr>
        <w:t xml:space="preserve"> Secrets Act, (18 U.S.C. 1905)</w:t>
      </w:r>
    </w:p>
    <w:p w:rsidR="00773785" w:rsidRDefault="00A8582E" w:rsidP="00A62D30">
      <w:pPr>
        <w:pStyle w:val="BodyText"/>
        <w:numPr>
          <w:ilvl w:val="0"/>
          <w:numId w:val="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sz w:val="22"/>
          <w:szCs w:val="22"/>
        </w:rPr>
      </w:pPr>
      <w:r w:rsidRPr="00A8582E">
        <w:rPr>
          <w:rFonts w:ascii="Calibri" w:hAnsi="Calibri"/>
          <w:sz w:val="22"/>
          <w:szCs w:val="22"/>
        </w:rPr>
        <w:t>Freedom of Information Act (FOI</w:t>
      </w:r>
      <w:r w:rsidR="00A71BA9">
        <w:rPr>
          <w:rFonts w:ascii="Calibri" w:hAnsi="Calibri"/>
          <w:sz w:val="22"/>
          <w:szCs w:val="22"/>
        </w:rPr>
        <w:t>A), (5 U.S.C. 552)</w:t>
      </w:r>
    </w:p>
    <w:p w:rsidR="00773785" w:rsidRDefault="00A8582E" w:rsidP="00A62D30">
      <w:pPr>
        <w:pStyle w:val="BodyText"/>
        <w:numPr>
          <w:ilvl w:val="0"/>
          <w:numId w:val="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sz w:val="22"/>
          <w:szCs w:val="22"/>
        </w:rPr>
      </w:pPr>
      <w:r w:rsidRPr="00A8582E">
        <w:rPr>
          <w:rFonts w:ascii="Calibri" w:hAnsi="Calibri"/>
          <w:sz w:val="22"/>
          <w:szCs w:val="22"/>
        </w:rPr>
        <w:t>Department of Energy, Freedom of Information Act (FOIA</w:t>
      </w:r>
      <w:r w:rsidR="00A71BA9">
        <w:rPr>
          <w:rFonts w:ascii="Calibri" w:hAnsi="Calibri"/>
          <w:sz w:val="22"/>
          <w:szCs w:val="22"/>
        </w:rPr>
        <w:t>) Regulations, (10 C.F.R. 1004)</w:t>
      </w:r>
    </w:p>
    <w:p w:rsidR="00773785" w:rsidRDefault="00A8582E" w:rsidP="00A62D30">
      <w:pPr>
        <w:pStyle w:val="BodyText"/>
        <w:numPr>
          <w:ilvl w:val="0"/>
          <w:numId w:val="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sz w:val="22"/>
          <w:szCs w:val="22"/>
        </w:rPr>
      </w:pPr>
      <w:r w:rsidRPr="00A8582E">
        <w:rPr>
          <w:rFonts w:ascii="Calibri" w:hAnsi="Calibri"/>
          <w:sz w:val="22"/>
          <w:szCs w:val="22"/>
        </w:rPr>
        <w:t>Paperwor</w:t>
      </w:r>
      <w:r w:rsidR="00A71BA9">
        <w:rPr>
          <w:rFonts w:ascii="Calibri" w:hAnsi="Calibri"/>
          <w:sz w:val="22"/>
          <w:szCs w:val="22"/>
        </w:rPr>
        <w:t>k Reduction Act, (44 U.S.C. 35)</w:t>
      </w:r>
    </w:p>
    <w:p w:rsidR="00773785" w:rsidRDefault="00A8582E" w:rsidP="00A62D30">
      <w:pPr>
        <w:pStyle w:val="BodyText"/>
        <w:numPr>
          <w:ilvl w:val="0"/>
          <w:numId w:val="5"/>
        </w:num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line="276" w:lineRule="auto"/>
        <w:rPr>
          <w:rFonts w:ascii="Calibri" w:hAnsi="Calibri"/>
          <w:sz w:val="22"/>
          <w:szCs w:val="22"/>
        </w:rPr>
      </w:pPr>
      <w:r w:rsidRPr="00A8582E">
        <w:rPr>
          <w:rFonts w:ascii="Calibri" w:hAnsi="Calibri"/>
          <w:sz w:val="22"/>
          <w:szCs w:val="22"/>
        </w:rPr>
        <w:t>Clean Air Act, (CAAA90, Public Law 101-549)</w:t>
      </w:r>
    </w:p>
    <w:p w:rsidR="00D465B3" w:rsidRDefault="002B6D65" w:rsidP="00A23A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00" w:afterAutospacing="1"/>
        <w:jc w:val="both"/>
      </w:pPr>
      <w:r>
        <w:t>The</w:t>
      </w:r>
      <w:r w:rsidR="00267E5C">
        <w:t xml:space="preserve"> </w:t>
      </w:r>
      <w:r>
        <w:t xml:space="preserve">only survey in this </w:t>
      </w:r>
      <w:r w:rsidR="008D4003">
        <w:t>proposal</w:t>
      </w:r>
      <w:r>
        <w:t xml:space="preserve"> that </w:t>
      </w:r>
      <w:r w:rsidR="005E7BDC">
        <w:t>contains protected</w:t>
      </w:r>
      <w:r>
        <w:t xml:space="preserve"> </w:t>
      </w:r>
      <w:r w:rsidR="00267E5C">
        <w:t xml:space="preserve">data </w:t>
      </w:r>
      <w:r>
        <w:t>is the Form EIA-923</w:t>
      </w:r>
      <w:r w:rsidR="00067904">
        <w:t>.  T</w:t>
      </w:r>
      <w:r>
        <w:t>he specific data elements are listed in Table 2</w:t>
      </w:r>
      <w:r w:rsidR="004030E9">
        <w:t>,</w:t>
      </w:r>
      <w:r w:rsidR="008D4003">
        <w:t xml:space="preserve"> </w:t>
      </w:r>
      <w:r w:rsidR="00067904">
        <w:t>below</w:t>
      </w:r>
      <w:r>
        <w:t>.</w:t>
      </w:r>
      <w:r w:rsidR="004440CF">
        <w:t xml:space="preserve">  </w:t>
      </w:r>
      <w:r w:rsidR="008B54F1" w:rsidRPr="001E6862">
        <w:t>All other data elements</w:t>
      </w:r>
      <w:r w:rsidR="008B54F1">
        <w:t xml:space="preserve">, including those collected on </w:t>
      </w:r>
      <w:r w:rsidR="00717364">
        <w:t xml:space="preserve">the Form EIA-861 and </w:t>
      </w:r>
      <w:r w:rsidR="008B54F1">
        <w:t xml:space="preserve">the proposed </w:t>
      </w:r>
      <w:r w:rsidR="00717364">
        <w:t xml:space="preserve">Form </w:t>
      </w:r>
      <w:r w:rsidR="008B54F1">
        <w:t xml:space="preserve">EIA-861S, </w:t>
      </w:r>
      <w:r w:rsidR="008B54F1" w:rsidRPr="001E6862">
        <w:t xml:space="preserve">are considered </w:t>
      </w:r>
      <w:r w:rsidR="00E82327">
        <w:t>public information</w:t>
      </w:r>
      <w:r w:rsidR="008B54F1" w:rsidRPr="001E6862">
        <w:t xml:space="preserve"> and may be disclosed in identifiable form</w:t>
      </w:r>
      <w:r w:rsidR="00D640D3" w:rsidRPr="001E6862">
        <w:t>.</w:t>
      </w:r>
    </w:p>
    <w:p w:rsidR="00267E5C" w:rsidRDefault="007F23B7" w:rsidP="00A23A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00" w:afterAutospacing="1"/>
        <w:jc w:val="both"/>
      </w:pPr>
      <w:r w:rsidRPr="000906EB">
        <w:t xml:space="preserve">EIA is </w:t>
      </w:r>
      <w:r w:rsidR="006E4825">
        <w:t xml:space="preserve">not </w:t>
      </w:r>
      <w:r w:rsidRPr="000906EB">
        <w:t xml:space="preserve">proposing </w:t>
      </w:r>
      <w:r w:rsidR="006E4825">
        <w:t>any</w:t>
      </w:r>
      <w:r w:rsidR="006E4825" w:rsidRPr="000906EB">
        <w:t xml:space="preserve"> </w:t>
      </w:r>
      <w:r w:rsidRPr="000906EB">
        <w:t xml:space="preserve">changes to </w:t>
      </w:r>
      <w:r w:rsidR="00E82327">
        <w:t xml:space="preserve">the </w:t>
      </w:r>
      <w:r w:rsidR="00067904">
        <w:t>data protection</w:t>
      </w:r>
      <w:r w:rsidR="00E82327">
        <w:t xml:space="preserve"> </w:t>
      </w:r>
      <w:r w:rsidR="00D465B3">
        <w:t>provisions in</w:t>
      </w:r>
      <w:r w:rsidR="00067904">
        <w:t xml:space="preserve"> </w:t>
      </w:r>
      <w:r w:rsidR="008D4003">
        <w:t xml:space="preserve">this </w:t>
      </w:r>
      <w:r w:rsidR="006E4825">
        <w:t>proposal</w:t>
      </w:r>
      <w:r w:rsidR="008D4003">
        <w:t>.</w:t>
      </w:r>
      <w:r w:rsidR="00D465B3">
        <w:t xml:space="preserve">  No comments were received by EIA concerning confidentiality.</w:t>
      </w:r>
    </w:p>
    <w:p w:rsidR="00A8582E" w:rsidRPr="001E6862" w:rsidRDefault="0059602F" w:rsidP="00A23A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00" w:afterAutospacing="1"/>
        <w:jc w:val="both"/>
      </w:pPr>
      <w:r>
        <w:t xml:space="preserve">None of the data </w:t>
      </w:r>
      <w:r w:rsidR="00A8582E" w:rsidRPr="001E6862">
        <w:t xml:space="preserve">elements on the EIA electric power surveys will be </w:t>
      </w:r>
      <w:r w:rsidR="00E82327">
        <w:t>protected</w:t>
      </w:r>
      <w:r w:rsidR="00A8582E" w:rsidRPr="001E6862">
        <w:t xml:space="preserve"> under </w:t>
      </w:r>
      <w:r w:rsidR="00805A50">
        <w:t>T</w:t>
      </w:r>
      <w:r w:rsidR="00A8582E" w:rsidRPr="001E6862">
        <w:t xml:space="preserve">he </w:t>
      </w:r>
      <w:r w:rsidR="00805A50" w:rsidRPr="00805A50">
        <w:t xml:space="preserve">Confidential Information Protection and Statistical Efficiency Act </w:t>
      </w:r>
      <w:r w:rsidR="00805A50">
        <w:t>(</w:t>
      </w:r>
      <w:r w:rsidR="00A8582E" w:rsidRPr="001E6862">
        <w:t>CIPSEA</w:t>
      </w:r>
      <w:r w:rsidR="00805A50">
        <w:t>)</w:t>
      </w:r>
      <w:r w:rsidR="00A8582E" w:rsidRPr="001E6862">
        <w:t xml:space="preserve">.  </w:t>
      </w:r>
      <w:r w:rsidR="007F23B7">
        <w:t>As noted, m</w:t>
      </w:r>
      <w:r w:rsidR="00A8582E" w:rsidRPr="001E6862">
        <w:t xml:space="preserve">ost elements are considered </w:t>
      </w:r>
      <w:r w:rsidR="00067904">
        <w:t>public information</w:t>
      </w:r>
      <w:r w:rsidR="00A8582E" w:rsidRPr="001E6862">
        <w:t xml:space="preserve"> and will be released in identifiable form.  For those elements, the survey respondents will be </w:t>
      </w:r>
      <w:r w:rsidR="00805A50">
        <w:t>informed of</w:t>
      </w:r>
      <w:r w:rsidR="00805A50" w:rsidRPr="001E6862">
        <w:t xml:space="preserve"> </w:t>
      </w:r>
      <w:r w:rsidR="00A8582E" w:rsidRPr="001E6862">
        <w:t>the following:</w:t>
      </w:r>
    </w:p>
    <w:p w:rsidR="00A8582E" w:rsidRPr="001E6862" w:rsidRDefault="00773785" w:rsidP="001E6862">
      <w:pPr>
        <w:autoSpaceDE w:val="0"/>
        <w:autoSpaceDN w:val="0"/>
        <w:adjustRightInd w:val="0"/>
        <w:ind w:left="720"/>
      </w:pPr>
      <w:r w:rsidRPr="00773785">
        <w:rPr>
          <w:rFonts w:cs="Arial"/>
        </w:rPr>
        <w:t>“The information elements (names of elements) reported on Form EIA-[insert form number] will be treated as public information and may be released in identifiable form.”</w:t>
      </w:r>
    </w:p>
    <w:p w:rsidR="00A8582E" w:rsidRPr="001E6862" w:rsidRDefault="00A8582E" w:rsidP="00A23A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00" w:afterAutospacing="1"/>
        <w:jc w:val="both"/>
      </w:pPr>
      <w:r w:rsidRPr="001E6862">
        <w:t xml:space="preserve">The electric power surveys do include some elements that are </w:t>
      </w:r>
      <w:r w:rsidR="00D465B3">
        <w:t xml:space="preserve">protected </w:t>
      </w:r>
      <w:r w:rsidR="00D465B3" w:rsidRPr="001E6862">
        <w:t>and</w:t>
      </w:r>
      <w:r w:rsidRPr="001E6862">
        <w:t xml:space="preserve"> those elements will not be publicly released in identifiable form</w:t>
      </w:r>
      <w:r w:rsidR="00067904">
        <w:t xml:space="preserve"> to the extent permitted under law</w:t>
      </w:r>
      <w:r w:rsidRPr="001E6862">
        <w:t>.</w:t>
      </w:r>
    </w:p>
    <w:p w:rsidR="00A8582E" w:rsidRPr="001E6862" w:rsidRDefault="00A8582E" w:rsidP="00A23A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00" w:afterAutospacing="1"/>
        <w:jc w:val="both"/>
      </w:pPr>
      <w:r w:rsidRPr="001E6862">
        <w:t xml:space="preserve">For </w:t>
      </w:r>
      <w:r w:rsidR="00870CE3">
        <w:t>the protected</w:t>
      </w:r>
      <w:r w:rsidR="007F23B7">
        <w:t xml:space="preserve"> data </w:t>
      </w:r>
      <w:r w:rsidRPr="001E6862">
        <w:t>elements</w:t>
      </w:r>
      <w:r w:rsidR="007625C7">
        <w:t>,</w:t>
      </w:r>
      <w:r w:rsidRPr="001E6862">
        <w:t xml:space="preserve"> the following notice is provided to survey respondents:</w:t>
      </w:r>
    </w:p>
    <w:p w:rsidR="00A8582E" w:rsidRPr="001E6862" w:rsidRDefault="00805A50" w:rsidP="007F23B7">
      <w:pPr>
        <w:pStyle w:val="BodyTextIndent"/>
        <w:spacing w:before="120" w:after="120" w:line="276" w:lineRule="auto"/>
        <w:rPr>
          <w:rFonts w:ascii="Calibri" w:hAnsi="Calibri"/>
          <w:sz w:val="22"/>
          <w:szCs w:val="22"/>
        </w:rPr>
      </w:pPr>
      <w:r>
        <w:rPr>
          <w:rFonts w:ascii="Calibri" w:hAnsi="Calibri"/>
          <w:sz w:val="22"/>
          <w:szCs w:val="22"/>
        </w:rPr>
        <w:t>“</w:t>
      </w:r>
      <w:r w:rsidR="00A8582E" w:rsidRPr="001E6862">
        <w:rPr>
          <w:rFonts w:ascii="Calibri" w:hAnsi="Calibri"/>
          <w:sz w:val="22"/>
          <w:szCs w:val="22"/>
        </w:rPr>
        <w:t xml:space="preserve">The information elements (name elements) reported on Form </w:t>
      </w:r>
      <w:r w:rsidR="00870CE3">
        <w:rPr>
          <w:rFonts w:ascii="Calibri" w:hAnsi="Calibri"/>
          <w:sz w:val="22"/>
          <w:szCs w:val="22"/>
        </w:rPr>
        <w:t>EIA-923</w:t>
      </w:r>
      <w:r w:rsidR="00A8582E" w:rsidRPr="001E6862">
        <w:rPr>
          <w:rFonts w:ascii="Calibri" w:hAnsi="Calibri"/>
          <w:sz w:val="22"/>
          <w:szCs w:val="22"/>
        </w:rPr>
        <w:t xml:space="preserve"> will be protected and not disclosed to the public to the extent that it satisfies the criteria for exemption under the Freedom of Information Act (FOIA), 5 U.S.C. §552, the DOE regulations, 10 C.F.R. §1004.11, implementing the FOIA, and the Trade</w:t>
      </w:r>
      <w:r>
        <w:rPr>
          <w:rFonts w:ascii="Calibri" w:hAnsi="Calibri"/>
          <w:sz w:val="22"/>
          <w:szCs w:val="22"/>
        </w:rPr>
        <w:t xml:space="preserve"> Secrets Act, 18 U.S.C. §1905.</w:t>
      </w:r>
    </w:p>
    <w:p w:rsidR="00A8582E" w:rsidRPr="001E6862" w:rsidRDefault="00A8582E" w:rsidP="007F23B7">
      <w:pPr>
        <w:spacing w:before="120" w:after="120"/>
        <w:ind w:left="720"/>
        <w:rPr>
          <w:rFonts w:cs="Arial"/>
        </w:rPr>
      </w:pPr>
      <w:r w:rsidRPr="001E6862">
        <w:rPr>
          <w:rFonts w:cs="Arial"/>
        </w:rPr>
        <w:t xml:space="preserve">The Federal Energy Administration </w:t>
      </w:r>
      <w:r w:rsidR="00D640D3" w:rsidRPr="001E6862">
        <w:rPr>
          <w:rFonts w:cs="Arial"/>
        </w:rPr>
        <w:t xml:space="preserve">Act </w:t>
      </w:r>
      <w:r w:rsidR="00D640D3">
        <w:rPr>
          <w:rFonts w:cs="Arial"/>
        </w:rPr>
        <w:t>requires</w:t>
      </w:r>
      <w:r w:rsidRPr="001E6862">
        <w:rPr>
          <w:rFonts w:cs="Arial"/>
        </w:rPr>
        <w:t xml:space="preserve"> the EIA to provide company-specific data to other Federal agencies when requested for official use.  The information reported on this form may also be made available, upon request, to another DOE component, to any Committee of Congress, the Government Accountability Office, or other Federal agencies authorized by law to receive such information.  A court of competent jurisdiction may obtain this information in response to an order.  The information may be used for any non-statistical purposes such as administrative, regulatory, law enforcement, or adjudicatory purposes.</w:t>
      </w:r>
      <w:r w:rsidR="00805A50">
        <w:rPr>
          <w:rFonts w:cs="Arial"/>
        </w:rPr>
        <w:t>”</w:t>
      </w:r>
    </w:p>
    <w:p w:rsidR="00B61026" w:rsidRDefault="00A8582E" w:rsidP="00A23A6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100" w:afterAutospacing="1"/>
        <w:jc w:val="both"/>
      </w:pPr>
      <w:r w:rsidRPr="000906EB">
        <w:t>EIA has</w:t>
      </w:r>
      <w:r w:rsidRPr="001E6862">
        <w:t xml:space="preserve"> determined that elements </w:t>
      </w:r>
      <w:r w:rsidR="00805A50">
        <w:t xml:space="preserve">in Schedule 2 </w:t>
      </w:r>
      <w:r w:rsidR="006733FD">
        <w:t xml:space="preserve">(shown in </w:t>
      </w:r>
      <w:r w:rsidR="00A06EF6">
        <w:t>T</w:t>
      </w:r>
      <w:r w:rsidR="006733FD">
        <w:t xml:space="preserve">able 2 below) </w:t>
      </w:r>
      <w:r w:rsidR="002B6D65">
        <w:t xml:space="preserve">of the Form EIA-923 </w:t>
      </w:r>
      <w:r w:rsidRPr="001E6862">
        <w:t>will not be publicly released in identifiable form</w:t>
      </w:r>
      <w:r w:rsidR="00067904">
        <w:t xml:space="preserve"> to the extent permitted under law</w:t>
      </w:r>
      <w:r w:rsidRPr="001E6862">
        <w:t xml:space="preserve">.  All other data elements </w:t>
      </w:r>
      <w:r w:rsidR="002B6D65">
        <w:t>in Schedule 2 of the Form EIA-923, and all data elements in the Form</w:t>
      </w:r>
      <w:r w:rsidR="00C06F26">
        <w:t>s</w:t>
      </w:r>
      <w:r w:rsidR="002B6D65">
        <w:t xml:space="preserve"> EIA-861 and </w:t>
      </w:r>
      <w:r w:rsidR="00C06F26">
        <w:t>EIA-</w:t>
      </w:r>
      <w:r w:rsidR="00847F5E">
        <w:t>861S</w:t>
      </w:r>
      <w:r w:rsidR="00805A50">
        <w:t>,</w:t>
      </w:r>
      <w:r w:rsidR="00847F5E">
        <w:t xml:space="preserve"> </w:t>
      </w:r>
      <w:r w:rsidR="00847F5E" w:rsidRPr="001E6862">
        <w:t>are</w:t>
      </w:r>
      <w:r w:rsidRPr="001E6862">
        <w:t xml:space="preserve"> considered </w:t>
      </w:r>
      <w:r w:rsidR="0059602F">
        <w:t>“</w:t>
      </w:r>
      <w:r w:rsidR="00067904">
        <w:t>public information</w:t>
      </w:r>
      <w:r w:rsidR="0059602F">
        <w:t>”</w:t>
      </w:r>
      <w:r w:rsidRPr="001E6862">
        <w:t xml:space="preserve"> and may be disclosed in identifiable form.</w:t>
      </w:r>
    </w:p>
    <w:tbl>
      <w:tblPr>
        <w:tblpPr w:leftFromText="180" w:rightFromText="180" w:vertAnchor="text" w:horzAnchor="margin" w:tblpY="3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20" w:type="dxa"/>
          <w:right w:w="120" w:type="dxa"/>
        </w:tblCellMar>
        <w:tblLook w:val="0000"/>
      </w:tblPr>
      <w:tblGrid>
        <w:gridCol w:w="933"/>
        <w:gridCol w:w="8113"/>
      </w:tblGrid>
      <w:tr w:rsidR="008B54F1" w:rsidRPr="00E648AA" w:rsidTr="00467FCA">
        <w:trPr>
          <w:trHeight w:val="144"/>
          <w:tblHeader/>
        </w:trPr>
        <w:tc>
          <w:tcPr>
            <w:tcW w:w="0" w:type="auto"/>
            <w:gridSpan w:val="2"/>
            <w:tcBorders>
              <w:top w:val="single" w:sz="4" w:space="0" w:color="auto"/>
              <w:left w:val="single" w:sz="4" w:space="0" w:color="auto"/>
              <w:right w:val="single" w:sz="4" w:space="0" w:color="auto"/>
            </w:tcBorders>
            <w:shd w:val="clear" w:color="auto" w:fill="DDD9C3"/>
            <w:vAlign w:val="center"/>
          </w:tcPr>
          <w:p w:rsidR="008B54F1" w:rsidRPr="00E648AA" w:rsidRDefault="008B54F1" w:rsidP="00E8232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jc w:val="center"/>
              <w:rPr>
                <w:b/>
                <w:sz w:val="24"/>
                <w:szCs w:val="24"/>
              </w:rPr>
            </w:pPr>
            <w:r w:rsidRPr="00E648AA">
              <w:rPr>
                <w:b/>
                <w:sz w:val="24"/>
                <w:szCs w:val="24"/>
              </w:rPr>
              <w:t xml:space="preserve">Table </w:t>
            </w:r>
            <w:r w:rsidR="008D4003">
              <w:rPr>
                <w:b/>
                <w:sz w:val="24"/>
                <w:szCs w:val="24"/>
              </w:rPr>
              <w:t>2</w:t>
            </w:r>
            <w:r w:rsidRPr="00E648AA">
              <w:rPr>
                <w:b/>
                <w:sz w:val="24"/>
                <w:szCs w:val="24"/>
              </w:rPr>
              <w:t xml:space="preserve">. </w:t>
            </w:r>
            <w:r w:rsidR="00E82327">
              <w:rPr>
                <w:b/>
                <w:sz w:val="24"/>
                <w:szCs w:val="24"/>
              </w:rPr>
              <w:t>Protected</w:t>
            </w:r>
            <w:r w:rsidRPr="00E648AA">
              <w:rPr>
                <w:b/>
                <w:sz w:val="24"/>
                <w:szCs w:val="24"/>
              </w:rPr>
              <w:t xml:space="preserve"> Data Elements in </w:t>
            </w:r>
            <w:r w:rsidR="00A80843" w:rsidRPr="00E648AA">
              <w:rPr>
                <w:b/>
                <w:sz w:val="24"/>
                <w:szCs w:val="24"/>
              </w:rPr>
              <w:t>Schedule 2 of the Form EIA-923</w:t>
            </w:r>
          </w:p>
        </w:tc>
      </w:tr>
      <w:tr w:rsidR="008B54F1" w:rsidRPr="00E648AA" w:rsidTr="00467FCA">
        <w:trPr>
          <w:trHeight w:val="259"/>
          <w:tblHeader/>
        </w:trPr>
        <w:tc>
          <w:tcPr>
            <w:tcW w:w="0" w:type="auto"/>
            <w:tcBorders>
              <w:top w:val="single" w:sz="4" w:space="0" w:color="auto"/>
              <w:left w:val="single" w:sz="4" w:space="0" w:color="auto"/>
            </w:tcBorders>
            <w:shd w:val="clear" w:color="auto" w:fill="DDD9C3"/>
          </w:tcPr>
          <w:p w:rsidR="008B54F1" w:rsidRPr="00E648AA" w:rsidRDefault="008B54F1" w:rsidP="0059602F">
            <w:pPr>
              <w:jc w:val="center"/>
              <w:rPr>
                <w:b/>
                <w:bCs/>
              </w:rPr>
            </w:pPr>
            <w:r w:rsidRPr="00E648AA">
              <w:rPr>
                <w:b/>
                <w:bCs/>
              </w:rPr>
              <w:t>Form</w:t>
            </w:r>
          </w:p>
        </w:tc>
        <w:tc>
          <w:tcPr>
            <w:tcW w:w="0" w:type="auto"/>
            <w:tcBorders>
              <w:top w:val="single" w:sz="4" w:space="0" w:color="auto"/>
              <w:left w:val="single" w:sz="4" w:space="0" w:color="auto"/>
              <w:right w:val="single" w:sz="4" w:space="0" w:color="auto"/>
            </w:tcBorders>
            <w:shd w:val="clear" w:color="auto" w:fill="DDD9C3"/>
            <w:vAlign w:val="center"/>
          </w:tcPr>
          <w:p w:rsidR="008B54F1" w:rsidRPr="00E648AA" w:rsidRDefault="008B54F1" w:rsidP="0059602F">
            <w:pPr>
              <w:jc w:val="center"/>
              <w:rPr>
                <w:b/>
                <w:bCs/>
              </w:rPr>
            </w:pPr>
            <w:r w:rsidRPr="00E648AA">
              <w:rPr>
                <w:b/>
                <w:bCs/>
              </w:rPr>
              <w:t>Data Element</w:t>
            </w:r>
          </w:p>
        </w:tc>
      </w:tr>
      <w:tr w:rsidR="008B54F1" w:rsidRPr="00E648AA" w:rsidTr="00F630A5">
        <w:trPr>
          <w:trHeight w:val="259"/>
          <w:tblHeader/>
        </w:trPr>
        <w:tc>
          <w:tcPr>
            <w:tcW w:w="0" w:type="auto"/>
            <w:tcBorders>
              <w:top w:val="single" w:sz="4" w:space="0" w:color="auto"/>
              <w:left w:val="single" w:sz="4" w:space="0" w:color="auto"/>
            </w:tcBorders>
            <w:vAlign w:val="center"/>
          </w:tcPr>
          <w:p w:rsidR="008B54F1" w:rsidRPr="00E648AA" w:rsidRDefault="008B54F1" w:rsidP="007E2D64">
            <w:pPr>
              <w:tabs>
                <w:tab w:val="left" w:pos="0"/>
                <w:tab w:val="left" w:pos="360"/>
                <w:tab w:val="left" w:pos="1080"/>
                <w:tab w:val="left" w:pos="1800"/>
                <w:tab w:val="left" w:pos="2520"/>
                <w:tab w:val="left" w:pos="3240"/>
                <w:tab w:val="left" w:pos="3960"/>
              </w:tabs>
              <w:spacing w:before="120" w:after="120"/>
              <w:jc w:val="center"/>
              <w:rPr>
                <w:i/>
              </w:rPr>
            </w:pPr>
            <w:r w:rsidRPr="00E648AA">
              <w:rPr>
                <w:iCs/>
              </w:rPr>
              <w:t>EIA-923</w:t>
            </w:r>
          </w:p>
        </w:tc>
        <w:tc>
          <w:tcPr>
            <w:tcW w:w="0" w:type="auto"/>
            <w:tcBorders>
              <w:top w:val="single" w:sz="4" w:space="0" w:color="auto"/>
              <w:left w:val="single" w:sz="4" w:space="0" w:color="auto"/>
              <w:right w:val="single" w:sz="4" w:space="0" w:color="auto"/>
            </w:tcBorders>
            <w:vAlign w:val="center"/>
          </w:tcPr>
          <w:p w:rsidR="008B54F1" w:rsidRPr="00E648AA" w:rsidRDefault="008B54F1" w:rsidP="007E2D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center"/>
            </w:pPr>
            <w:r w:rsidRPr="00E648AA">
              <w:t>Delivered costs of coal, natural gas, and petroleum received at nonutility power plants.</w:t>
            </w:r>
          </w:p>
        </w:tc>
      </w:tr>
      <w:tr w:rsidR="008B54F1" w:rsidRPr="00E648AA" w:rsidTr="00F630A5">
        <w:trPr>
          <w:trHeight w:val="259"/>
          <w:tblHeader/>
        </w:trPr>
        <w:tc>
          <w:tcPr>
            <w:tcW w:w="0" w:type="auto"/>
            <w:tcBorders>
              <w:top w:val="single" w:sz="4" w:space="0" w:color="auto"/>
              <w:left w:val="single" w:sz="4" w:space="0" w:color="auto"/>
            </w:tcBorders>
            <w:vAlign w:val="center"/>
          </w:tcPr>
          <w:p w:rsidR="008B54F1" w:rsidRPr="00E648AA" w:rsidRDefault="007F23B7" w:rsidP="007E2D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center"/>
            </w:pPr>
            <w:r w:rsidRPr="00E648AA">
              <w:t>EIA-923</w:t>
            </w:r>
          </w:p>
        </w:tc>
        <w:tc>
          <w:tcPr>
            <w:tcW w:w="0" w:type="auto"/>
            <w:tcBorders>
              <w:top w:val="single" w:sz="4" w:space="0" w:color="auto"/>
              <w:left w:val="single" w:sz="4" w:space="0" w:color="auto"/>
              <w:right w:val="single" w:sz="4" w:space="0" w:color="auto"/>
            </w:tcBorders>
            <w:vAlign w:val="center"/>
          </w:tcPr>
          <w:p w:rsidR="008B54F1" w:rsidRPr="00E648AA" w:rsidRDefault="008B54F1" w:rsidP="007E2D64">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20"/>
              <w:jc w:val="center"/>
            </w:pPr>
            <w:r w:rsidRPr="00E648AA">
              <w:t>Commodity costs for coal and natural gas received at utility and nonutility power plants.</w:t>
            </w:r>
          </w:p>
        </w:tc>
      </w:tr>
    </w:tbl>
    <w:p w:rsidR="00A57C90" w:rsidRDefault="00A57C90" w:rsidP="000A47ED">
      <w:pPr>
        <w:spacing w:after="0"/>
      </w:pPr>
      <w:bookmarkStart w:id="57" w:name="_Toc78797041"/>
      <w:bookmarkStart w:id="58" w:name="_Toc81025454"/>
      <w:bookmarkStart w:id="59" w:name="_Toc318697083"/>
    </w:p>
    <w:p w:rsidR="00F630A5" w:rsidRDefault="00F630A5" w:rsidP="00DB3EEB"/>
    <w:p w:rsidR="003806C8" w:rsidRPr="008B54F1" w:rsidRDefault="003806C8" w:rsidP="000A47ED">
      <w:pPr>
        <w:pStyle w:val="Heading2"/>
      </w:pPr>
      <w:bookmarkStart w:id="60" w:name="_Toc343524158"/>
      <w:r w:rsidRPr="008B54F1">
        <w:t>A.11. Justification for Sensitive Questions</w:t>
      </w:r>
      <w:bookmarkEnd w:id="57"/>
      <w:bookmarkEnd w:id="58"/>
      <w:bookmarkEnd w:id="59"/>
      <w:bookmarkEnd w:id="60"/>
    </w:p>
    <w:p w:rsidR="003806C8" w:rsidRDefault="003806C8" w:rsidP="007625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0"/>
        <w:jc w:val="both"/>
      </w:pPr>
      <w:r w:rsidRPr="00A8582E">
        <w:t xml:space="preserve">There are </w:t>
      </w:r>
      <w:r w:rsidR="0059602F">
        <w:t>no</w:t>
      </w:r>
      <w:r w:rsidRPr="00A8582E">
        <w:t xml:space="preserve"> questions of a sensitive nature.</w:t>
      </w:r>
    </w:p>
    <w:p w:rsidR="00F630A5" w:rsidRDefault="00F630A5" w:rsidP="00DB3EEB">
      <w:bookmarkStart w:id="61" w:name="_Toc318697084"/>
    </w:p>
    <w:p w:rsidR="003806C8" w:rsidRPr="008B54F1" w:rsidRDefault="003806C8" w:rsidP="000A47ED">
      <w:pPr>
        <w:pStyle w:val="Heading2"/>
      </w:pPr>
      <w:bookmarkStart w:id="62" w:name="_Toc343524159"/>
      <w:r w:rsidRPr="008B54F1">
        <w:t>A.12. Estimate of Respondent Burden Hours and Cost</w:t>
      </w:r>
      <w:bookmarkEnd w:id="61"/>
      <w:bookmarkEnd w:id="62"/>
    </w:p>
    <w:p w:rsidR="00221581" w:rsidRPr="00221581" w:rsidRDefault="00221581" w:rsidP="007625C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00" w:afterAutospacing="1"/>
        <w:jc w:val="both"/>
      </w:pPr>
      <w:r w:rsidRPr="00221581">
        <w:t xml:space="preserve">The overall annual burden for this package is estimated to be </w:t>
      </w:r>
      <w:r>
        <w:t>35</w:t>
      </w:r>
      <w:r w:rsidRPr="00221581">
        <w:t>,</w:t>
      </w:r>
      <w:r>
        <w:t>9</w:t>
      </w:r>
      <w:r w:rsidR="00047032">
        <w:t>3</w:t>
      </w:r>
      <w:r>
        <w:t>4</w:t>
      </w:r>
      <w:r w:rsidRPr="00221581">
        <w:t xml:space="preserve"> burden hours (</w:t>
      </w:r>
      <w:r w:rsidR="00211680">
        <w:t xml:space="preserve">see </w:t>
      </w:r>
      <w:r w:rsidRPr="00221581">
        <w:t xml:space="preserve">Table 3).  As in the past, the burden estimate includes time for follow-up on survey responses to clarify any questions and correct or edit information reported by respondents.  The burden has </w:t>
      </w:r>
      <w:r w:rsidR="00047032">
        <w:t>decreased</w:t>
      </w:r>
      <w:r w:rsidRPr="00221581">
        <w:t xml:space="preserve"> by approximately </w:t>
      </w:r>
      <w:r w:rsidR="00047032">
        <w:t>10,699</w:t>
      </w:r>
      <w:r w:rsidRPr="00221581">
        <w:t xml:space="preserve"> hours from the previous package</w:t>
      </w:r>
      <w:r w:rsidR="007625C7">
        <w:t>,</w:t>
      </w:r>
      <w:r w:rsidRPr="00221581">
        <w:t xml:space="preserve"> due to </w:t>
      </w:r>
      <w:r w:rsidR="001F05B7">
        <w:t xml:space="preserve">decreases in the number of </w:t>
      </w:r>
      <w:r w:rsidRPr="00221581">
        <w:t>respondent</w:t>
      </w:r>
      <w:r w:rsidR="001F05B7">
        <w:t xml:space="preserve">s in the survey </w:t>
      </w:r>
      <w:r w:rsidR="002176EB">
        <w:t>samples</w:t>
      </w:r>
      <w:r w:rsidR="002176EB" w:rsidRPr="00221581">
        <w:t xml:space="preserve"> </w:t>
      </w:r>
      <w:r w:rsidR="00047032">
        <w:t xml:space="preserve">and reporting </w:t>
      </w:r>
      <w:r w:rsidR="001F05B7">
        <w:t>requirement changes</w:t>
      </w:r>
      <w:r w:rsidRPr="00221581">
        <w:t xml:space="preserve">.  </w:t>
      </w:r>
      <w:r w:rsidR="001F05B7">
        <w:t>EIA</w:t>
      </w:r>
      <w:r w:rsidR="001F05B7" w:rsidRPr="00221581">
        <w:t xml:space="preserve"> </w:t>
      </w:r>
      <w:r w:rsidRPr="00221581">
        <w:t>continue</w:t>
      </w:r>
      <w:r w:rsidR="001F05B7">
        <w:t>s</w:t>
      </w:r>
      <w:r w:rsidRPr="00221581">
        <w:t xml:space="preserve"> to collect data via </w:t>
      </w:r>
      <w:r w:rsidR="00996002">
        <w:t>an</w:t>
      </w:r>
      <w:r w:rsidR="00996002" w:rsidRPr="00221581">
        <w:t xml:space="preserve"> </w:t>
      </w:r>
      <w:r w:rsidRPr="00221581">
        <w:t>Internet</w:t>
      </w:r>
      <w:r w:rsidR="00996002">
        <w:t>-based</w:t>
      </w:r>
      <w:r w:rsidRPr="00221581">
        <w:t xml:space="preserve"> </w:t>
      </w:r>
      <w:r w:rsidR="00996002">
        <w:t>d</w:t>
      </w:r>
      <w:r w:rsidRPr="00221581">
        <w:t xml:space="preserve">ata </w:t>
      </w:r>
      <w:r w:rsidR="00996002">
        <w:t>c</w:t>
      </w:r>
      <w:r w:rsidRPr="00221581">
        <w:t xml:space="preserve">ollection </w:t>
      </w:r>
      <w:r w:rsidR="00996002">
        <w:t>s</w:t>
      </w:r>
      <w:r w:rsidRPr="00221581">
        <w:t>ystem</w:t>
      </w:r>
      <w:r w:rsidR="001F05B7">
        <w:t>,</w:t>
      </w:r>
      <w:r w:rsidRPr="00221581">
        <w:t xml:space="preserve"> which helps to minimize respondent burden.</w:t>
      </w:r>
    </w:p>
    <w:p w:rsidR="00E719B5" w:rsidRDefault="00221581" w:rsidP="0059602F">
      <w:pPr>
        <w:spacing w:after="0"/>
        <w:jc w:val="both"/>
      </w:pPr>
      <w:r w:rsidRPr="00221581">
        <w:t>The cost to the respondents is estimated to be $</w:t>
      </w:r>
      <w:r w:rsidR="007F7A32">
        <w:t>8,</w:t>
      </w:r>
      <w:r w:rsidR="00E806CD">
        <w:t>309</w:t>
      </w:r>
      <w:r w:rsidR="007F7A32">
        <w:t>,</w:t>
      </w:r>
      <w:r w:rsidR="00E806CD">
        <w:t>463</w:t>
      </w:r>
      <w:r w:rsidRPr="00221581">
        <w:t xml:space="preserve"> (</w:t>
      </w:r>
      <w:r w:rsidR="007F7A32">
        <w:t>122,</w:t>
      </w:r>
      <w:r w:rsidR="00E806CD">
        <w:t>667</w:t>
      </w:r>
      <w:r w:rsidRPr="00221581">
        <w:t xml:space="preserve"> burden hours times $6</w:t>
      </w:r>
      <w:r w:rsidR="00047032">
        <w:t>7.74</w:t>
      </w:r>
      <w:r w:rsidRPr="00221581">
        <w:t xml:space="preserve"> per hour).  An average cost per hour of $6</w:t>
      </w:r>
      <w:r w:rsidR="00047032">
        <w:t>7.74</w:t>
      </w:r>
      <w:r w:rsidRPr="00221581">
        <w:t xml:space="preserve"> is used because that is the estimated average loaded (salary plus benefits) cost for an EIA employee in </w:t>
      </w:r>
      <w:r w:rsidR="00CB7194" w:rsidRPr="00221581">
        <w:t>201</w:t>
      </w:r>
      <w:r w:rsidR="00CB7194">
        <w:t>2</w:t>
      </w:r>
      <w:r w:rsidRPr="00221581">
        <w:t>.  EIA assumes that the survey respondent workforce completing surveys for the EIA is comparable with the EIA workforce.</w:t>
      </w:r>
    </w:p>
    <w:p w:rsidR="00E708DD" w:rsidRDefault="00E708DD" w:rsidP="00E708DD">
      <w:pPr>
        <w:spacing w:after="0" w:line="240" w:lineRule="auto"/>
      </w:pPr>
    </w:p>
    <w:tbl>
      <w:tblPr>
        <w:tblW w:w="10733" w:type="dxa"/>
        <w:tblInd w:w="-342" w:type="dxa"/>
        <w:tblLook w:val="04A0"/>
      </w:tblPr>
      <w:tblGrid>
        <w:gridCol w:w="1861"/>
        <w:gridCol w:w="2533"/>
        <w:gridCol w:w="1535"/>
        <w:gridCol w:w="1163"/>
        <w:gridCol w:w="1298"/>
        <w:gridCol w:w="1206"/>
        <w:gridCol w:w="1137"/>
      </w:tblGrid>
      <w:tr w:rsidR="00267D47" w:rsidRPr="00267D47" w:rsidTr="00267D47">
        <w:trPr>
          <w:trHeight w:val="420"/>
        </w:trPr>
        <w:tc>
          <w:tcPr>
            <w:tcW w:w="4520" w:type="dxa"/>
            <w:gridSpan w:val="3"/>
            <w:tcBorders>
              <w:top w:val="single" w:sz="4" w:space="0" w:color="auto"/>
              <w:left w:val="single" w:sz="4" w:space="0" w:color="auto"/>
              <w:bottom w:val="single" w:sz="4" w:space="0" w:color="auto"/>
              <w:right w:val="nil"/>
            </w:tcBorders>
            <w:shd w:val="clear" w:color="000000" w:fill="DDD9C3"/>
            <w:noWrap/>
            <w:hideMark/>
          </w:tcPr>
          <w:p w:rsidR="00267D47" w:rsidRPr="00267D47" w:rsidRDefault="00267D47" w:rsidP="00267D47">
            <w:pPr>
              <w:spacing w:after="0" w:line="240" w:lineRule="auto"/>
              <w:rPr>
                <w:rFonts w:eastAsia="Times New Roman"/>
                <w:b/>
                <w:bCs/>
                <w:color w:val="000000"/>
              </w:rPr>
            </w:pPr>
            <w:bookmarkStart w:id="63" w:name="_Toc318697085"/>
            <w:r w:rsidRPr="00267D47">
              <w:rPr>
                <w:rFonts w:eastAsia="Times New Roman"/>
                <w:b/>
                <w:bCs/>
                <w:color w:val="000000"/>
              </w:rPr>
              <w:t>Table 3. Electric Power Burden Information</w:t>
            </w:r>
          </w:p>
        </w:tc>
        <w:tc>
          <w:tcPr>
            <w:tcW w:w="900" w:type="dxa"/>
            <w:tcBorders>
              <w:top w:val="single" w:sz="4" w:space="0" w:color="auto"/>
              <w:left w:val="nil"/>
              <w:bottom w:val="single" w:sz="4" w:space="0" w:color="auto"/>
              <w:right w:val="nil"/>
            </w:tcBorders>
            <w:shd w:val="clear" w:color="000000" w:fill="DDD9C3"/>
            <w:noWrap/>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 </w:t>
            </w:r>
          </w:p>
        </w:tc>
        <w:tc>
          <w:tcPr>
            <w:tcW w:w="900" w:type="dxa"/>
            <w:tcBorders>
              <w:top w:val="single" w:sz="4" w:space="0" w:color="auto"/>
              <w:left w:val="nil"/>
              <w:bottom w:val="single" w:sz="4" w:space="0" w:color="auto"/>
              <w:right w:val="nil"/>
            </w:tcBorders>
            <w:shd w:val="clear" w:color="000000" w:fill="DDD9C3"/>
            <w:noWrap/>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 </w:t>
            </w:r>
          </w:p>
        </w:tc>
        <w:tc>
          <w:tcPr>
            <w:tcW w:w="820" w:type="dxa"/>
            <w:tcBorders>
              <w:top w:val="single" w:sz="4" w:space="0" w:color="auto"/>
              <w:left w:val="nil"/>
              <w:bottom w:val="single" w:sz="4" w:space="0" w:color="auto"/>
              <w:right w:val="nil"/>
            </w:tcBorders>
            <w:shd w:val="clear" w:color="000000" w:fill="DDD9C3"/>
            <w:noWrap/>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 </w:t>
            </w:r>
          </w:p>
        </w:tc>
        <w:tc>
          <w:tcPr>
            <w:tcW w:w="880" w:type="dxa"/>
            <w:tcBorders>
              <w:top w:val="single" w:sz="4" w:space="0" w:color="auto"/>
              <w:left w:val="nil"/>
              <w:bottom w:val="single" w:sz="4" w:space="0" w:color="auto"/>
              <w:right w:val="single" w:sz="4" w:space="0" w:color="auto"/>
            </w:tcBorders>
            <w:shd w:val="clear" w:color="000000" w:fill="DDD9C3"/>
            <w:noWrap/>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 </w:t>
            </w:r>
          </w:p>
        </w:tc>
      </w:tr>
      <w:tr w:rsidR="00267D47" w:rsidRPr="00267D47" w:rsidTr="00267D47">
        <w:trPr>
          <w:trHeight w:val="735"/>
        </w:trPr>
        <w:tc>
          <w:tcPr>
            <w:tcW w:w="1440" w:type="dxa"/>
            <w:tcBorders>
              <w:top w:val="nil"/>
              <w:left w:val="single" w:sz="4" w:space="0" w:color="auto"/>
              <w:bottom w:val="single" w:sz="4" w:space="0" w:color="auto"/>
              <w:right w:val="single" w:sz="4" w:space="0" w:color="auto"/>
            </w:tcBorders>
            <w:shd w:val="clear" w:color="000000" w:fill="DDD9C3"/>
            <w:noWrap/>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EIA Form Number</w:t>
            </w:r>
          </w:p>
        </w:tc>
        <w:tc>
          <w:tcPr>
            <w:tcW w:w="1960" w:type="dxa"/>
            <w:tcBorders>
              <w:top w:val="nil"/>
              <w:left w:val="nil"/>
              <w:bottom w:val="single" w:sz="4" w:space="0" w:color="auto"/>
              <w:right w:val="single" w:sz="4" w:space="0" w:color="auto"/>
            </w:tcBorders>
            <w:shd w:val="clear" w:color="000000" w:fill="DDD9C3"/>
            <w:noWrap/>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Title</w:t>
            </w:r>
          </w:p>
        </w:tc>
        <w:tc>
          <w:tcPr>
            <w:tcW w:w="1120" w:type="dxa"/>
            <w:tcBorders>
              <w:top w:val="nil"/>
              <w:left w:val="nil"/>
              <w:bottom w:val="single" w:sz="4" w:space="0" w:color="auto"/>
              <w:right w:val="single" w:sz="4" w:space="0" w:color="auto"/>
            </w:tcBorders>
            <w:shd w:val="clear" w:color="000000" w:fill="DDD9C3"/>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Number of Respondents Per Year</w:t>
            </w:r>
          </w:p>
        </w:tc>
        <w:tc>
          <w:tcPr>
            <w:tcW w:w="900" w:type="dxa"/>
            <w:tcBorders>
              <w:top w:val="nil"/>
              <w:left w:val="nil"/>
              <w:bottom w:val="single" w:sz="4" w:space="0" w:color="auto"/>
              <w:right w:val="single" w:sz="4" w:space="0" w:color="auto"/>
            </w:tcBorders>
            <w:shd w:val="clear" w:color="000000" w:fill="DDD9C3"/>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Number of Reports Annually</w:t>
            </w:r>
          </w:p>
        </w:tc>
        <w:tc>
          <w:tcPr>
            <w:tcW w:w="900" w:type="dxa"/>
            <w:tcBorders>
              <w:top w:val="nil"/>
              <w:left w:val="nil"/>
              <w:bottom w:val="single" w:sz="4" w:space="0" w:color="auto"/>
              <w:right w:val="single" w:sz="4" w:space="0" w:color="auto"/>
            </w:tcBorders>
            <w:shd w:val="clear" w:color="000000" w:fill="DDD9C3"/>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Total Number of Responses</w:t>
            </w:r>
          </w:p>
        </w:tc>
        <w:tc>
          <w:tcPr>
            <w:tcW w:w="820" w:type="dxa"/>
            <w:tcBorders>
              <w:top w:val="nil"/>
              <w:left w:val="nil"/>
              <w:bottom w:val="single" w:sz="4" w:space="0" w:color="auto"/>
              <w:right w:val="single" w:sz="4" w:space="0" w:color="auto"/>
            </w:tcBorders>
            <w:shd w:val="clear" w:color="000000" w:fill="DDD9C3"/>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Burden Hours Per Response</w:t>
            </w:r>
          </w:p>
        </w:tc>
        <w:tc>
          <w:tcPr>
            <w:tcW w:w="880" w:type="dxa"/>
            <w:tcBorders>
              <w:top w:val="nil"/>
              <w:left w:val="nil"/>
              <w:bottom w:val="single" w:sz="4" w:space="0" w:color="auto"/>
              <w:right w:val="single" w:sz="4" w:space="0" w:color="auto"/>
            </w:tcBorders>
            <w:shd w:val="clear" w:color="000000" w:fill="DDD9C3"/>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Annual Burden Hours</w:t>
            </w:r>
          </w:p>
        </w:tc>
      </w:tr>
      <w:tr w:rsidR="00267D47" w:rsidRPr="00267D47" w:rsidTr="00267D47">
        <w:trPr>
          <w:trHeight w:val="73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Form EIA-411</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Coordinated Bulk Power Supply &amp; Demand Program Report</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xml:space="preserve">   NERC Regions</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8</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8</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xml:space="preserve">120.00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xml:space="preserve">960 </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xml:space="preserve">   Members</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800</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800</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xml:space="preserve">16.00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xml:space="preserve">12,800 </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3980" w:type="dxa"/>
            <w:gridSpan w:val="3"/>
            <w:tcBorders>
              <w:top w:val="single" w:sz="4" w:space="0" w:color="auto"/>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Total  for EIA-411</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808</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13,760</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r>
      <w:tr w:rsidR="00267D47" w:rsidRPr="00267D47" w:rsidTr="00267D47">
        <w:trPr>
          <w:trHeight w:val="73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Form EIA-826</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Monthly Electric Sales and Revenue with State Distribution Report</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480</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12</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5,760</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 xml:space="preserve">1.60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9,216</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r>
      <w:tr w:rsidR="00267D47" w:rsidRPr="00267D47" w:rsidTr="00267D47">
        <w:trPr>
          <w:trHeight w:val="49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Form EIA-860</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Annual Electric Generator Report</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r>
      <w:tr w:rsidR="00267D47" w:rsidRPr="00267D47" w:rsidTr="00267D47">
        <w:trPr>
          <w:trHeight w:val="73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xml:space="preserve">   Filers with Environmental Information</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908</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908</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xml:space="preserve">12.50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11,350</w:t>
            </w:r>
          </w:p>
        </w:tc>
      </w:tr>
      <w:tr w:rsidR="00267D47" w:rsidRPr="00267D47" w:rsidTr="00267D47">
        <w:trPr>
          <w:trHeight w:val="73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ind w:firstLineChars="100" w:firstLine="180"/>
              <w:rPr>
                <w:rFonts w:eastAsia="Times New Roman"/>
                <w:color w:val="000000"/>
                <w:sz w:val="18"/>
                <w:szCs w:val="18"/>
              </w:rPr>
            </w:pPr>
            <w:r w:rsidRPr="00267D47">
              <w:rPr>
                <w:rFonts w:eastAsia="Times New Roman"/>
                <w:color w:val="000000"/>
                <w:sz w:val="18"/>
                <w:szCs w:val="18"/>
              </w:rPr>
              <w:t xml:space="preserve">   Filers without Environmental Information</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1,045</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1,045</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xml:space="preserve">6.75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7,054</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3980" w:type="dxa"/>
            <w:gridSpan w:val="3"/>
            <w:tcBorders>
              <w:top w:val="single" w:sz="4" w:space="0" w:color="auto"/>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Total for EIA-860</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1,953</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18,404</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r>
      <w:tr w:rsidR="00267D47" w:rsidRPr="00267D47" w:rsidTr="00267D47">
        <w:trPr>
          <w:trHeight w:val="73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Form EIA-860M</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Monthly Update to the Annual Electric Generator Report</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124</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5.5</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682</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 xml:space="preserve">0.30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205</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r>
      <w:tr w:rsidR="00267D47" w:rsidRPr="00267D47" w:rsidTr="00267D47">
        <w:trPr>
          <w:trHeight w:val="49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Form EIA-861</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Annual Electric Power Industry Report</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2,200</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2,200</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 xml:space="preserve">9.00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19,800</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r>
      <w:tr w:rsidR="00267D47" w:rsidRPr="00267D47" w:rsidTr="00267D47">
        <w:trPr>
          <w:trHeight w:val="73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Form EIA-861S</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Annual Electric Power Industry Report (Short Form)</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1,100</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1,100</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 xml:space="preserve">0.75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825</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 </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 </w:t>
            </w:r>
          </w:p>
        </w:tc>
      </w:tr>
      <w:tr w:rsidR="00267D47" w:rsidRPr="00267D47" w:rsidTr="00267D47">
        <w:trPr>
          <w:trHeight w:val="49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Form EIA-923</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Power Plant Operations Report</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 </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Monthly (see footnote)</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1,776</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12</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21,312</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xml:space="preserve">1.99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42,411</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 </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Annual (see footnote)</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3,805</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3,805</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xml:space="preserve">3.17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12,062</w:t>
            </w:r>
          </w:p>
        </w:tc>
      </w:tr>
      <w:tr w:rsidR="00267D47" w:rsidRPr="00267D47" w:rsidTr="00267D47">
        <w:trPr>
          <w:trHeight w:val="121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 </w:t>
            </w:r>
          </w:p>
        </w:tc>
        <w:tc>
          <w:tcPr>
            <w:tcW w:w="1960" w:type="dxa"/>
            <w:tcBorders>
              <w:top w:val="nil"/>
              <w:left w:val="nil"/>
              <w:bottom w:val="nil"/>
              <w:right w:val="nil"/>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Annual reporting requirement (Schedules 6, 7, and 8) for a portion of the monthly respondents</w:t>
            </w:r>
          </w:p>
        </w:tc>
        <w:tc>
          <w:tcPr>
            <w:tcW w:w="112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1,360</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1</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1,360</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xml:space="preserve">4.40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5,984</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3980" w:type="dxa"/>
            <w:gridSpan w:val="3"/>
            <w:tcBorders>
              <w:top w:val="single" w:sz="4" w:space="0" w:color="auto"/>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Total for EIA-923</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26,477</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60,457</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96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1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2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80" w:type="dxa"/>
            <w:tcBorders>
              <w:top w:val="nil"/>
              <w:left w:val="nil"/>
              <w:bottom w:val="single" w:sz="4" w:space="0" w:color="auto"/>
              <w:right w:val="single" w:sz="4" w:space="0" w:color="auto"/>
            </w:tcBorders>
            <w:shd w:val="clear" w:color="auto" w:fill="auto"/>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1960" w:type="dxa"/>
            <w:tcBorders>
              <w:top w:val="nil"/>
              <w:left w:val="nil"/>
              <w:bottom w:val="single" w:sz="4" w:space="0" w:color="auto"/>
              <w:right w:val="nil"/>
            </w:tcBorders>
            <w:shd w:val="clear" w:color="auto" w:fill="auto"/>
            <w:noWrap/>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xml:space="preserve">  </w:t>
            </w:r>
            <w:r w:rsidRPr="00267D47">
              <w:rPr>
                <w:rFonts w:eastAsia="Times New Roman"/>
                <w:b/>
                <w:bCs/>
                <w:color w:val="000000"/>
                <w:sz w:val="18"/>
                <w:szCs w:val="18"/>
              </w:rPr>
              <w:t>Total Responses</w:t>
            </w:r>
          </w:p>
        </w:tc>
        <w:tc>
          <w:tcPr>
            <w:tcW w:w="1120" w:type="dxa"/>
            <w:tcBorders>
              <w:top w:val="nil"/>
              <w:left w:val="nil"/>
              <w:bottom w:val="single" w:sz="4" w:space="0" w:color="auto"/>
              <w:right w:val="nil"/>
            </w:tcBorders>
            <w:shd w:val="clear" w:color="auto" w:fill="auto"/>
            <w:noWrap/>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900" w:type="dxa"/>
            <w:tcBorders>
              <w:top w:val="nil"/>
              <w:left w:val="nil"/>
              <w:bottom w:val="single" w:sz="4" w:space="0" w:color="auto"/>
              <w:right w:val="single" w:sz="4" w:space="0" w:color="auto"/>
            </w:tcBorders>
            <w:shd w:val="clear" w:color="auto" w:fill="auto"/>
            <w:noWrap/>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38,980</w:t>
            </w:r>
          </w:p>
        </w:tc>
        <w:tc>
          <w:tcPr>
            <w:tcW w:w="820" w:type="dxa"/>
            <w:tcBorders>
              <w:top w:val="nil"/>
              <w:left w:val="nil"/>
              <w:bottom w:val="single" w:sz="4" w:space="0" w:color="auto"/>
              <w:right w:val="single" w:sz="4" w:space="0" w:color="auto"/>
            </w:tcBorders>
            <w:shd w:val="clear" w:color="auto" w:fill="auto"/>
            <w:noWrap/>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267D47" w:rsidRPr="00267D47" w:rsidRDefault="00267D47" w:rsidP="00267D47">
            <w:pPr>
              <w:spacing w:after="0" w:line="240" w:lineRule="auto"/>
              <w:jc w:val="center"/>
              <w:rPr>
                <w:rFonts w:eastAsia="Times New Roman"/>
                <w:color w:val="000000"/>
                <w:sz w:val="18"/>
                <w:szCs w:val="18"/>
              </w:rPr>
            </w:pPr>
            <w:r w:rsidRPr="00267D47">
              <w:rPr>
                <w:rFonts w:eastAsia="Times New Roman"/>
                <w:color w:val="000000"/>
                <w:sz w:val="18"/>
                <w:szCs w:val="18"/>
              </w:rPr>
              <w:t> </w:t>
            </w:r>
          </w:p>
        </w:tc>
      </w:tr>
      <w:tr w:rsidR="00267D47" w:rsidRPr="00267D47" w:rsidTr="00267D47">
        <w:trPr>
          <w:trHeight w:val="300"/>
        </w:trPr>
        <w:tc>
          <w:tcPr>
            <w:tcW w:w="1440" w:type="dxa"/>
            <w:tcBorders>
              <w:top w:val="nil"/>
              <w:left w:val="single" w:sz="4" w:space="0" w:color="auto"/>
              <w:bottom w:val="single" w:sz="4" w:space="0" w:color="auto"/>
              <w:right w:val="single" w:sz="4" w:space="0" w:color="auto"/>
            </w:tcBorders>
            <w:shd w:val="clear" w:color="auto" w:fill="auto"/>
            <w:noWrap/>
            <w:vAlign w:val="bottom"/>
            <w:hideMark/>
          </w:tcPr>
          <w:p w:rsidR="00267D47" w:rsidRPr="00267D47" w:rsidRDefault="00267D47" w:rsidP="00267D47">
            <w:pPr>
              <w:spacing w:after="0" w:line="240" w:lineRule="auto"/>
              <w:rPr>
                <w:rFonts w:eastAsia="Times New Roman"/>
                <w:color w:val="000000"/>
                <w:sz w:val="18"/>
                <w:szCs w:val="18"/>
              </w:rPr>
            </w:pPr>
            <w:r w:rsidRPr="00267D47">
              <w:rPr>
                <w:rFonts w:eastAsia="Times New Roman"/>
                <w:color w:val="000000"/>
                <w:sz w:val="18"/>
                <w:szCs w:val="18"/>
              </w:rPr>
              <w:t> </w:t>
            </w:r>
          </w:p>
        </w:tc>
        <w:tc>
          <w:tcPr>
            <w:tcW w:w="3980" w:type="dxa"/>
            <w:gridSpan w:val="3"/>
            <w:tcBorders>
              <w:top w:val="single" w:sz="4" w:space="0" w:color="auto"/>
              <w:left w:val="nil"/>
              <w:bottom w:val="single" w:sz="4" w:space="0" w:color="auto"/>
              <w:right w:val="single" w:sz="4" w:space="0" w:color="auto"/>
            </w:tcBorders>
            <w:shd w:val="clear" w:color="auto" w:fill="auto"/>
            <w:noWrap/>
            <w:vAlign w:val="bottom"/>
            <w:hideMark/>
          </w:tcPr>
          <w:p w:rsidR="00267D47" w:rsidRPr="00267D47" w:rsidRDefault="00267D47" w:rsidP="00267D47">
            <w:pPr>
              <w:spacing w:after="0" w:line="240" w:lineRule="auto"/>
              <w:rPr>
                <w:rFonts w:eastAsia="Times New Roman"/>
                <w:b/>
                <w:bCs/>
                <w:color w:val="000000"/>
                <w:sz w:val="18"/>
                <w:szCs w:val="18"/>
              </w:rPr>
            </w:pPr>
            <w:r w:rsidRPr="00267D47">
              <w:rPr>
                <w:rFonts w:eastAsia="Times New Roman"/>
                <w:b/>
                <w:bCs/>
                <w:color w:val="000000"/>
                <w:sz w:val="18"/>
                <w:szCs w:val="18"/>
              </w:rPr>
              <w:t xml:space="preserve">   Total Burden Hours</w:t>
            </w:r>
          </w:p>
        </w:tc>
        <w:tc>
          <w:tcPr>
            <w:tcW w:w="900" w:type="dxa"/>
            <w:tcBorders>
              <w:top w:val="nil"/>
              <w:left w:val="nil"/>
              <w:bottom w:val="single" w:sz="4" w:space="0" w:color="auto"/>
              <w:right w:val="nil"/>
            </w:tcBorders>
            <w:shd w:val="clear" w:color="auto" w:fill="auto"/>
            <w:noWrap/>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 </w:t>
            </w:r>
          </w:p>
        </w:tc>
        <w:tc>
          <w:tcPr>
            <w:tcW w:w="820" w:type="dxa"/>
            <w:tcBorders>
              <w:top w:val="nil"/>
              <w:left w:val="nil"/>
              <w:bottom w:val="single" w:sz="4" w:space="0" w:color="auto"/>
              <w:right w:val="single" w:sz="4" w:space="0" w:color="auto"/>
            </w:tcBorders>
            <w:shd w:val="clear" w:color="auto" w:fill="auto"/>
            <w:noWrap/>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 </w:t>
            </w:r>
          </w:p>
        </w:tc>
        <w:tc>
          <w:tcPr>
            <w:tcW w:w="880" w:type="dxa"/>
            <w:tcBorders>
              <w:top w:val="nil"/>
              <w:left w:val="nil"/>
              <w:bottom w:val="single" w:sz="4" w:space="0" w:color="auto"/>
              <w:right w:val="single" w:sz="4" w:space="0" w:color="auto"/>
            </w:tcBorders>
            <w:shd w:val="clear" w:color="auto" w:fill="auto"/>
            <w:noWrap/>
            <w:vAlign w:val="bottom"/>
            <w:hideMark/>
          </w:tcPr>
          <w:p w:rsidR="00267D47" w:rsidRPr="00267D47" w:rsidRDefault="00267D47" w:rsidP="00267D47">
            <w:pPr>
              <w:spacing w:after="0" w:line="240" w:lineRule="auto"/>
              <w:jc w:val="center"/>
              <w:rPr>
                <w:rFonts w:eastAsia="Times New Roman"/>
                <w:b/>
                <w:bCs/>
                <w:color w:val="000000"/>
                <w:sz w:val="18"/>
                <w:szCs w:val="18"/>
              </w:rPr>
            </w:pPr>
            <w:r w:rsidRPr="00267D47">
              <w:rPr>
                <w:rFonts w:eastAsia="Times New Roman"/>
                <w:b/>
                <w:bCs/>
                <w:color w:val="000000"/>
                <w:sz w:val="18"/>
                <w:szCs w:val="18"/>
              </w:rPr>
              <w:t>122,667</w:t>
            </w:r>
          </w:p>
        </w:tc>
      </w:tr>
    </w:tbl>
    <w:p w:rsidR="00CA787B" w:rsidRPr="0095645F" w:rsidRDefault="00F05B29" w:rsidP="002F5BA3">
      <w:pPr>
        <w:spacing w:before="120"/>
        <w:rPr>
          <w:sz w:val="20"/>
          <w:szCs w:val="20"/>
        </w:rPr>
      </w:pPr>
      <w:r>
        <w:rPr>
          <w:sz w:val="20"/>
          <w:szCs w:val="20"/>
        </w:rPr>
        <w:t>Table 3 Footnote</w:t>
      </w:r>
      <w:r w:rsidR="00CA787B" w:rsidRPr="0095645F">
        <w:rPr>
          <w:sz w:val="20"/>
          <w:szCs w:val="20"/>
        </w:rPr>
        <w:t xml:space="preserve">: EIA proposes that approximately 998 fewer monthly respondents and 78 fewer annual respondents will be required to fill out Schedule 2 of the Form EIA-923.  This proposal will reduce the burden hours per response for these particular respondents by approximately 1.27 hours.  The respondents who do not complete Schedule 2 will still be required to complete other Form EIA-923 schedules, so the </w:t>
      </w:r>
      <w:r w:rsidR="0017074D" w:rsidRPr="0095645F">
        <w:rPr>
          <w:sz w:val="20"/>
          <w:szCs w:val="20"/>
        </w:rPr>
        <w:t xml:space="preserve">monthly </w:t>
      </w:r>
      <w:r w:rsidR="00CA787B" w:rsidRPr="0095645F">
        <w:rPr>
          <w:sz w:val="20"/>
          <w:szCs w:val="20"/>
        </w:rPr>
        <w:t xml:space="preserve">Burden Hours per Response in the above table represent a weighted average across all monthly </w:t>
      </w:r>
      <w:r w:rsidR="0017074D" w:rsidRPr="0095645F">
        <w:rPr>
          <w:sz w:val="20"/>
          <w:szCs w:val="20"/>
        </w:rPr>
        <w:t xml:space="preserve">responses </w:t>
      </w:r>
      <w:r w:rsidR="00CA787B" w:rsidRPr="0095645F">
        <w:rPr>
          <w:sz w:val="20"/>
          <w:szCs w:val="20"/>
        </w:rPr>
        <w:t xml:space="preserve">and </w:t>
      </w:r>
      <w:r w:rsidR="0017074D" w:rsidRPr="0095645F">
        <w:rPr>
          <w:sz w:val="20"/>
          <w:szCs w:val="20"/>
        </w:rPr>
        <w:t>a decrease of 0.71 hours, and the weighted average annual Burden Hours Per Response across all annual responses is a decrease of 0.03 Burden Hours.</w:t>
      </w:r>
    </w:p>
    <w:p w:rsidR="00CA787B" w:rsidRDefault="00CA787B" w:rsidP="00DB3EEB"/>
    <w:p w:rsidR="00A95FE0" w:rsidRPr="008B54F1" w:rsidRDefault="00A95FE0" w:rsidP="000A47ED">
      <w:pPr>
        <w:pStyle w:val="Heading2"/>
      </w:pPr>
      <w:bookmarkStart w:id="64" w:name="_Toc343524160"/>
      <w:r w:rsidRPr="008B54F1">
        <w:t>A.13. Annual Reporting and Record Keeping Cost</w:t>
      </w:r>
      <w:bookmarkEnd w:id="63"/>
      <w:bookmarkEnd w:id="64"/>
    </w:p>
    <w:p w:rsidR="00A95FE0" w:rsidRDefault="00FA481C" w:rsidP="003D463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0"/>
        <w:jc w:val="both"/>
      </w:pPr>
      <w:r>
        <w:t xml:space="preserve">Because the proposed changes </w:t>
      </w:r>
      <w:r w:rsidR="00BA0157">
        <w:t>result in</w:t>
      </w:r>
      <w:r>
        <w:t xml:space="preserve"> a smaller number of respondents report</w:t>
      </w:r>
      <w:r w:rsidR="00BA0157">
        <w:t>ing</w:t>
      </w:r>
      <w:r>
        <w:t xml:space="preserve"> existing Form EIA-861 data on the Form EIA-861S and also </w:t>
      </w:r>
      <w:r w:rsidR="00BA0157">
        <w:t xml:space="preserve">result in </w:t>
      </w:r>
      <w:r>
        <w:t>a smaller number of respondents report</w:t>
      </w:r>
      <w:r w:rsidR="00BA0157">
        <w:t>ing</w:t>
      </w:r>
      <w:r>
        <w:t xml:space="preserve"> Form EIA-923, Schedule 2 data, t</w:t>
      </w:r>
      <w:r w:rsidR="00A95FE0" w:rsidRPr="00A8582E">
        <w:t xml:space="preserve">he information </w:t>
      </w:r>
      <w:r w:rsidR="00996002">
        <w:t xml:space="preserve">required by EIA </w:t>
      </w:r>
      <w:r w:rsidR="00A95FE0" w:rsidRPr="00A8582E">
        <w:t xml:space="preserve">is </w:t>
      </w:r>
      <w:r>
        <w:t xml:space="preserve">already </w:t>
      </w:r>
      <w:r w:rsidR="00A95FE0" w:rsidRPr="00A8582E">
        <w:t>maintained in the normal course of business</w:t>
      </w:r>
      <w:r w:rsidR="00996002">
        <w:t xml:space="preserve"> for the survey respondents</w:t>
      </w:r>
      <w:r w:rsidR="00A95FE0" w:rsidRPr="00A8582E">
        <w:t xml:space="preserve">.  </w:t>
      </w:r>
      <w:r w:rsidRPr="00A8582E">
        <w:t>Th</w:t>
      </w:r>
      <w:r>
        <w:t>us</w:t>
      </w:r>
      <w:r w:rsidR="00A95FE0" w:rsidRPr="00A8582E">
        <w:t>, other than the cost of burden hours</w:t>
      </w:r>
      <w:r>
        <w:t xml:space="preserve"> as noted in the above </w:t>
      </w:r>
      <w:r w:rsidR="007F7A32">
        <w:t>S</w:t>
      </w:r>
      <w:r>
        <w:t>ection</w:t>
      </w:r>
      <w:r w:rsidR="007F7A32">
        <w:t xml:space="preserve"> A.12</w:t>
      </w:r>
      <w:r w:rsidR="00A95FE0" w:rsidRPr="00A8582E">
        <w:t>, there are no</w:t>
      </w:r>
      <w:r w:rsidR="003D4637">
        <w:t>t any</w:t>
      </w:r>
      <w:r w:rsidR="00A95FE0" w:rsidRPr="00A8582E">
        <w:t xml:space="preserve"> additional costs </w:t>
      </w:r>
      <w:r>
        <w:t xml:space="preserve">to respondents </w:t>
      </w:r>
      <w:r w:rsidR="00A95FE0" w:rsidRPr="00A8582E">
        <w:t>for generating, maintaining, and providing the information.</w:t>
      </w:r>
    </w:p>
    <w:p w:rsidR="007E2D64" w:rsidRDefault="007E2D64" w:rsidP="00BA0157">
      <w:bookmarkStart w:id="65" w:name="_Toc524334503"/>
      <w:bookmarkStart w:id="66" w:name="_Toc524334585"/>
      <w:bookmarkStart w:id="67" w:name="_Toc524334732"/>
      <w:bookmarkStart w:id="68" w:name="_Toc524334925"/>
      <w:bookmarkStart w:id="69" w:name="_Toc318697086"/>
    </w:p>
    <w:p w:rsidR="00A95FE0" w:rsidRPr="008B54F1" w:rsidRDefault="00A95FE0" w:rsidP="000A47ED">
      <w:pPr>
        <w:pStyle w:val="Heading2"/>
      </w:pPr>
      <w:bookmarkStart w:id="70" w:name="_Toc343524161"/>
      <w:r w:rsidRPr="008B54F1">
        <w:t>A.14. Annual Cost to the Federal Government</w:t>
      </w:r>
      <w:bookmarkEnd w:id="65"/>
      <w:bookmarkEnd w:id="66"/>
      <w:bookmarkEnd w:id="67"/>
      <w:bookmarkEnd w:id="68"/>
      <w:bookmarkEnd w:id="69"/>
      <w:bookmarkEnd w:id="70"/>
    </w:p>
    <w:p w:rsidR="00A95FE0" w:rsidRDefault="00A95FE0" w:rsidP="003D463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0"/>
        <w:jc w:val="both"/>
      </w:pPr>
      <w:r w:rsidRPr="00115BF9">
        <w:t xml:space="preserve">The annual cost </w:t>
      </w:r>
      <w:r w:rsidR="003C5B85">
        <w:t xml:space="preserve">of operating these surveys </w:t>
      </w:r>
      <w:r w:rsidRPr="00115BF9">
        <w:t xml:space="preserve">is estimated at </w:t>
      </w:r>
      <w:r w:rsidR="003C5B85">
        <w:t xml:space="preserve">approximately </w:t>
      </w:r>
      <w:r w:rsidRPr="00115BF9">
        <w:t>$</w:t>
      </w:r>
      <w:r w:rsidR="00F26962">
        <w:t>6.2</w:t>
      </w:r>
      <w:r w:rsidR="003C5B85">
        <w:t xml:space="preserve"> million, including contractor costs and federal staff time</w:t>
      </w:r>
      <w:r w:rsidRPr="00115BF9">
        <w:t>.  This cost estimate includes personnel, maintenance, collection, and processing by EIA.</w:t>
      </w:r>
      <w:r w:rsidR="00F26962">
        <w:t xml:space="preserve">  The cost to create the Form EIA-861S is offset by both the Form EIA-861S and Form EIA-923, Schedule 2 modifications that reduce the </w:t>
      </w:r>
      <w:r w:rsidR="007A5DDC">
        <w:t>number of responses EIA will administer and process.</w:t>
      </w:r>
    </w:p>
    <w:p w:rsidR="00A95FE0" w:rsidRPr="008B54F1" w:rsidRDefault="00A95FE0" w:rsidP="000A47ED">
      <w:pPr>
        <w:pStyle w:val="Heading2"/>
      </w:pPr>
      <w:bookmarkStart w:id="71" w:name="_Toc309722617"/>
      <w:bookmarkStart w:id="72" w:name="_Toc318697087"/>
      <w:bookmarkStart w:id="73" w:name="_Toc343524162"/>
      <w:r w:rsidRPr="008B54F1">
        <w:t>A.15. Changes in Burden</w:t>
      </w:r>
      <w:bookmarkEnd w:id="71"/>
      <w:bookmarkEnd w:id="72"/>
      <w:bookmarkEnd w:id="73"/>
    </w:p>
    <w:p w:rsidR="0048528F" w:rsidRDefault="00AC511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100" w:afterAutospacing="1"/>
        <w:jc w:val="both"/>
      </w:pPr>
      <w:r w:rsidRPr="000906EB">
        <w:t xml:space="preserve">The currently approved burden for </w:t>
      </w:r>
      <w:r w:rsidR="00643E4E" w:rsidRPr="000906EB">
        <w:t xml:space="preserve">the </w:t>
      </w:r>
      <w:r w:rsidR="007D7534">
        <w:t xml:space="preserve">Electric Power Surveys data collection </w:t>
      </w:r>
      <w:r w:rsidR="00643E4E" w:rsidRPr="000906EB">
        <w:t xml:space="preserve">is </w:t>
      </w:r>
      <w:r w:rsidR="007D7534">
        <w:t>146,789</w:t>
      </w:r>
      <w:r w:rsidRPr="000906EB">
        <w:t xml:space="preserve"> hours</w:t>
      </w:r>
      <w:r w:rsidR="007D7534">
        <w:t>.</w:t>
      </w:r>
      <w:r w:rsidR="009420AF" w:rsidRPr="000906EB">
        <w:t xml:space="preserve">  T</w:t>
      </w:r>
      <w:r w:rsidRPr="000906EB">
        <w:t xml:space="preserve">he </w:t>
      </w:r>
      <w:r w:rsidR="003D4637">
        <w:t xml:space="preserve">new </w:t>
      </w:r>
      <w:r w:rsidRPr="000906EB">
        <w:t xml:space="preserve">proposed burden is </w:t>
      </w:r>
      <w:r w:rsidR="007D7534">
        <w:t>122,667</w:t>
      </w:r>
      <w:r w:rsidR="00E631B0" w:rsidRPr="000906EB">
        <w:t xml:space="preserve"> hour</w:t>
      </w:r>
      <w:r w:rsidRPr="000906EB">
        <w:t>s</w:t>
      </w:r>
      <w:r w:rsidR="00BA3C8A">
        <w:t>,</w:t>
      </w:r>
      <w:r w:rsidR="00BA3C8A" w:rsidRPr="000906EB">
        <w:t xml:space="preserve"> </w:t>
      </w:r>
      <w:r w:rsidR="00BA3C8A">
        <w:t>representing a</w:t>
      </w:r>
      <w:r w:rsidRPr="000906EB">
        <w:t xml:space="preserve"> </w:t>
      </w:r>
      <w:r w:rsidR="00E631B0" w:rsidRPr="000906EB">
        <w:t>de</w:t>
      </w:r>
      <w:r w:rsidRPr="000906EB">
        <w:t xml:space="preserve">crease of </w:t>
      </w:r>
      <w:r w:rsidR="007D7534">
        <w:t>24,122</w:t>
      </w:r>
      <w:r w:rsidRPr="000906EB">
        <w:t xml:space="preserve"> hours</w:t>
      </w:r>
      <w:r w:rsidR="008F7EB4">
        <w:t xml:space="preserve"> </w:t>
      </w:r>
      <w:r w:rsidR="008F7EB4" w:rsidRPr="00221581">
        <w:t xml:space="preserve">due to </w:t>
      </w:r>
      <w:r w:rsidR="008F7EB4">
        <w:t xml:space="preserve">decreases in the number of </w:t>
      </w:r>
      <w:r w:rsidR="008F7EB4" w:rsidRPr="00221581">
        <w:t>respondent</w:t>
      </w:r>
      <w:r w:rsidR="008F7EB4">
        <w:t>s in the survey samples</w:t>
      </w:r>
      <w:r w:rsidR="008F7EB4" w:rsidRPr="00221581">
        <w:t xml:space="preserve"> </w:t>
      </w:r>
      <w:r w:rsidR="008F7EB4">
        <w:t>and reporting requirement changes</w:t>
      </w:r>
      <w:r w:rsidR="008F7EB4" w:rsidRPr="00221581">
        <w:t xml:space="preserve">.  </w:t>
      </w:r>
      <w:r w:rsidR="00D55904">
        <w:rPr>
          <w:color w:val="000000"/>
        </w:rPr>
        <w:t xml:space="preserve">The </w:t>
      </w:r>
      <w:r w:rsidR="00D55904" w:rsidRPr="00E631B0">
        <w:rPr>
          <w:color w:val="000000"/>
        </w:rPr>
        <w:t xml:space="preserve">modifications in the individual electric power forms are described in detail in </w:t>
      </w:r>
      <w:r w:rsidR="00D55904">
        <w:rPr>
          <w:color w:val="000000"/>
        </w:rPr>
        <w:t>Section</w:t>
      </w:r>
      <w:r w:rsidR="00D55904" w:rsidRPr="00E631B0">
        <w:rPr>
          <w:color w:val="000000"/>
        </w:rPr>
        <w:t xml:space="preserve"> A.2.</w:t>
      </w:r>
    </w:p>
    <w:p w:rsidR="00AC5115" w:rsidRPr="000906EB" w:rsidRDefault="00AC5115" w:rsidP="003D463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0"/>
        <w:jc w:val="both"/>
      </w:pPr>
      <w:r w:rsidRPr="000906EB">
        <w:t>The changes in burden hours for the individual forms are shown in Table 4</w:t>
      </w:r>
      <w:r w:rsidR="00D511FB">
        <w:t xml:space="preserve"> </w:t>
      </w:r>
      <w:r w:rsidRPr="000906EB">
        <w:t xml:space="preserve">and are </w:t>
      </w:r>
      <w:r w:rsidR="008F7EB4">
        <w:t>described</w:t>
      </w:r>
      <w:r w:rsidRPr="000906EB">
        <w:t xml:space="preserve"> below:</w:t>
      </w:r>
    </w:p>
    <w:p w:rsidR="00773785" w:rsidRDefault="00AC5115" w:rsidP="00A62D30">
      <w:pPr>
        <w:pStyle w:val="BodyTextIndent3"/>
        <w:numPr>
          <w:ilvl w:val="0"/>
          <w:numId w:val="1"/>
        </w:numPr>
        <w:tabs>
          <w:tab w:val="left" w:pos="1080"/>
          <w:tab w:val="left" w:pos="2520"/>
          <w:tab w:val="left" w:pos="3240"/>
          <w:tab w:val="left" w:pos="3960"/>
          <w:tab w:val="left" w:pos="4680"/>
          <w:tab w:val="left" w:pos="5400"/>
          <w:tab w:val="left" w:pos="6120"/>
          <w:tab w:val="left" w:pos="6840"/>
          <w:tab w:val="left" w:pos="7560"/>
          <w:tab w:val="left" w:pos="8280"/>
          <w:tab w:val="left" w:pos="9000"/>
        </w:tabs>
        <w:spacing w:before="120"/>
        <w:rPr>
          <w:sz w:val="22"/>
          <w:szCs w:val="22"/>
        </w:rPr>
      </w:pPr>
      <w:r w:rsidRPr="00957615">
        <w:rPr>
          <w:b/>
          <w:color w:val="000000"/>
          <w:sz w:val="22"/>
          <w:szCs w:val="22"/>
        </w:rPr>
        <w:t>Form EIA-861</w:t>
      </w:r>
      <w:r w:rsidRPr="000A1E0F">
        <w:rPr>
          <w:b/>
          <w:color w:val="000000"/>
          <w:sz w:val="22"/>
          <w:szCs w:val="22"/>
        </w:rPr>
        <w:t xml:space="preserve"> </w:t>
      </w:r>
      <w:r w:rsidR="003E0FF9" w:rsidRPr="000A1E0F">
        <w:rPr>
          <w:b/>
          <w:color w:val="000000"/>
          <w:sz w:val="22"/>
          <w:szCs w:val="22"/>
        </w:rPr>
        <w:t xml:space="preserve">– </w:t>
      </w:r>
      <w:r w:rsidR="00E631B0">
        <w:rPr>
          <w:color w:val="000000"/>
          <w:sz w:val="22"/>
          <w:szCs w:val="22"/>
        </w:rPr>
        <w:t>T</w:t>
      </w:r>
      <w:r w:rsidR="003E0FF9">
        <w:rPr>
          <w:color w:val="000000"/>
          <w:sz w:val="22"/>
          <w:szCs w:val="22"/>
        </w:rPr>
        <w:t xml:space="preserve">he </w:t>
      </w:r>
      <w:r w:rsidR="000A1E0F">
        <w:rPr>
          <w:color w:val="000000"/>
          <w:sz w:val="22"/>
          <w:szCs w:val="22"/>
        </w:rPr>
        <w:t xml:space="preserve">survey </w:t>
      </w:r>
      <w:r w:rsidR="003E0FF9">
        <w:rPr>
          <w:color w:val="000000"/>
          <w:sz w:val="22"/>
          <w:szCs w:val="22"/>
        </w:rPr>
        <w:t xml:space="preserve">frame will be modified from </w:t>
      </w:r>
      <w:r w:rsidR="004A67A2" w:rsidRPr="006258FB">
        <w:rPr>
          <w:sz w:val="22"/>
          <w:szCs w:val="22"/>
        </w:rPr>
        <w:t>a census</w:t>
      </w:r>
      <w:r w:rsidR="000A1E0F">
        <w:rPr>
          <w:sz w:val="22"/>
          <w:szCs w:val="22"/>
        </w:rPr>
        <w:t xml:space="preserve"> of approximately 3,300 entities</w:t>
      </w:r>
      <w:r w:rsidR="004A67A2" w:rsidRPr="006258FB">
        <w:rPr>
          <w:sz w:val="22"/>
          <w:szCs w:val="22"/>
        </w:rPr>
        <w:t xml:space="preserve"> to a sample of approximately 2</w:t>
      </w:r>
      <w:r w:rsidR="004A67A2">
        <w:rPr>
          <w:sz w:val="22"/>
          <w:szCs w:val="22"/>
        </w:rPr>
        <w:t>,</w:t>
      </w:r>
      <w:r w:rsidR="004A67A2" w:rsidRPr="006258FB">
        <w:rPr>
          <w:sz w:val="22"/>
          <w:szCs w:val="22"/>
        </w:rPr>
        <w:t xml:space="preserve">200 </w:t>
      </w:r>
      <w:r w:rsidR="00847F5E" w:rsidRPr="003D4637">
        <w:rPr>
          <w:sz w:val="22"/>
          <w:szCs w:val="22"/>
        </w:rPr>
        <w:t>entities.</w:t>
      </w:r>
      <w:r w:rsidR="00D55904">
        <w:rPr>
          <w:sz w:val="22"/>
          <w:szCs w:val="22"/>
        </w:rPr>
        <w:t xml:space="preserve"> </w:t>
      </w:r>
      <w:r w:rsidR="002176EB">
        <w:rPr>
          <w:sz w:val="22"/>
          <w:szCs w:val="22"/>
        </w:rPr>
        <w:t xml:space="preserve"> </w:t>
      </w:r>
      <w:r w:rsidR="004030E9">
        <w:rPr>
          <w:sz w:val="22"/>
          <w:szCs w:val="22"/>
        </w:rPr>
        <w:t>This is e</w:t>
      </w:r>
      <w:r w:rsidR="00D55904">
        <w:rPr>
          <w:color w:val="000000"/>
          <w:sz w:val="22"/>
          <w:szCs w:val="22"/>
        </w:rPr>
        <w:t xml:space="preserve">stimated </w:t>
      </w:r>
      <w:r w:rsidR="004030E9">
        <w:rPr>
          <w:color w:val="000000"/>
          <w:sz w:val="22"/>
          <w:szCs w:val="22"/>
        </w:rPr>
        <w:t>to reduce burden by</w:t>
      </w:r>
      <w:r w:rsidR="00D55904">
        <w:rPr>
          <w:color w:val="000000"/>
          <w:sz w:val="22"/>
          <w:szCs w:val="22"/>
        </w:rPr>
        <w:t xml:space="preserve"> 9,702 hours.</w:t>
      </w:r>
    </w:p>
    <w:p w:rsidR="00773785" w:rsidRDefault="00957615" w:rsidP="00A62D30">
      <w:pPr>
        <w:pStyle w:val="BodyTextIndent3"/>
        <w:numPr>
          <w:ilvl w:val="0"/>
          <w:numId w:val="1"/>
        </w:numPr>
        <w:tabs>
          <w:tab w:val="left" w:pos="1080"/>
          <w:tab w:val="left" w:pos="2520"/>
          <w:tab w:val="left" w:pos="3240"/>
          <w:tab w:val="left" w:pos="3960"/>
          <w:tab w:val="left" w:pos="4680"/>
          <w:tab w:val="left" w:pos="5400"/>
          <w:tab w:val="left" w:pos="6120"/>
          <w:tab w:val="left" w:pos="6840"/>
          <w:tab w:val="left" w:pos="7560"/>
          <w:tab w:val="left" w:pos="8280"/>
          <w:tab w:val="left" w:pos="9000"/>
        </w:tabs>
        <w:spacing w:before="120"/>
        <w:rPr>
          <w:sz w:val="22"/>
          <w:szCs w:val="22"/>
        </w:rPr>
      </w:pPr>
      <w:r>
        <w:rPr>
          <w:b/>
          <w:color w:val="000000"/>
          <w:sz w:val="22"/>
          <w:szCs w:val="22"/>
        </w:rPr>
        <w:t>Form EIA-861S</w:t>
      </w:r>
      <w:r w:rsidR="000A1E0F" w:rsidRPr="000A1E0F">
        <w:rPr>
          <w:b/>
          <w:color w:val="000000"/>
          <w:sz w:val="22"/>
          <w:szCs w:val="22"/>
        </w:rPr>
        <w:t xml:space="preserve"> – </w:t>
      </w:r>
      <w:r w:rsidR="00773785" w:rsidRPr="00773785">
        <w:rPr>
          <w:color w:val="000000"/>
          <w:sz w:val="22"/>
          <w:szCs w:val="22"/>
        </w:rPr>
        <w:t>T</w:t>
      </w:r>
      <w:r w:rsidR="00847F5E" w:rsidRPr="00847F5E">
        <w:rPr>
          <w:color w:val="000000"/>
          <w:sz w:val="22"/>
          <w:szCs w:val="22"/>
        </w:rPr>
        <w:t>he</w:t>
      </w:r>
      <w:r w:rsidR="003E0FF9">
        <w:rPr>
          <w:color w:val="000000"/>
          <w:sz w:val="22"/>
          <w:szCs w:val="22"/>
        </w:rPr>
        <w:t xml:space="preserve"> </w:t>
      </w:r>
      <w:r w:rsidR="000A1E0F">
        <w:rPr>
          <w:color w:val="000000"/>
          <w:sz w:val="22"/>
          <w:szCs w:val="22"/>
        </w:rPr>
        <w:t xml:space="preserve">survey </w:t>
      </w:r>
      <w:r w:rsidR="007E3C42">
        <w:rPr>
          <w:color w:val="000000"/>
          <w:sz w:val="22"/>
          <w:szCs w:val="22"/>
        </w:rPr>
        <w:t xml:space="preserve">sample </w:t>
      </w:r>
      <w:r w:rsidR="003E0FF9">
        <w:rPr>
          <w:color w:val="000000"/>
          <w:sz w:val="22"/>
          <w:szCs w:val="22"/>
        </w:rPr>
        <w:t xml:space="preserve">will consist of </w:t>
      </w:r>
      <w:r w:rsidR="003C0D72">
        <w:rPr>
          <w:color w:val="000000"/>
          <w:sz w:val="22"/>
          <w:szCs w:val="22"/>
        </w:rPr>
        <w:t>t</w:t>
      </w:r>
      <w:r>
        <w:rPr>
          <w:color w:val="000000"/>
          <w:sz w:val="22"/>
          <w:szCs w:val="22"/>
        </w:rPr>
        <w:t>he 1</w:t>
      </w:r>
      <w:r w:rsidR="008F7EB4">
        <w:rPr>
          <w:color w:val="000000"/>
          <w:sz w:val="22"/>
          <w:szCs w:val="22"/>
        </w:rPr>
        <w:t>,</w:t>
      </w:r>
      <w:r>
        <w:rPr>
          <w:color w:val="000000"/>
          <w:sz w:val="22"/>
          <w:szCs w:val="22"/>
        </w:rPr>
        <w:t xml:space="preserve">100 respondents dropped from the </w:t>
      </w:r>
      <w:r w:rsidR="004A67A2">
        <w:rPr>
          <w:color w:val="000000"/>
          <w:sz w:val="22"/>
          <w:szCs w:val="22"/>
        </w:rPr>
        <w:t xml:space="preserve">Form EIA-861 frame and </w:t>
      </w:r>
      <w:r w:rsidR="007E2D64">
        <w:rPr>
          <w:color w:val="000000"/>
          <w:sz w:val="22"/>
          <w:szCs w:val="22"/>
        </w:rPr>
        <w:t xml:space="preserve">these respondents will be required to submit </w:t>
      </w:r>
      <w:r w:rsidR="003E0FF9" w:rsidRPr="003E0FF9">
        <w:rPr>
          <w:rFonts w:cs="Calibri"/>
          <w:color w:val="000000"/>
          <w:sz w:val="22"/>
          <w:szCs w:val="22"/>
        </w:rPr>
        <w:t xml:space="preserve">very limited </w:t>
      </w:r>
      <w:r w:rsidR="003E0FF9" w:rsidRPr="003D4637">
        <w:rPr>
          <w:rFonts w:cs="Calibri"/>
          <w:sz w:val="22"/>
          <w:szCs w:val="22"/>
        </w:rPr>
        <w:t>data</w:t>
      </w:r>
      <w:r w:rsidR="004A67A2" w:rsidRPr="003D4637">
        <w:rPr>
          <w:sz w:val="22"/>
          <w:szCs w:val="22"/>
        </w:rPr>
        <w:t>.</w:t>
      </w:r>
      <w:r w:rsidR="00D55904" w:rsidRPr="00D55904">
        <w:rPr>
          <w:color w:val="000000"/>
          <w:sz w:val="22"/>
          <w:szCs w:val="22"/>
        </w:rPr>
        <w:t xml:space="preserve"> </w:t>
      </w:r>
      <w:r w:rsidR="002176EB">
        <w:rPr>
          <w:color w:val="000000"/>
          <w:sz w:val="22"/>
          <w:szCs w:val="22"/>
        </w:rPr>
        <w:t xml:space="preserve"> </w:t>
      </w:r>
      <w:r w:rsidR="00D55904">
        <w:rPr>
          <w:color w:val="000000"/>
          <w:sz w:val="22"/>
          <w:szCs w:val="22"/>
        </w:rPr>
        <w:t>The estimated burden for this annual survey is 825 hours</w:t>
      </w:r>
      <w:r w:rsidR="00856DE7" w:rsidRPr="00856DE7">
        <w:rPr>
          <w:sz w:val="23"/>
          <w:szCs w:val="23"/>
        </w:rPr>
        <w:t xml:space="preserve"> </w:t>
      </w:r>
      <w:r w:rsidR="00856DE7">
        <w:rPr>
          <w:sz w:val="23"/>
          <w:szCs w:val="23"/>
        </w:rPr>
        <w:t>(1</w:t>
      </w:r>
      <w:r w:rsidR="00BA0157">
        <w:rPr>
          <w:sz w:val="23"/>
          <w:szCs w:val="23"/>
        </w:rPr>
        <w:t>,</w:t>
      </w:r>
      <w:r w:rsidR="00856DE7">
        <w:rPr>
          <w:sz w:val="23"/>
          <w:szCs w:val="23"/>
        </w:rPr>
        <w:t xml:space="preserve">100 respondents multiplied by </w:t>
      </w:r>
      <w:r w:rsidR="00BA0157">
        <w:rPr>
          <w:sz w:val="23"/>
          <w:szCs w:val="23"/>
        </w:rPr>
        <w:t>0</w:t>
      </w:r>
      <w:r w:rsidR="00856DE7">
        <w:rPr>
          <w:sz w:val="23"/>
          <w:szCs w:val="23"/>
        </w:rPr>
        <w:t>.75 burden hours per form)</w:t>
      </w:r>
      <w:r w:rsidR="00D55904">
        <w:rPr>
          <w:color w:val="000000"/>
          <w:sz w:val="22"/>
          <w:szCs w:val="22"/>
        </w:rPr>
        <w:t xml:space="preserve">.  Between the </w:t>
      </w:r>
      <w:r w:rsidR="00C06F26">
        <w:rPr>
          <w:color w:val="000000"/>
          <w:sz w:val="22"/>
          <w:szCs w:val="22"/>
        </w:rPr>
        <w:t xml:space="preserve">Forms </w:t>
      </w:r>
      <w:r w:rsidR="00D55904">
        <w:rPr>
          <w:color w:val="000000"/>
          <w:sz w:val="22"/>
          <w:szCs w:val="22"/>
        </w:rPr>
        <w:t>EIA-861 and EIA-861S</w:t>
      </w:r>
      <w:r w:rsidR="007E3C42">
        <w:rPr>
          <w:color w:val="000000"/>
          <w:sz w:val="22"/>
          <w:szCs w:val="22"/>
        </w:rPr>
        <w:t>,</w:t>
      </w:r>
      <w:r w:rsidR="00D55904">
        <w:rPr>
          <w:color w:val="000000"/>
          <w:sz w:val="22"/>
          <w:szCs w:val="22"/>
        </w:rPr>
        <w:t xml:space="preserve"> the net reduction is 8,877 burden hours.</w:t>
      </w:r>
    </w:p>
    <w:p w:rsidR="00DB7381" w:rsidRPr="008F7EB4" w:rsidRDefault="00AC5115" w:rsidP="00A62D30">
      <w:pPr>
        <w:pStyle w:val="ListParagraph"/>
        <w:numPr>
          <w:ilvl w:val="0"/>
          <w:numId w:val="7"/>
        </w:numPr>
        <w:autoSpaceDE w:val="0"/>
        <w:autoSpaceDN w:val="0"/>
        <w:adjustRightInd w:val="0"/>
        <w:spacing w:before="120" w:after="120"/>
        <w:contextualSpacing w:val="0"/>
        <w:rPr>
          <w:b/>
          <w:color w:val="000000"/>
        </w:rPr>
      </w:pPr>
      <w:r w:rsidRPr="00847F5E">
        <w:rPr>
          <w:b/>
          <w:color w:val="000000"/>
        </w:rPr>
        <w:t>Form EIA-923</w:t>
      </w:r>
      <w:r w:rsidR="004A67A2" w:rsidRPr="00847F5E">
        <w:rPr>
          <w:b/>
          <w:color w:val="000000"/>
        </w:rPr>
        <w:t>, Schedule 2</w:t>
      </w:r>
      <w:r w:rsidR="000A1E0F" w:rsidRPr="000A1E0F">
        <w:rPr>
          <w:b/>
          <w:color w:val="000000"/>
        </w:rPr>
        <w:t xml:space="preserve"> – </w:t>
      </w:r>
      <w:r w:rsidR="00E631B0" w:rsidRPr="004A67A2">
        <w:t>The</w:t>
      </w:r>
      <w:r w:rsidR="004A67A2" w:rsidRPr="004A67A2">
        <w:t xml:space="preserve"> </w:t>
      </w:r>
      <w:r w:rsidR="000A1E0F">
        <w:t xml:space="preserve">reporting </w:t>
      </w:r>
      <w:r w:rsidR="004A67A2" w:rsidRPr="004A67A2">
        <w:t xml:space="preserve">threshold </w:t>
      </w:r>
      <w:r w:rsidR="003E0FF9">
        <w:t xml:space="preserve">will be raised from 50 </w:t>
      </w:r>
      <w:r w:rsidR="004A67A2" w:rsidRPr="004A67A2">
        <w:t>to 200 MW of nameplate capacity for plants fueled by natural gas, petroleum coke, distillate fuel oil, and residual fuel oil</w:t>
      </w:r>
      <w:r w:rsidR="000A1E0F">
        <w:t xml:space="preserve">.  </w:t>
      </w:r>
      <w:r w:rsidR="009951C2">
        <w:t>S</w:t>
      </w:r>
      <w:r w:rsidR="004A67A2">
        <w:t>elf-produced and minor fuels</w:t>
      </w:r>
      <w:r w:rsidR="003E0FF9">
        <w:t xml:space="preserve"> (</w:t>
      </w:r>
      <w:r w:rsidR="004A67A2">
        <w:t xml:space="preserve">blast furnace gas, other manufactured gases, kerosene, jet fuel, </w:t>
      </w:r>
      <w:r w:rsidR="007E2D64">
        <w:t xml:space="preserve">propane, </w:t>
      </w:r>
      <w:r w:rsidR="004A67A2">
        <w:t>and waste oils</w:t>
      </w:r>
      <w:r w:rsidR="003E0FF9">
        <w:t xml:space="preserve">) will </w:t>
      </w:r>
      <w:r w:rsidR="000A1E0F">
        <w:t>no longer be report</w:t>
      </w:r>
      <w:r w:rsidR="009951C2">
        <w:t>ed</w:t>
      </w:r>
      <w:r w:rsidR="000A1E0F">
        <w:t xml:space="preserve"> on this schedule</w:t>
      </w:r>
      <w:r w:rsidR="004A67A2">
        <w:t>.</w:t>
      </w:r>
      <w:r w:rsidR="00E631B0">
        <w:t xml:space="preserve">  The threshold for plants fueled by coal will remain at 50 megawatts or greater.</w:t>
      </w:r>
      <w:r w:rsidR="00D55904">
        <w:t xml:space="preserve">  </w:t>
      </w:r>
      <w:r w:rsidR="00E62ED4" w:rsidRPr="003C5B85">
        <w:t xml:space="preserve">  This proposal</w:t>
      </w:r>
      <w:r w:rsidR="00E62ED4">
        <w:t xml:space="preserve"> would reduce th</w:t>
      </w:r>
      <w:r w:rsidR="0032664A">
        <w:t xml:space="preserve">e </w:t>
      </w:r>
      <w:r w:rsidR="00E424C4">
        <w:t xml:space="preserve">monthly </w:t>
      </w:r>
      <w:r w:rsidR="0032664A">
        <w:t xml:space="preserve">number of responses </w:t>
      </w:r>
      <w:r w:rsidR="00E424C4">
        <w:t xml:space="preserve">to Schedule 2 </w:t>
      </w:r>
      <w:r w:rsidR="0032664A">
        <w:t xml:space="preserve">by </w:t>
      </w:r>
      <w:r w:rsidR="00E424C4">
        <w:t xml:space="preserve">998 and the annual number of responses to Schedule 2 by 78.  As Schedule </w:t>
      </w:r>
      <w:proofErr w:type="gramStart"/>
      <w:r w:rsidR="00E424C4">
        <w:t xml:space="preserve">2 </w:t>
      </w:r>
      <w:r w:rsidR="0032664A">
        <w:t>,</w:t>
      </w:r>
      <w:proofErr w:type="gramEnd"/>
      <w:r w:rsidR="0032664A">
        <w:t xml:space="preserve"> thereby resulting in</w:t>
      </w:r>
      <w:r w:rsidR="00E65E20">
        <w:t xml:space="preserve"> </w:t>
      </w:r>
      <w:r w:rsidR="0032664A">
        <w:t>an</w:t>
      </w:r>
      <w:r w:rsidR="00E62ED4">
        <w:t xml:space="preserve"> estimated</w:t>
      </w:r>
      <w:r w:rsidR="00D55904">
        <w:rPr>
          <w:color w:val="000000"/>
        </w:rPr>
        <w:t xml:space="preserve"> </w:t>
      </w:r>
      <w:r w:rsidR="00E62ED4">
        <w:rPr>
          <w:color w:val="000000"/>
        </w:rPr>
        <w:t xml:space="preserve">annual </w:t>
      </w:r>
      <w:r w:rsidR="00D55904">
        <w:rPr>
          <w:color w:val="000000"/>
        </w:rPr>
        <w:t xml:space="preserve">reduction of </w:t>
      </w:r>
      <w:r w:rsidR="00E424C4">
        <w:rPr>
          <w:color w:val="000000"/>
        </w:rPr>
        <w:t>15,245</w:t>
      </w:r>
      <w:r w:rsidR="00D55904">
        <w:rPr>
          <w:color w:val="000000"/>
        </w:rPr>
        <w:t xml:space="preserve"> burden hours.</w:t>
      </w:r>
    </w:p>
    <w:p w:rsidR="008F7EB4" w:rsidRDefault="008F7EB4" w:rsidP="008F7EB4">
      <w:pPr>
        <w:pStyle w:val="ListParagraph"/>
        <w:autoSpaceDE w:val="0"/>
        <w:autoSpaceDN w:val="0"/>
        <w:adjustRightInd w:val="0"/>
        <w:spacing w:before="120" w:after="120"/>
        <w:contextualSpacing w:val="0"/>
        <w:rPr>
          <w:b/>
          <w:color w:val="000000"/>
        </w:rPr>
      </w:pPr>
    </w:p>
    <w:tbl>
      <w:tblPr>
        <w:tblW w:w="9800" w:type="dxa"/>
        <w:tblInd w:w="93" w:type="dxa"/>
        <w:tblLook w:val="04A0"/>
      </w:tblPr>
      <w:tblGrid>
        <w:gridCol w:w="1960"/>
        <w:gridCol w:w="1188"/>
        <w:gridCol w:w="1188"/>
        <w:gridCol w:w="1004"/>
        <w:gridCol w:w="1004"/>
        <w:gridCol w:w="1061"/>
        <w:gridCol w:w="960"/>
        <w:gridCol w:w="960"/>
        <w:gridCol w:w="960"/>
      </w:tblGrid>
      <w:tr w:rsidR="00B22088" w:rsidRPr="00B22088" w:rsidTr="00B22088">
        <w:trPr>
          <w:trHeight w:val="300"/>
        </w:trPr>
        <w:tc>
          <w:tcPr>
            <w:tcW w:w="4040" w:type="dxa"/>
            <w:gridSpan w:val="3"/>
            <w:tcBorders>
              <w:top w:val="single" w:sz="4" w:space="0" w:color="auto"/>
              <w:left w:val="single" w:sz="4" w:space="0" w:color="auto"/>
              <w:bottom w:val="single" w:sz="4" w:space="0" w:color="auto"/>
              <w:right w:val="nil"/>
            </w:tcBorders>
            <w:shd w:val="clear" w:color="000000" w:fill="DDD9C3"/>
            <w:noWrap/>
            <w:hideMark/>
          </w:tcPr>
          <w:p w:rsidR="00B22088" w:rsidRPr="00B22088" w:rsidRDefault="00B22088" w:rsidP="00B22088">
            <w:pPr>
              <w:spacing w:after="0" w:line="240" w:lineRule="auto"/>
              <w:rPr>
                <w:rFonts w:eastAsia="Times New Roman"/>
                <w:b/>
                <w:bCs/>
                <w:color w:val="000000"/>
              </w:rPr>
            </w:pPr>
            <w:bookmarkStart w:id="74" w:name="_Toc524334505"/>
            <w:bookmarkStart w:id="75" w:name="_Toc524334587"/>
            <w:bookmarkStart w:id="76" w:name="_Toc524334734"/>
            <w:bookmarkStart w:id="77" w:name="_Toc524334927"/>
            <w:bookmarkStart w:id="78" w:name="_Toc309722618"/>
            <w:bookmarkStart w:id="79" w:name="_Toc318697088"/>
            <w:r w:rsidRPr="00B22088">
              <w:rPr>
                <w:rFonts w:eastAsia="Times New Roman"/>
                <w:b/>
                <w:bCs/>
                <w:color w:val="000000"/>
              </w:rPr>
              <w:t>Table 4. Change in Annual Burden</w:t>
            </w:r>
          </w:p>
        </w:tc>
        <w:tc>
          <w:tcPr>
            <w:tcW w:w="960" w:type="dxa"/>
            <w:tcBorders>
              <w:top w:val="single" w:sz="4" w:space="0" w:color="auto"/>
              <w:left w:val="nil"/>
              <w:bottom w:val="single" w:sz="4" w:space="0" w:color="auto"/>
              <w:right w:val="nil"/>
            </w:tcBorders>
            <w:shd w:val="clear" w:color="000000" w:fill="DDD9C3"/>
            <w:noWrap/>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w:t>
            </w:r>
          </w:p>
        </w:tc>
        <w:tc>
          <w:tcPr>
            <w:tcW w:w="960" w:type="dxa"/>
            <w:tcBorders>
              <w:top w:val="single" w:sz="4" w:space="0" w:color="auto"/>
              <w:left w:val="nil"/>
              <w:bottom w:val="single" w:sz="4" w:space="0" w:color="auto"/>
              <w:right w:val="nil"/>
            </w:tcBorders>
            <w:shd w:val="clear" w:color="000000" w:fill="DDD9C3"/>
            <w:noWrap/>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w:t>
            </w:r>
          </w:p>
        </w:tc>
        <w:tc>
          <w:tcPr>
            <w:tcW w:w="960" w:type="dxa"/>
            <w:tcBorders>
              <w:top w:val="single" w:sz="4" w:space="0" w:color="auto"/>
              <w:left w:val="nil"/>
              <w:bottom w:val="single" w:sz="4" w:space="0" w:color="auto"/>
              <w:right w:val="nil"/>
            </w:tcBorders>
            <w:shd w:val="clear" w:color="000000" w:fill="DDD9C3"/>
            <w:noWrap/>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w:t>
            </w:r>
          </w:p>
        </w:tc>
        <w:tc>
          <w:tcPr>
            <w:tcW w:w="960" w:type="dxa"/>
            <w:tcBorders>
              <w:top w:val="single" w:sz="4" w:space="0" w:color="auto"/>
              <w:left w:val="nil"/>
              <w:bottom w:val="single" w:sz="4" w:space="0" w:color="auto"/>
              <w:right w:val="nil"/>
            </w:tcBorders>
            <w:shd w:val="clear" w:color="000000" w:fill="DDD9C3"/>
            <w:noWrap/>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w:t>
            </w:r>
          </w:p>
        </w:tc>
        <w:tc>
          <w:tcPr>
            <w:tcW w:w="960" w:type="dxa"/>
            <w:tcBorders>
              <w:top w:val="single" w:sz="4" w:space="0" w:color="auto"/>
              <w:left w:val="nil"/>
              <w:bottom w:val="single" w:sz="4" w:space="0" w:color="auto"/>
              <w:right w:val="nil"/>
            </w:tcBorders>
            <w:shd w:val="clear" w:color="000000" w:fill="DDD9C3"/>
            <w:noWrap/>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w:t>
            </w:r>
          </w:p>
        </w:tc>
        <w:tc>
          <w:tcPr>
            <w:tcW w:w="960" w:type="dxa"/>
            <w:tcBorders>
              <w:top w:val="single" w:sz="4" w:space="0" w:color="auto"/>
              <w:left w:val="nil"/>
              <w:bottom w:val="single" w:sz="4" w:space="0" w:color="auto"/>
              <w:right w:val="single" w:sz="4" w:space="0" w:color="auto"/>
            </w:tcBorders>
            <w:shd w:val="clear" w:color="000000" w:fill="DDD9C3"/>
            <w:noWrap/>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w:t>
            </w:r>
          </w:p>
        </w:tc>
      </w:tr>
      <w:tr w:rsidR="00B22088" w:rsidRPr="00B22088" w:rsidTr="00B22088">
        <w:trPr>
          <w:trHeight w:val="975"/>
        </w:trPr>
        <w:tc>
          <w:tcPr>
            <w:tcW w:w="1960" w:type="dxa"/>
            <w:tcBorders>
              <w:top w:val="nil"/>
              <w:left w:val="single" w:sz="4" w:space="0" w:color="auto"/>
              <w:bottom w:val="single" w:sz="4" w:space="0" w:color="auto"/>
              <w:right w:val="single" w:sz="4" w:space="0" w:color="auto"/>
            </w:tcBorders>
            <w:shd w:val="clear" w:color="000000" w:fill="DDD9C3"/>
            <w:noWrap/>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EIA Form and Title</w:t>
            </w:r>
          </w:p>
        </w:tc>
        <w:tc>
          <w:tcPr>
            <w:tcW w:w="1040" w:type="dxa"/>
            <w:tcBorders>
              <w:top w:val="nil"/>
              <w:left w:val="nil"/>
              <w:bottom w:val="single" w:sz="4" w:space="0" w:color="auto"/>
              <w:right w:val="single" w:sz="4" w:space="0" w:color="auto"/>
            </w:tcBorders>
            <w:shd w:val="clear" w:color="000000" w:fill="DDD9C3"/>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Old Number of Respondents Per Year</w:t>
            </w:r>
          </w:p>
        </w:tc>
        <w:tc>
          <w:tcPr>
            <w:tcW w:w="1040" w:type="dxa"/>
            <w:tcBorders>
              <w:top w:val="nil"/>
              <w:left w:val="nil"/>
              <w:bottom w:val="single" w:sz="4" w:space="0" w:color="auto"/>
              <w:right w:val="single" w:sz="4" w:space="0" w:color="auto"/>
            </w:tcBorders>
            <w:shd w:val="clear" w:color="000000" w:fill="DDD9C3"/>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New Number of Respondents Per Year</w:t>
            </w:r>
          </w:p>
        </w:tc>
        <w:tc>
          <w:tcPr>
            <w:tcW w:w="960" w:type="dxa"/>
            <w:tcBorders>
              <w:top w:val="nil"/>
              <w:left w:val="nil"/>
              <w:bottom w:val="single" w:sz="4" w:space="0" w:color="auto"/>
              <w:right w:val="single" w:sz="4" w:space="0" w:color="auto"/>
            </w:tcBorders>
            <w:shd w:val="clear" w:color="000000" w:fill="DDD9C3"/>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Old Number of Annual Responses</w:t>
            </w:r>
          </w:p>
        </w:tc>
        <w:tc>
          <w:tcPr>
            <w:tcW w:w="960" w:type="dxa"/>
            <w:tcBorders>
              <w:top w:val="nil"/>
              <w:left w:val="nil"/>
              <w:bottom w:val="single" w:sz="4" w:space="0" w:color="auto"/>
              <w:right w:val="single" w:sz="4" w:space="0" w:color="auto"/>
            </w:tcBorders>
            <w:shd w:val="clear" w:color="000000" w:fill="DDD9C3"/>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New Number of Annual Responses</w:t>
            </w:r>
          </w:p>
        </w:tc>
        <w:tc>
          <w:tcPr>
            <w:tcW w:w="960" w:type="dxa"/>
            <w:tcBorders>
              <w:top w:val="nil"/>
              <w:left w:val="nil"/>
              <w:bottom w:val="single" w:sz="4" w:space="0" w:color="auto"/>
              <w:right w:val="single" w:sz="4" w:space="0" w:color="auto"/>
            </w:tcBorders>
            <w:shd w:val="clear" w:color="000000" w:fill="DDD9C3"/>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Change (Annual Responses)</w:t>
            </w:r>
          </w:p>
        </w:tc>
        <w:tc>
          <w:tcPr>
            <w:tcW w:w="960" w:type="dxa"/>
            <w:tcBorders>
              <w:top w:val="nil"/>
              <w:left w:val="nil"/>
              <w:bottom w:val="single" w:sz="4" w:space="0" w:color="auto"/>
              <w:right w:val="single" w:sz="4" w:space="0" w:color="auto"/>
            </w:tcBorders>
            <w:shd w:val="clear" w:color="000000" w:fill="DDD9C3"/>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Old Burden (Hours)</w:t>
            </w:r>
          </w:p>
        </w:tc>
        <w:tc>
          <w:tcPr>
            <w:tcW w:w="960" w:type="dxa"/>
            <w:tcBorders>
              <w:top w:val="nil"/>
              <w:left w:val="nil"/>
              <w:bottom w:val="single" w:sz="4" w:space="0" w:color="auto"/>
              <w:right w:val="single" w:sz="4" w:space="0" w:color="auto"/>
            </w:tcBorders>
            <w:shd w:val="clear" w:color="000000" w:fill="DDD9C3"/>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New Burden (Hours)</w:t>
            </w:r>
          </w:p>
        </w:tc>
        <w:tc>
          <w:tcPr>
            <w:tcW w:w="960" w:type="dxa"/>
            <w:tcBorders>
              <w:top w:val="nil"/>
              <w:left w:val="nil"/>
              <w:bottom w:val="single" w:sz="4" w:space="0" w:color="auto"/>
              <w:right w:val="single" w:sz="4" w:space="0" w:color="auto"/>
            </w:tcBorders>
            <w:shd w:val="clear" w:color="000000" w:fill="DDD9C3"/>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Change (Burden Hours)</w:t>
            </w:r>
          </w:p>
        </w:tc>
      </w:tr>
      <w:tr w:rsidR="00B22088" w:rsidRPr="00B22088" w:rsidTr="00B22088">
        <w:trPr>
          <w:trHeight w:val="96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Form EIA-411, "Coordinated Bulk Power Supply &amp; Demand Program"</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r>
      <w:tr w:rsidR="00B22088" w:rsidRPr="00B22088" w:rsidTr="00B22088">
        <w:trPr>
          <w:trHeight w:val="495"/>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color w:val="000000"/>
                <w:sz w:val="18"/>
                <w:szCs w:val="18"/>
              </w:rPr>
            </w:pPr>
            <w:r w:rsidRPr="00B22088">
              <w:rPr>
                <w:rFonts w:eastAsia="Times New Roman"/>
                <w:color w:val="000000"/>
                <w:sz w:val="18"/>
                <w:szCs w:val="18"/>
              </w:rPr>
              <w:t>EIA-411 (NERC Regions)</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8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8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8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960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960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r>
      <w:tr w:rsidR="00B22088" w:rsidRPr="00B22088" w:rsidTr="00B22088">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color w:val="000000"/>
                <w:sz w:val="18"/>
                <w:szCs w:val="18"/>
              </w:rPr>
            </w:pPr>
            <w:r w:rsidRPr="00B22088">
              <w:rPr>
                <w:rFonts w:eastAsia="Times New Roman"/>
                <w:color w:val="000000"/>
                <w:sz w:val="18"/>
                <w:szCs w:val="18"/>
              </w:rPr>
              <w:t>EIA-411 (Members)</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800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800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800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12,800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12,800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r>
      <w:tr w:rsidR="00B22088" w:rsidRPr="00B22088" w:rsidTr="00B22088">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xml:space="preserve">  Total for EIA-411</w:t>
            </w:r>
          </w:p>
        </w:tc>
        <w:tc>
          <w:tcPr>
            <w:tcW w:w="1040" w:type="dxa"/>
            <w:tcBorders>
              <w:top w:val="nil"/>
              <w:left w:val="nil"/>
              <w:bottom w:val="single" w:sz="4" w:space="0" w:color="auto"/>
              <w:right w:val="single" w:sz="4" w:space="0" w:color="auto"/>
            </w:tcBorders>
            <w:shd w:val="clear" w:color="auto" w:fill="auto"/>
            <w:noWrap/>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w:t>
            </w:r>
          </w:p>
        </w:tc>
        <w:tc>
          <w:tcPr>
            <w:tcW w:w="1040" w:type="dxa"/>
            <w:tcBorders>
              <w:top w:val="nil"/>
              <w:left w:val="nil"/>
              <w:bottom w:val="single" w:sz="4" w:space="0" w:color="auto"/>
              <w:right w:val="single" w:sz="4" w:space="0" w:color="auto"/>
            </w:tcBorders>
            <w:shd w:val="clear" w:color="auto" w:fill="auto"/>
            <w:noWrap/>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808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808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13,760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13,760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0 </w:t>
            </w:r>
          </w:p>
        </w:tc>
      </w:tr>
      <w:tr w:rsidR="00B22088" w:rsidRPr="00B22088" w:rsidTr="00B22088">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color w:val="000000"/>
                <w:sz w:val="18"/>
                <w:szCs w:val="18"/>
              </w:rPr>
            </w:pPr>
            <w:r w:rsidRPr="00B22088">
              <w:rPr>
                <w:rFonts w:eastAsia="Times New Roman"/>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r>
      <w:tr w:rsidR="00B22088" w:rsidRPr="00B22088" w:rsidTr="00B22088">
        <w:trPr>
          <w:trHeight w:val="975"/>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Form EIA-826, "Monthly Electric Sales and Revenue with State Distribution Report"</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480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5,760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5,760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9,216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9,216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0 </w:t>
            </w:r>
          </w:p>
        </w:tc>
      </w:tr>
      <w:tr w:rsidR="00B22088" w:rsidRPr="00B22088" w:rsidTr="00B22088">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color w:val="000000"/>
                <w:sz w:val="18"/>
                <w:szCs w:val="18"/>
              </w:rPr>
            </w:pPr>
            <w:r w:rsidRPr="00B22088">
              <w:rPr>
                <w:rFonts w:eastAsia="Times New Roman"/>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r>
      <w:tr w:rsidR="00B22088" w:rsidRPr="00B22088" w:rsidTr="00B22088">
        <w:trPr>
          <w:trHeight w:val="735"/>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Form EIA-860, "Annual Electric Generator Report"</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r>
      <w:tr w:rsidR="00B22088" w:rsidRPr="00B22088" w:rsidTr="00B22088">
        <w:trPr>
          <w:trHeight w:val="735"/>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color w:val="000000"/>
                <w:sz w:val="18"/>
                <w:szCs w:val="18"/>
              </w:rPr>
            </w:pPr>
            <w:r w:rsidRPr="00B22088">
              <w:rPr>
                <w:rFonts w:eastAsia="Times New Roman"/>
                <w:color w:val="000000"/>
                <w:sz w:val="18"/>
                <w:szCs w:val="18"/>
              </w:rPr>
              <w:t>EIA-860 (Filers with Environmental Information)</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908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908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908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11,350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11,350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r>
      <w:tr w:rsidR="00B22088" w:rsidRPr="00B22088" w:rsidTr="00B22088">
        <w:trPr>
          <w:trHeight w:val="735"/>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color w:val="000000"/>
                <w:sz w:val="18"/>
                <w:szCs w:val="18"/>
              </w:rPr>
            </w:pPr>
            <w:r w:rsidRPr="00B22088">
              <w:rPr>
                <w:rFonts w:eastAsia="Times New Roman"/>
                <w:color w:val="000000"/>
                <w:sz w:val="18"/>
                <w:szCs w:val="18"/>
              </w:rPr>
              <w:t>EIA-860 (Filers without Environmental Information)</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1,045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1,045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1,045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7,054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7,054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r>
      <w:tr w:rsidR="00B22088" w:rsidRPr="00B22088" w:rsidTr="00B22088">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xml:space="preserve">  Total for EIA-860</w:t>
            </w:r>
          </w:p>
        </w:tc>
        <w:tc>
          <w:tcPr>
            <w:tcW w:w="1040" w:type="dxa"/>
            <w:tcBorders>
              <w:top w:val="nil"/>
              <w:left w:val="nil"/>
              <w:bottom w:val="single" w:sz="4" w:space="0" w:color="auto"/>
              <w:right w:val="single" w:sz="4" w:space="0" w:color="auto"/>
            </w:tcBorders>
            <w:shd w:val="clear" w:color="auto" w:fill="auto"/>
            <w:noWrap/>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1,953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1,953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18,404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18,404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0 </w:t>
            </w:r>
          </w:p>
        </w:tc>
      </w:tr>
      <w:tr w:rsidR="00B22088" w:rsidRPr="00B22088" w:rsidTr="00B22088">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color w:val="000000"/>
                <w:sz w:val="18"/>
                <w:szCs w:val="18"/>
              </w:rPr>
            </w:pPr>
            <w:r w:rsidRPr="00B22088">
              <w:rPr>
                <w:rFonts w:eastAsia="Times New Roman"/>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r>
      <w:tr w:rsidR="00B22088" w:rsidRPr="00B22088" w:rsidTr="00B22088">
        <w:trPr>
          <w:trHeight w:val="975"/>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Form EIA-860M, "Monthly Update to the Annual Electric Generator Report"</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124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682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682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205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205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0 </w:t>
            </w:r>
          </w:p>
        </w:tc>
      </w:tr>
      <w:tr w:rsidR="00B22088" w:rsidRPr="00B22088" w:rsidTr="00B22088">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r>
      <w:tr w:rsidR="00B22088" w:rsidRPr="00B22088" w:rsidTr="00B22088">
        <w:trPr>
          <w:trHeight w:val="735"/>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Form EIA-861, "Annual Electric Power Industry Report"</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3,300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2,200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3,300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2,200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(1,100)</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29,502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19,800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(9,702)</w:t>
            </w:r>
          </w:p>
        </w:tc>
      </w:tr>
      <w:tr w:rsidR="00B22088" w:rsidRPr="00B22088" w:rsidTr="00B22088">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color w:val="000000"/>
                <w:sz w:val="18"/>
                <w:szCs w:val="18"/>
              </w:rPr>
            </w:pPr>
            <w:r w:rsidRPr="00B22088">
              <w:rPr>
                <w:rFonts w:eastAsia="Times New Roman"/>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r>
      <w:tr w:rsidR="00B22088" w:rsidRPr="00B22088" w:rsidTr="00B22088">
        <w:trPr>
          <w:trHeight w:val="735"/>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Form EIA-861S,"Annual Electric Power Industry Report (Short Form)"</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N/A</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1,100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N/A</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1,100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1,100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N/A</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825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825 </w:t>
            </w:r>
          </w:p>
        </w:tc>
      </w:tr>
      <w:tr w:rsidR="00B22088" w:rsidRPr="00B22088" w:rsidTr="00B22088">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r>
      <w:tr w:rsidR="00B22088" w:rsidRPr="00B22088" w:rsidTr="00B22088">
        <w:trPr>
          <w:trHeight w:val="735"/>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Form EIA-923, "Power Plant Operations Report (Annual)"</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r>
      <w:tr w:rsidR="00B22088" w:rsidRPr="00B22088" w:rsidTr="00B22088">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color w:val="000000"/>
                <w:sz w:val="18"/>
                <w:szCs w:val="18"/>
              </w:rPr>
            </w:pPr>
            <w:r w:rsidRPr="00B22088">
              <w:rPr>
                <w:rFonts w:eastAsia="Times New Roman"/>
                <w:color w:val="000000"/>
                <w:sz w:val="18"/>
                <w:szCs w:val="18"/>
              </w:rPr>
              <w:t>Monthly</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1,776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21,312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21,312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57,542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42,411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(15,131)</w:t>
            </w:r>
          </w:p>
        </w:tc>
      </w:tr>
      <w:tr w:rsidR="00B22088" w:rsidRPr="00B22088" w:rsidTr="00B22088">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color w:val="000000"/>
                <w:sz w:val="18"/>
                <w:szCs w:val="18"/>
              </w:rPr>
            </w:pPr>
            <w:r w:rsidRPr="00B22088">
              <w:rPr>
                <w:rFonts w:eastAsia="Times New Roman"/>
                <w:color w:val="000000"/>
                <w:sz w:val="18"/>
                <w:szCs w:val="18"/>
              </w:rPr>
              <w:t>Annual</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3,805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3,805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3,805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12,176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12,062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(114)</w:t>
            </w:r>
          </w:p>
        </w:tc>
      </w:tr>
      <w:tr w:rsidR="00B22088" w:rsidRPr="00B22088" w:rsidTr="00B22088">
        <w:trPr>
          <w:trHeight w:val="1215"/>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color w:val="000000"/>
                <w:sz w:val="18"/>
                <w:szCs w:val="18"/>
              </w:rPr>
            </w:pPr>
            <w:r w:rsidRPr="00B22088">
              <w:rPr>
                <w:rFonts w:eastAsia="Times New Roman"/>
                <w:color w:val="000000"/>
                <w:sz w:val="18"/>
                <w:szCs w:val="18"/>
              </w:rPr>
              <w:t>Annual reporting requirement (Schedules 6, 7, and 8) for a portion of the monthly respondents</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1,360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1,360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1,360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5,984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5,984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xml:space="preserve">0 </w:t>
            </w:r>
          </w:p>
        </w:tc>
      </w:tr>
      <w:tr w:rsidR="00B22088" w:rsidRPr="00B22088" w:rsidTr="00B22088">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xml:space="preserve">  Total for EIA-923</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26,477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26,477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75,702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60,457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(15,245)</w:t>
            </w:r>
          </w:p>
        </w:tc>
      </w:tr>
      <w:tr w:rsidR="00B22088" w:rsidRPr="00B22088" w:rsidTr="00B22088">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rPr>
                <w:rFonts w:eastAsia="Times New Roman"/>
                <w:color w:val="000000"/>
                <w:sz w:val="18"/>
                <w:szCs w:val="18"/>
              </w:rPr>
            </w:pPr>
            <w:r w:rsidRPr="00B22088">
              <w:rPr>
                <w:rFonts w:eastAsia="Times New Roman"/>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104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color w:val="000000"/>
                <w:sz w:val="18"/>
                <w:szCs w:val="18"/>
              </w:rPr>
            </w:pPr>
            <w:r w:rsidRPr="00B22088">
              <w:rPr>
                <w:rFonts w:eastAsia="Times New Roman"/>
                <w:color w:val="000000"/>
                <w:sz w:val="18"/>
                <w:szCs w:val="18"/>
              </w:rPr>
              <w:t> </w:t>
            </w:r>
          </w:p>
        </w:tc>
      </w:tr>
      <w:tr w:rsidR="00B22088" w:rsidRPr="00B22088" w:rsidTr="00B22088">
        <w:trPr>
          <w:trHeight w:val="300"/>
        </w:trPr>
        <w:tc>
          <w:tcPr>
            <w:tcW w:w="1960" w:type="dxa"/>
            <w:tcBorders>
              <w:top w:val="nil"/>
              <w:left w:val="single" w:sz="4" w:space="0" w:color="auto"/>
              <w:bottom w:val="single" w:sz="4" w:space="0" w:color="auto"/>
              <w:right w:val="single" w:sz="4" w:space="0" w:color="auto"/>
            </w:tcBorders>
            <w:shd w:val="clear" w:color="auto" w:fill="auto"/>
            <w:noWrap/>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xml:space="preserve">    Total Net Change</w:t>
            </w:r>
          </w:p>
        </w:tc>
        <w:tc>
          <w:tcPr>
            <w:tcW w:w="1040" w:type="dxa"/>
            <w:tcBorders>
              <w:top w:val="nil"/>
              <w:left w:val="nil"/>
              <w:bottom w:val="single" w:sz="4" w:space="0" w:color="auto"/>
              <w:right w:val="nil"/>
            </w:tcBorders>
            <w:shd w:val="clear" w:color="auto" w:fill="auto"/>
            <w:noWrap/>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w:t>
            </w:r>
          </w:p>
        </w:tc>
        <w:tc>
          <w:tcPr>
            <w:tcW w:w="1040" w:type="dxa"/>
            <w:tcBorders>
              <w:top w:val="nil"/>
              <w:left w:val="single" w:sz="4" w:space="0" w:color="auto"/>
              <w:bottom w:val="single" w:sz="4" w:space="0" w:color="auto"/>
              <w:right w:val="nil"/>
            </w:tcBorders>
            <w:shd w:val="clear" w:color="auto" w:fill="auto"/>
            <w:noWrap/>
            <w:vAlign w:val="bottom"/>
            <w:hideMark/>
          </w:tcPr>
          <w:p w:rsidR="00B22088" w:rsidRPr="00B22088" w:rsidRDefault="00B22088" w:rsidP="00B22088">
            <w:pPr>
              <w:spacing w:after="0" w:line="240" w:lineRule="auto"/>
              <w:rPr>
                <w:rFonts w:eastAsia="Times New Roman"/>
                <w:b/>
                <w:bCs/>
                <w:color w:val="000000"/>
                <w:sz w:val="18"/>
                <w:szCs w:val="18"/>
              </w:rPr>
            </w:pPr>
            <w:r w:rsidRPr="00B22088">
              <w:rPr>
                <w:rFonts w:eastAsia="Times New Roman"/>
                <w:b/>
                <w:bCs/>
                <w:color w:val="000000"/>
                <w:sz w:val="18"/>
                <w:szCs w:val="18"/>
              </w:rPr>
              <w:t> </w:t>
            </w:r>
          </w:p>
        </w:tc>
        <w:tc>
          <w:tcPr>
            <w:tcW w:w="960" w:type="dxa"/>
            <w:tcBorders>
              <w:top w:val="nil"/>
              <w:left w:val="single" w:sz="4" w:space="0" w:color="auto"/>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38,980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38,980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0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146,789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 xml:space="preserve">122,667 </w:t>
            </w:r>
          </w:p>
        </w:tc>
        <w:tc>
          <w:tcPr>
            <w:tcW w:w="960" w:type="dxa"/>
            <w:tcBorders>
              <w:top w:val="nil"/>
              <w:left w:val="nil"/>
              <w:bottom w:val="single" w:sz="4" w:space="0" w:color="auto"/>
              <w:right w:val="single" w:sz="4" w:space="0" w:color="auto"/>
            </w:tcBorders>
            <w:shd w:val="clear" w:color="auto" w:fill="auto"/>
            <w:vAlign w:val="bottom"/>
            <w:hideMark/>
          </w:tcPr>
          <w:p w:rsidR="00B22088" w:rsidRPr="00B22088" w:rsidRDefault="00B22088" w:rsidP="00B22088">
            <w:pPr>
              <w:spacing w:after="0" w:line="240" w:lineRule="auto"/>
              <w:jc w:val="center"/>
              <w:rPr>
                <w:rFonts w:eastAsia="Times New Roman"/>
                <w:b/>
                <w:bCs/>
                <w:color w:val="000000"/>
                <w:sz w:val="18"/>
                <w:szCs w:val="18"/>
              </w:rPr>
            </w:pPr>
            <w:r w:rsidRPr="00B22088">
              <w:rPr>
                <w:rFonts w:eastAsia="Times New Roman"/>
                <w:b/>
                <w:bCs/>
                <w:color w:val="000000"/>
                <w:sz w:val="18"/>
                <w:szCs w:val="18"/>
              </w:rPr>
              <w:t>(24,122)</w:t>
            </w:r>
          </w:p>
        </w:tc>
      </w:tr>
    </w:tbl>
    <w:p w:rsidR="007D7534" w:rsidRDefault="007D7534">
      <w:pPr>
        <w:spacing w:after="0" w:line="240" w:lineRule="auto"/>
        <w:rPr>
          <w:rFonts w:asciiTheme="minorHAnsi" w:eastAsia="Times New Roman" w:hAnsiTheme="minorHAnsi" w:cstheme="minorHAnsi"/>
          <w:b/>
          <w:sz w:val="24"/>
          <w:szCs w:val="20"/>
        </w:rPr>
      </w:pPr>
      <w:r>
        <w:rPr>
          <w:rFonts w:asciiTheme="minorHAnsi" w:eastAsia="Times New Roman" w:hAnsiTheme="minorHAnsi" w:cstheme="minorHAnsi"/>
          <w:bCs/>
          <w:sz w:val="24"/>
          <w:szCs w:val="20"/>
        </w:rPr>
        <w:br w:type="page"/>
      </w:r>
    </w:p>
    <w:p w:rsidR="00A95FE0" w:rsidRPr="008B54F1" w:rsidRDefault="00A95FE0" w:rsidP="000A47ED">
      <w:pPr>
        <w:pStyle w:val="Heading2"/>
      </w:pPr>
      <w:bookmarkStart w:id="80" w:name="_Toc343524163"/>
      <w:r w:rsidRPr="008B54F1">
        <w:t>A.16. Collection, Tabulation, and Publication Plans</w:t>
      </w:r>
      <w:bookmarkEnd w:id="74"/>
      <w:bookmarkEnd w:id="75"/>
      <w:bookmarkEnd w:id="76"/>
      <w:bookmarkEnd w:id="77"/>
      <w:bookmarkEnd w:id="78"/>
      <w:bookmarkEnd w:id="79"/>
      <w:bookmarkEnd w:id="80"/>
    </w:p>
    <w:p w:rsidR="00961491" w:rsidRDefault="00961491" w:rsidP="009614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heme="minorHAnsi"/>
        </w:rPr>
      </w:pPr>
    </w:p>
    <w:p w:rsidR="00961491" w:rsidRDefault="00961491" w:rsidP="0096149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cstheme="minorHAnsi"/>
        </w:rPr>
      </w:pPr>
      <w:r>
        <w:rPr>
          <w:rFonts w:cstheme="minorHAnsi"/>
        </w:rPr>
        <w:t>The data collected on the Forms EIA-861, EIA-861S, and EIA-923 wil</w:t>
      </w:r>
      <w:r w:rsidRPr="000D6A2A">
        <w:rPr>
          <w:rFonts w:cstheme="minorHAnsi"/>
        </w:rPr>
        <w:t xml:space="preserve">l be </w:t>
      </w:r>
      <w:r>
        <w:rPr>
          <w:rFonts w:cstheme="minorHAnsi"/>
        </w:rPr>
        <w:t>aggregated</w:t>
      </w:r>
      <w:r w:rsidRPr="000D6A2A">
        <w:rPr>
          <w:rFonts w:cstheme="minorHAnsi"/>
        </w:rPr>
        <w:t xml:space="preserve"> in EIA reports and made available on the EIA website</w:t>
      </w:r>
      <w:r>
        <w:rPr>
          <w:rFonts w:cstheme="minorHAnsi"/>
        </w:rPr>
        <w:t xml:space="preserve"> (Table</w:t>
      </w:r>
      <w:r w:rsidR="00E65E20">
        <w:rPr>
          <w:rFonts w:cstheme="minorHAnsi"/>
        </w:rPr>
        <w:t xml:space="preserve"> 5</w:t>
      </w:r>
      <w:r>
        <w:rPr>
          <w:rFonts w:cstheme="minorHAnsi"/>
        </w:rPr>
        <w:t>)</w:t>
      </w:r>
      <w:r w:rsidRPr="000D6A2A">
        <w:rPr>
          <w:rFonts w:cstheme="minorHAnsi"/>
        </w:rPr>
        <w:t xml:space="preserve">.  </w:t>
      </w:r>
    </w:p>
    <w:tbl>
      <w:tblPr>
        <w:tblW w:w="0" w:type="auto"/>
        <w:tblLook w:val="04A0"/>
      </w:tblPr>
      <w:tblGrid>
        <w:gridCol w:w="1177"/>
        <w:gridCol w:w="1157"/>
        <w:gridCol w:w="1721"/>
        <w:gridCol w:w="1554"/>
        <w:gridCol w:w="1297"/>
        <w:gridCol w:w="1368"/>
        <w:gridCol w:w="1302"/>
      </w:tblGrid>
      <w:tr w:rsidR="00A432C2" w:rsidRPr="00D41034" w:rsidTr="00E65E20">
        <w:tc>
          <w:tcPr>
            <w:tcW w:w="0" w:type="auto"/>
            <w:gridSpan w:val="7"/>
            <w:shd w:val="clear" w:color="auto" w:fill="EEECE1" w:themeFill="background2"/>
            <w:vAlign w:val="center"/>
          </w:tcPr>
          <w:p w:rsidR="00A432C2" w:rsidRPr="00E65E20" w:rsidRDefault="00A432C2" w:rsidP="00E65E20">
            <w:pPr>
              <w:jc w:val="center"/>
              <w:rPr>
                <w:rFonts w:asciiTheme="minorHAnsi" w:hAnsiTheme="minorHAnsi"/>
                <w:b/>
                <w:sz w:val="24"/>
                <w:szCs w:val="24"/>
              </w:rPr>
            </w:pPr>
            <w:r w:rsidRPr="00E65E20">
              <w:rPr>
                <w:rFonts w:asciiTheme="minorHAnsi" w:hAnsiTheme="minorHAnsi"/>
                <w:b/>
                <w:sz w:val="24"/>
                <w:szCs w:val="24"/>
              </w:rPr>
              <w:t xml:space="preserve">Table </w:t>
            </w:r>
            <w:r w:rsidR="00E65E20">
              <w:rPr>
                <w:rFonts w:asciiTheme="minorHAnsi" w:hAnsiTheme="minorHAnsi"/>
                <w:b/>
                <w:sz w:val="24"/>
                <w:szCs w:val="24"/>
              </w:rPr>
              <w:t>5</w:t>
            </w:r>
            <w:r w:rsidRPr="00E65E20">
              <w:rPr>
                <w:rFonts w:asciiTheme="minorHAnsi" w:hAnsiTheme="minorHAnsi"/>
                <w:b/>
                <w:sz w:val="24"/>
                <w:szCs w:val="24"/>
              </w:rPr>
              <w:t>.  Collection, Tabulation, and Publication Plans</w:t>
            </w:r>
          </w:p>
        </w:tc>
      </w:tr>
      <w:tr w:rsidR="00032ED1" w:rsidRPr="00D41034" w:rsidTr="005A6D16">
        <w:tc>
          <w:tcPr>
            <w:tcW w:w="0" w:type="auto"/>
            <w:shd w:val="clear" w:color="auto" w:fill="EEECE1" w:themeFill="background2"/>
            <w:vAlign w:val="center"/>
          </w:tcPr>
          <w:p w:rsidR="00A432C2" w:rsidRPr="005A6D16" w:rsidRDefault="00A432C2" w:rsidP="0090383E">
            <w:pPr>
              <w:jc w:val="center"/>
              <w:rPr>
                <w:rFonts w:ascii="Times New Roman" w:hAnsi="Times New Roman"/>
                <w:b/>
                <w:sz w:val="18"/>
                <w:szCs w:val="18"/>
              </w:rPr>
            </w:pPr>
            <w:r w:rsidRPr="005A6D16">
              <w:rPr>
                <w:rFonts w:ascii="Times New Roman" w:hAnsi="Times New Roman"/>
                <w:b/>
                <w:sz w:val="18"/>
                <w:szCs w:val="18"/>
              </w:rPr>
              <w:t>Survey Form</w:t>
            </w:r>
          </w:p>
        </w:tc>
        <w:tc>
          <w:tcPr>
            <w:tcW w:w="0" w:type="auto"/>
            <w:shd w:val="clear" w:color="auto" w:fill="EEECE1" w:themeFill="background2"/>
            <w:vAlign w:val="center"/>
          </w:tcPr>
          <w:p w:rsidR="00A432C2" w:rsidRPr="005A6D16" w:rsidRDefault="00A432C2" w:rsidP="0090383E">
            <w:pPr>
              <w:jc w:val="center"/>
              <w:rPr>
                <w:rFonts w:ascii="Times New Roman" w:hAnsi="Times New Roman"/>
                <w:b/>
                <w:sz w:val="18"/>
                <w:szCs w:val="18"/>
              </w:rPr>
            </w:pPr>
            <w:r w:rsidRPr="005A6D16">
              <w:rPr>
                <w:rFonts w:ascii="Times New Roman" w:hAnsi="Times New Roman"/>
                <w:b/>
                <w:sz w:val="18"/>
                <w:szCs w:val="18"/>
              </w:rPr>
              <w:t>Data Collection Frequency</w:t>
            </w:r>
          </w:p>
        </w:tc>
        <w:tc>
          <w:tcPr>
            <w:tcW w:w="0" w:type="auto"/>
            <w:shd w:val="clear" w:color="auto" w:fill="EEECE1" w:themeFill="background2"/>
            <w:vAlign w:val="center"/>
          </w:tcPr>
          <w:p w:rsidR="00A432C2" w:rsidRPr="005A6D16" w:rsidRDefault="002E5432" w:rsidP="002E5432">
            <w:pPr>
              <w:jc w:val="center"/>
              <w:rPr>
                <w:rFonts w:ascii="Times New Roman" w:hAnsi="Times New Roman"/>
                <w:b/>
                <w:sz w:val="18"/>
                <w:szCs w:val="18"/>
              </w:rPr>
            </w:pPr>
            <w:r>
              <w:rPr>
                <w:rFonts w:ascii="Times New Roman" w:hAnsi="Times New Roman"/>
                <w:b/>
                <w:sz w:val="18"/>
                <w:szCs w:val="18"/>
              </w:rPr>
              <w:t>Survey Opening</w:t>
            </w:r>
            <w:r w:rsidR="00A432C2" w:rsidRPr="005A6D16">
              <w:rPr>
                <w:rFonts w:ascii="Times New Roman" w:hAnsi="Times New Roman"/>
                <w:b/>
                <w:sz w:val="18"/>
                <w:szCs w:val="18"/>
              </w:rPr>
              <w:t xml:space="preserve"> Date</w:t>
            </w:r>
          </w:p>
        </w:tc>
        <w:tc>
          <w:tcPr>
            <w:tcW w:w="0" w:type="auto"/>
            <w:shd w:val="clear" w:color="auto" w:fill="EEECE1" w:themeFill="background2"/>
            <w:vAlign w:val="center"/>
          </w:tcPr>
          <w:p w:rsidR="00A432C2" w:rsidRPr="005A6D16" w:rsidRDefault="00A432C2" w:rsidP="0090383E">
            <w:pPr>
              <w:jc w:val="center"/>
              <w:rPr>
                <w:rFonts w:ascii="Times New Roman" w:hAnsi="Times New Roman"/>
                <w:b/>
                <w:sz w:val="18"/>
                <w:szCs w:val="18"/>
              </w:rPr>
            </w:pPr>
            <w:r w:rsidRPr="005A6D16">
              <w:rPr>
                <w:rFonts w:ascii="Times New Roman" w:hAnsi="Times New Roman"/>
                <w:b/>
                <w:sz w:val="18"/>
                <w:szCs w:val="18"/>
              </w:rPr>
              <w:t>Response Due Date</w:t>
            </w:r>
          </w:p>
        </w:tc>
        <w:tc>
          <w:tcPr>
            <w:tcW w:w="0" w:type="auto"/>
            <w:shd w:val="clear" w:color="auto" w:fill="EEECE1" w:themeFill="background2"/>
            <w:vAlign w:val="center"/>
          </w:tcPr>
          <w:p w:rsidR="00A432C2" w:rsidRPr="005A6D16" w:rsidRDefault="00A432C2" w:rsidP="0090383E">
            <w:pPr>
              <w:jc w:val="center"/>
              <w:rPr>
                <w:rFonts w:ascii="Times New Roman" w:hAnsi="Times New Roman"/>
                <w:b/>
                <w:sz w:val="18"/>
                <w:szCs w:val="18"/>
              </w:rPr>
            </w:pPr>
            <w:r w:rsidRPr="005A6D16">
              <w:rPr>
                <w:rFonts w:ascii="Times New Roman" w:hAnsi="Times New Roman"/>
                <w:b/>
                <w:sz w:val="18"/>
                <w:szCs w:val="18"/>
              </w:rPr>
              <w:t>Date Final Data are Ready for Tabulation</w:t>
            </w:r>
          </w:p>
        </w:tc>
        <w:tc>
          <w:tcPr>
            <w:tcW w:w="0" w:type="auto"/>
            <w:shd w:val="clear" w:color="auto" w:fill="EEECE1" w:themeFill="background2"/>
            <w:vAlign w:val="center"/>
          </w:tcPr>
          <w:p w:rsidR="00A432C2" w:rsidRPr="005A6D16" w:rsidRDefault="00A432C2" w:rsidP="002E5432">
            <w:pPr>
              <w:jc w:val="center"/>
              <w:rPr>
                <w:rFonts w:ascii="Times New Roman" w:hAnsi="Times New Roman"/>
                <w:b/>
                <w:sz w:val="18"/>
                <w:szCs w:val="18"/>
              </w:rPr>
            </w:pPr>
            <w:r w:rsidRPr="005A6D16">
              <w:rPr>
                <w:rFonts w:ascii="Times New Roman" w:hAnsi="Times New Roman"/>
                <w:b/>
                <w:sz w:val="18"/>
                <w:szCs w:val="18"/>
              </w:rPr>
              <w:t>Publications</w:t>
            </w:r>
          </w:p>
        </w:tc>
        <w:tc>
          <w:tcPr>
            <w:tcW w:w="0" w:type="auto"/>
            <w:shd w:val="clear" w:color="auto" w:fill="EEECE1" w:themeFill="background2"/>
            <w:vAlign w:val="center"/>
          </w:tcPr>
          <w:p w:rsidR="00A432C2" w:rsidRPr="005A6D16" w:rsidRDefault="002E5432" w:rsidP="0090383E">
            <w:pPr>
              <w:jc w:val="center"/>
              <w:rPr>
                <w:rFonts w:ascii="Times New Roman" w:hAnsi="Times New Roman"/>
                <w:b/>
                <w:sz w:val="18"/>
                <w:szCs w:val="18"/>
              </w:rPr>
            </w:pPr>
            <w:r>
              <w:rPr>
                <w:rFonts w:ascii="Times New Roman" w:hAnsi="Times New Roman"/>
                <w:b/>
                <w:sz w:val="18"/>
                <w:szCs w:val="18"/>
              </w:rPr>
              <w:t>Publication and Data File Release Date</w:t>
            </w:r>
          </w:p>
        </w:tc>
      </w:tr>
      <w:tr w:rsidR="00032ED1" w:rsidRPr="00D41034" w:rsidTr="00D9245C">
        <w:trPr>
          <w:trHeight w:val="485"/>
        </w:trPr>
        <w:tc>
          <w:tcPr>
            <w:tcW w:w="0" w:type="auto"/>
            <w:vMerge w:val="restart"/>
            <w:vAlign w:val="center"/>
          </w:tcPr>
          <w:p w:rsidR="00A432C2" w:rsidRPr="00032ED1" w:rsidRDefault="00A432C2" w:rsidP="0090383E">
            <w:pPr>
              <w:jc w:val="center"/>
              <w:rPr>
                <w:rFonts w:ascii="Times New Roman" w:hAnsi="Times New Roman"/>
                <w:sz w:val="18"/>
                <w:szCs w:val="18"/>
              </w:rPr>
            </w:pPr>
            <w:r w:rsidRPr="00032ED1">
              <w:rPr>
                <w:rFonts w:ascii="Times New Roman" w:hAnsi="Times New Roman"/>
                <w:sz w:val="18"/>
                <w:szCs w:val="18"/>
              </w:rPr>
              <w:t>EIA-861</w:t>
            </w:r>
            <w:r w:rsidR="002E5432" w:rsidRPr="00032ED1">
              <w:rPr>
                <w:rFonts w:ascii="Times New Roman" w:hAnsi="Times New Roman"/>
                <w:sz w:val="18"/>
                <w:szCs w:val="18"/>
              </w:rPr>
              <w:t xml:space="preserve"> and EIA-861S (Proposed)</w:t>
            </w:r>
          </w:p>
        </w:tc>
        <w:tc>
          <w:tcPr>
            <w:tcW w:w="0" w:type="auto"/>
            <w:vMerge w:val="restart"/>
            <w:vAlign w:val="center"/>
          </w:tcPr>
          <w:p w:rsidR="00A432C2" w:rsidRPr="00032ED1" w:rsidRDefault="00A432C2" w:rsidP="0090383E">
            <w:pPr>
              <w:jc w:val="center"/>
              <w:rPr>
                <w:rFonts w:ascii="Times New Roman" w:hAnsi="Times New Roman"/>
                <w:sz w:val="18"/>
                <w:szCs w:val="18"/>
              </w:rPr>
            </w:pPr>
            <w:r w:rsidRPr="00032ED1">
              <w:rPr>
                <w:rFonts w:ascii="Times New Roman" w:hAnsi="Times New Roman"/>
                <w:sz w:val="18"/>
                <w:szCs w:val="18"/>
              </w:rPr>
              <w:t>Annually</w:t>
            </w:r>
          </w:p>
        </w:tc>
        <w:tc>
          <w:tcPr>
            <w:tcW w:w="0" w:type="auto"/>
            <w:vMerge w:val="restart"/>
            <w:vAlign w:val="center"/>
          </w:tcPr>
          <w:p w:rsidR="00A432C2" w:rsidRPr="00032ED1" w:rsidRDefault="00A432C2" w:rsidP="0090383E">
            <w:pPr>
              <w:jc w:val="center"/>
              <w:rPr>
                <w:rFonts w:ascii="Times New Roman" w:hAnsi="Times New Roman"/>
                <w:sz w:val="18"/>
                <w:szCs w:val="18"/>
              </w:rPr>
            </w:pPr>
            <w:r w:rsidRPr="00032ED1">
              <w:rPr>
                <w:rFonts w:ascii="Times New Roman" w:hAnsi="Times New Roman"/>
                <w:sz w:val="18"/>
                <w:szCs w:val="18"/>
              </w:rPr>
              <w:t>First Week in January</w:t>
            </w:r>
          </w:p>
        </w:tc>
        <w:tc>
          <w:tcPr>
            <w:tcW w:w="0" w:type="auto"/>
            <w:vMerge w:val="restart"/>
            <w:vAlign w:val="center"/>
          </w:tcPr>
          <w:p w:rsidR="00A432C2" w:rsidRPr="00032ED1" w:rsidRDefault="00A432C2" w:rsidP="00E65E20">
            <w:pPr>
              <w:jc w:val="center"/>
              <w:rPr>
                <w:rFonts w:ascii="Times New Roman" w:hAnsi="Times New Roman"/>
                <w:sz w:val="18"/>
                <w:szCs w:val="18"/>
              </w:rPr>
            </w:pPr>
            <w:r w:rsidRPr="00032ED1">
              <w:rPr>
                <w:rFonts w:ascii="Times New Roman" w:hAnsi="Times New Roman"/>
                <w:sz w:val="18"/>
                <w:szCs w:val="18"/>
              </w:rPr>
              <w:t>April 30</w:t>
            </w:r>
          </w:p>
        </w:tc>
        <w:tc>
          <w:tcPr>
            <w:tcW w:w="0" w:type="auto"/>
            <w:vMerge w:val="restart"/>
            <w:vAlign w:val="center"/>
          </w:tcPr>
          <w:p w:rsidR="00A432C2" w:rsidRPr="00032ED1" w:rsidRDefault="00A432C2" w:rsidP="0090383E">
            <w:pPr>
              <w:jc w:val="center"/>
              <w:rPr>
                <w:rFonts w:ascii="Times New Roman" w:hAnsi="Times New Roman"/>
                <w:sz w:val="18"/>
                <w:szCs w:val="18"/>
              </w:rPr>
            </w:pPr>
            <w:r w:rsidRPr="00032ED1">
              <w:rPr>
                <w:rFonts w:ascii="Times New Roman" w:hAnsi="Times New Roman"/>
                <w:sz w:val="18"/>
                <w:szCs w:val="18"/>
              </w:rPr>
              <w:t>August 31</w:t>
            </w:r>
          </w:p>
        </w:tc>
        <w:tc>
          <w:tcPr>
            <w:tcW w:w="0" w:type="auto"/>
            <w:vAlign w:val="center"/>
          </w:tcPr>
          <w:p w:rsidR="00A432C2" w:rsidRPr="00032ED1" w:rsidRDefault="00A432C2" w:rsidP="00D9245C">
            <w:pPr>
              <w:spacing w:before="60" w:after="60" w:line="240" w:lineRule="auto"/>
              <w:jc w:val="center"/>
              <w:rPr>
                <w:rFonts w:ascii="Times New Roman" w:hAnsi="Times New Roman"/>
                <w:i/>
                <w:sz w:val="18"/>
                <w:szCs w:val="18"/>
              </w:rPr>
            </w:pPr>
            <w:r w:rsidRPr="00032ED1">
              <w:rPr>
                <w:rFonts w:ascii="Times New Roman" w:hAnsi="Times New Roman"/>
                <w:i/>
                <w:sz w:val="18"/>
                <w:szCs w:val="18"/>
              </w:rPr>
              <w:t>Electric Power Annual</w:t>
            </w:r>
          </w:p>
        </w:tc>
        <w:tc>
          <w:tcPr>
            <w:tcW w:w="0" w:type="auto"/>
            <w:vAlign w:val="center"/>
          </w:tcPr>
          <w:p w:rsidR="00A432C2" w:rsidRPr="005A6D16" w:rsidRDefault="00A432C2" w:rsidP="00D9245C">
            <w:pPr>
              <w:spacing w:before="60" w:after="60" w:line="240" w:lineRule="auto"/>
              <w:jc w:val="center"/>
              <w:rPr>
                <w:rFonts w:ascii="Times New Roman" w:hAnsi="Times New Roman"/>
                <w:sz w:val="18"/>
                <w:szCs w:val="18"/>
              </w:rPr>
            </w:pPr>
            <w:r w:rsidRPr="005A6D16">
              <w:rPr>
                <w:rFonts w:ascii="Times New Roman" w:hAnsi="Times New Roman"/>
                <w:sz w:val="18"/>
                <w:szCs w:val="18"/>
              </w:rPr>
              <w:t>October</w:t>
            </w:r>
          </w:p>
        </w:tc>
      </w:tr>
      <w:tr w:rsidR="00032ED1" w:rsidRPr="00D41034" w:rsidTr="00D9245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Align w:val="center"/>
          </w:tcPr>
          <w:p w:rsidR="00A432C2" w:rsidRPr="00032ED1" w:rsidRDefault="00A432C2" w:rsidP="00D9245C">
            <w:pPr>
              <w:spacing w:before="60" w:after="60" w:line="240" w:lineRule="auto"/>
              <w:jc w:val="center"/>
              <w:rPr>
                <w:rFonts w:ascii="Times New Roman" w:hAnsi="Times New Roman"/>
                <w:i/>
                <w:sz w:val="18"/>
                <w:szCs w:val="18"/>
              </w:rPr>
            </w:pPr>
            <w:r w:rsidRPr="00032ED1">
              <w:rPr>
                <w:rFonts w:ascii="Times New Roman" w:hAnsi="Times New Roman"/>
                <w:i/>
                <w:sz w:val="18"/>
                <w:szCs w:val="18"/>
              </w:rPr>
              <w:t>Electric Sales, Revenue, and Price Report</w:t>
            </w:r>
          </w:p>
        </w:tc>
        <w:tc>
          <w:tcPr>
            <w:tcW w:w="0" w:type="auto"/>
            <w:vAlign w:val="center"/>
          </w:tcPr>
          <w:p w:rsidR="00A432C2" w:rsidRPr="005A6D16" w:rsidRDefault="00A432C2" w:rsidP="00D9245C">
            <w:pPr>
              <w:spacing w:before="60" w:after="60" w:line="240" w:lineRule="auto"/>
              <w:jc w:val="center"/>
              <w:rPr>
                <w:rFonts w:ascii="Times New Roman" w:hAnsi="Times New Roman"/>
                <w:sz w:val="18"/>
                <w:szCs w:val="18"/>
              </w:rPr>
            </w:pPr>
            <w:r w:rsidRPr="005A6D16">
              <w:rPr>
                <w:rFonts w:ascii="Times New Roman" w:hAnsi="Times New Roman"/>
                <w:sz w:val="18"/>
                <w:szCs w:val="18"/>
              </w:rPr>
              <w:t>November</w:t>
            </w:r>
          </w:p>
        </w:tc>
      </w:tr>
      <w:tr w:rsidR="00032ED1" w:rsidRPr="00D41034" w:rsidTr="00D9245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Align w:val="center"/>
          </w:tcPr>
          <w:p w:rsidR="00A432C2" w:rsidRPr="00032ED1" w:rsidRDefault="00A432C2" w:rsidP="00D9245C">
            <w:pPr>
              <w:spacing w:before="60" w:after="60" w:line="240" w:lineRule="auto"/>
              <w:jc w:val="center"/>
              <w:rPr>
                <w:rFonts w:ascii="Times New Roman" w:hAnsi="Times New Roman"/>
                <w:i/>
                <w:sz w:val="18"/>
                <w:szCs w:val="18"/>
              </w:rPr>
            </w:pPr>
            <w:r w:rsidRPr="00032ED1">
              <w:rPr>
                <w:rFonts w:ascii="Times New Roman" w:hAnsi="Times New Roman"/>
                <w:i/>
                <w:sz w:val="18"/>
                <w:szCs w:val="18"/>
              </w:rPr>
              <w:t>Annual Energy Review</w:t>
            </w:r>
          </w:p>
        </w:tc>
        <w:tc>
          <w:tcPr>
            <w:tcW w:w="0" w:type="auto"/>
            <w:vAlign w:val="center"/>
          </w:tcPr>
          <w:p w:rsidR="00A432C2" w:rsidRPr="005A6D16" w:rsidRDefault="00A432C2" w:rsidP="00D9245C">
            <w:pPr>
              <w:spacing w:before="60" w:after="60" w:line="240" w:lineRule="auto"/>
              <w:jc w:val="center"/>
              <w:rPr>
                <w:rFonts w:ascii="Times New Roman" w:hAnsi="Times New Roman"/>
                <w:sz w:val="18"/>
                <w:szCs w:val="18"/>
              </w:rPr>
            </w:pPr>
            <w:r w:rsidRPr="005A6D16">
              <w:rPr>
                <w:rFonts w:ascii="Times New Roman" w:hAnsi="Times New Roman"/>
                <w:sz w:val="18"/>
                <w:szCs w:val="18"/>
              </w:rPr>
              <w:t>October</w:t>
            </w:r>
          </w:p>
        </w:tc>
      </w:tr>
      <w:tr w:rsidR="00032ED1" w:rsidRPr="00D41034" w:rsidTr="00D9245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Merge/>
            <w:vAlign w:val="center"/>
          </w:tcPr>
          <w:p w:rsidR="00A432C2" w:rsidRPr="00032ED1" w:rsidRDefault="00A432C2" w:rsidP="0090383E">
            <w:pPr>
              <w:jc w:val="center"/>
              <w:rPr>
                <w:rFonts w:ascii="Times New Roman" w:hAnsi="Times New Roman"/>
                <w:sz w:val="18"/>
                <w:szCs w:val="18"/>
              </w:rPr>
            </w:pPr>
          </w:p>
        </w:tc>
        <w:tc>
          <w:tcPr>
            <w:tcW w:w="0" w:type="auto"/>
            <w:vAlign w:val="center"/>
          </w:tcPr>
          <w:p w:rsidR="00A432C2" w:rsidRPr="00032ED1" w:rsidRDefault="00A432C2" w:rsidP="00D9245C">
            <w:pPr>
              <w:spacing w:before="60" w:after="60" w:line="240" w:lineRule="auto"/>
              <w:jc w:val="center"/>
              <w:rPr>
                <w:rFonts w:ascii="Times New Roman" w:hAnsi="Times New Roman"/>
                <w:i/>
                <w:sz w:val="18"/>
                <w:szCs w:val="18"/>
              </w:rPr>
            </w:pPr>
            <w:r w:rsidRPr="00032ED1">
              <w:rPr>
                <w:rFonts w:ascii="Times New Roman" w:hAnsi="Times New Roman"/>
                <w:i/>
                <w:sz w:val="18"/>
                <w:szCs w:val="18"/>
              </w:rPr>
              <w:t>State Electricity Profiles Report</w:t>
            </w:r>
          </w:p>
        </w:tc>
        <w:tc>
          <w:tcPr>
            <w:tcW w:w="0" w:type="auto"/>
            <w:vAlign w:val="center"/>
          </w:tcPr>
          <w:p w:rsidR="00A432C2" w:rsidRPr="005A6D16" w:rsidRDefault="00A432C2" w:rsidP="00D9245C">
            <w:pPr>
              <w:spacing w:before="60" w:after="60" w:line="240" w:lineRule="auto"/>
              <w:jc w:val="center"/>
              <w:rPr>
                <w:rFonts w:ascii="Times New Roman" w:hAnsi="Times New Roman"/>
                <w:sz w:val="18"/>
                <w:szCs w:val="18"/>
              </w:rPr>
            </w:pPr>
            <w:r w:rsidRPr="005A6D16">
              <w:rPr>
                <w:rFonts w:ascii="Times New Roman" w:hAnsi="Times New Roman"/>
                <w:sz w:val="18"/>
                <w:szCs w:val="18"/>
              </w:rPr>
              <w:t>December</w:t>
            </w:r>
          </w:p>
        </w:tc>
      </w:tr>
      <w:tr w:rsidR="00032ED1" w:rsidRPr="00D41034" w:rsidTr="00D9245C">
        <w:tc>
          <w:tcPr>
            <w:tcW w:w="0" w:type="auto"/>
            <w:vMerge w:val="restart"/>
            <w:vAlign w:val="center"/>
          </w:tcPr>
          <w:p w:rsidR="005A6D16" w:rsidRPr="00032ED1" w:rsidRDefault="005A6D16" w:rsidP="00D9245C">
            <w:pPr>
              <w:jc w:val="center"/>
              <w:rPr>
                <w:rFonts w:ascii="Times New Roman" w:hAnsi="Times New Roman"/>
                <w:sz w:val="18"/>
                <w:szCs w:val="18"/>
              </w:rPr>
            </w:pPr>
            <w:r w:rsidRPr="00032ED1">
              <w:rPr>
                <w:rFonts w:ascii="Times New Roman" w:hAnsi="Times New Roman"/>
                <w:sz w:val="18"/>
                <w:szCs w:val="18"/>
              </w:rPr>
              <w:t>EIA-923 Schedule 2</w:t>
            </w:r>
          </w:p>
        </w:tc>
        <w:tc>
          <w:tcPr>
            <w:tcW w:w="0" w:type="auto"/>
            <w:vMerge w:val="restart"/>
            <w:vAlign w:val="center"/>
          </w:tcPr>
          <w:p w:rsidR="005A6D16" w:rsidRPr="00032ED1" w:rsidRDefault="005A6D16" w:rsidP="0090383E">
            <w:pPr>
              <w:jc w:val="center"/>
              <w:rPr>
                <w:rFonts w:ascii="Times New Roman" w:hAnsi="Times New Roman"/>
                <w:sz w:val="18"/>
                <w:szCs w:val="18"/>
              </w:rPr>
            </w:pPr>
            <w:r w:rsidRPr="00032ED1">
              <w:rPr>
                <w:rFonts w:ascii="Times New Roman" w:hAnsi="Times New Roman"/>
                <w:sz w:val="18"/>
                <w:szCs w:val="18"/>
              </w:rPr>
              <w:t>Monthly</w:t>
            </w:r>
            <w:r w:rsidR="00032ED1">
              <w:rPr>
                <w:rFonts w:ascii="Times New Roman" w:hAnsi="Times New Roman"/>
                <w:sz w:val="18"/>
                <w:szCs w:val="18"/>
              </w:rPr>
              <w:t xml:space="preserve"> and </w:t>
            </w:r>
            <w:r w:rsidR="00032ED1" w:rsidRPr="00032ED1">
              <w:rPr>
                <w:rFonts w:ascii="Times New Roman" w:hAnsi="Times New Roman"/>
                <w:sz w:val="18"/>
                <w:szCs w:val="18"/>
              </w:rPr>
              <w:t>Annual</w:t>
            </w:r>
          </w:p>
        </w:tc>
        <w:tc>
          <w:tcPr>
            <w:tcW w:w="0" w:type="auto"/>
            <w:vMerge w:val="restart"/>
            <w:vAlign w:val="center"/>
          </w:tcPr>
          <w:p w:rsidR="005A6D16" w:rsidRPr="00032ED1" w:rsidRDefault="005A6D16" w:rsidP="0090383E">
            <w:pPr>
              <w:jc w:val="center"/>
              <w:rPr>
                <w:rFonts w:ascii="Times New Roman" w:hAnsi="Times New Roman"/>
                <w:sz w:val="18"/>
                <w:szCs w:val="18"/>
              </w:rPr>
            </w:pPr>
            <w:r w:rsidRPr="00032ED1">
              <w:rPr>
                <w:rFonts w:ascii="Times New Roman" w:hAnsi="Times New Roman"/>
                <w:sz w:val="18"/>
                <w:szCs w:val="18"/>
              </w:rPr>
              <w:t>First Day of Month Following Reporting Month</w:t>
            </w:r>
            <w:r w:rsidR="00032ED1" w:rsidRPr="00032ED1">
              <w:rPr>
                <w:rFonts w:ascii="Times New Roman" w:hAnsi="Times New Roman"/>
                <w:sz w:val="18"/>
                <w:szCs w:val="18"/>
              </w:rPr>
              <w:t>; First Week in January for Annual Respondents</w:t>
            </w:r>
          </w:p>
        </w:tc>
        <w:tc>
          <w:tcPr>
            <w:tcW w:w="0" w:type="auto"/>
            <w:vMerge w:val="restart"/>
            <w:vAlign w:val="center"/>
          </w:tcPr>
          <w:p w:rsidR="005A6D16" w:rsidRPr="00032ED1" w:rsidRDefault="005A6D16" w:rsidP="0090383E">
            <w:pPr>
              <w:jc w:val="center"/>
              <w:rPr>
                <w:rFonts w:ascii="Times New Roman" w:hAnsi="Times New Roman"/>
                <w:sz w:val="18"/>
                <w:szCs w:val="18"/>
              </w:rPr>
            </w:pPr>
            <w:r w:rsidRPr="00032ED1">
              <w:rPr>
                <w:rFonts w:ascii="Times New Roman" w:hAnsi="Times New Roman"/>
                <w:sz w:val="18"/>
                <w:szCs w:val="18"/>
              </w:rPr>
              <w:t>30 days after end of reporting month</w:t>
            </w:r>
            <w:r w:rsidR="00032ED1" w:rsidRPr="00032ED1">
              <w:rPr>
                <w:rFonts w:ascii="Times New Roman" w:hAnsi="Times New Roman"/>
                <w:sz w:val="18"/>
                <w:szCs w:val="18"/>
              </w:rPr>
              <w:t>; March 30 for Annual Respondents</w:t>
            </w:r>
          </w:p>
        </w:tc>
        <w:tc>
          <w:tcPr>
            <w:tcW w:w="0" w:type="auto"/>
            <w:vMerge w:val="restart"/>
            <w:vAlign w:val="center"/>
          </w:tcPr>
          <w:p w:rsidR="005A6D16" w:rsidRPr="00032ED1" w:rsidRDefault="005A6D16" w:rsidP="0090383E">
            <w:pPr>
              <w:jc w:val="center"/>
              <w:rPr>
                <w:rFonts w:ascii="Times New Roman" w:hAnsi="Times New Roman"/>
                <w:sz w:val="18"/>
                <w:szCs w:val="18"/>
              </w:rPr>
            </w:pPr>
            <w:r w:rsidRPr="00032ED1">
              <w:rPr>
                <w:rFonts w:ascii="Times New Roman" w:hAnsi="Times New Roman"/>
                <w:sz w:val="18"/>
                <w:szCs w:val="18"/>
              </w:rPr>
              <w:t>August 31</w:t>
            </w:r>
            <w:r w:rsidR="00032ED1" w:rsidRPr="00032ED1">
              <w:rPr>
                <w:rFonts w:ascii="Times New Roman" w:hAnsi="Times New Roman"/>
                <w:sz w:val="18"/>
                <w:szCs w:val="18"/>
              </w:rPr>
              <w:t xml:space="preserve"> (monthly and annual data)</w:t>
            </w:r>
          </w:p>
        </w:tc>
        <w:tc>
          <w:tcPr>
            <w:tcW w:w="0" w:type="auto"/>
            <w:vAlign w:val="center"/>
          </w:tcPr>
          <w:p w:rsidR="005A6D16" w:rsidRPr="00032ED1" w:rsidRDefault="005A6D16" w:rsidP="00D9245C">
            <w:pPr>
              <w:spacing w:before="60" w:after="60" w:line="240" w:lineRule="auto"/>
              <w:jc w:val="center"/>
              <w:rPr>
                <w:rFonts w:ascii="Times New Roman" w:hAnsi="Times New Roman"/>
                <w:i/>
                <w:sz w:val="18"/>
                <w:szCs w:val="18"/>
              </w:rPr>
            </w:pPr>
            <w:r w:rsidRPr="00032ED1">
              <w:rPr>
                <w:rFonts w:ascii="Times New Roman" w:hAnsi="Times New Roman"/>
                <w:i/>
                <w:sz w:val="18"/>
                <w:szCs w:val="18"/>
              </w:rPr>
              <w:t>Electric Power Monthly</w:t>
            </w:r>
          </w:p>
        </w:tc>
        <w:tc>
          <w:tcPr>
            <w:tcW w:w="0" w:type="auto"/>
            <w:vAlign w:val="center"/>
          </w:tcPr>
          <w:p w:rsidR="005A6D16" w:rsidRPr="005A6D16" w:rsidRDefault="005A6D16" w:rsidP="00D9245C">
            <w:pPr>
              <w:spacing w:before="60" w:after="60" w:line="240" w:lineRule="auto"/>
              <w:jc w:val="center"/>
              <w:rPr>
                <w:rFonts w:ascii="Times New Roman" w:hAnsi="Times New Roman"/>
                <w:sz w:val="18"/>
                <w:szCs w:val="18"/>
              </w:rPr>
            </w:pPr>
            <w:r w:rsidRPr="005A6D16">
              <w:rPr>
                <w:rFonts w:ascii="Times New Roman" w:hAnsi="Times New Roman"/>
                <w:sz w:val="18"/>
                <w:szCs w:val="18"/>
              </w:rPr>
              <w:t>Approx. the 26</w:t>
            </w:r>
            <w:r w:rsidRPr="005A6D16">
              <w:rPr>
                <w:rFonts w:ascii="Times New Roman" w:hAnsi="Times New Roman"/>
                <w:sz w:val="18"/>
                <w:szCs w:val="18"/>
                <w:vertAlign w:val="superscript"/>
              </w:rPr>
              <w:t>th</w:t>
            </w:r>
            <w:r w:rsidRPr="005A6D16">
              <w:rPr>
                <w:rFonts w:ascii="Times New Roman" w:hAnsi="Times New Roman"/>
                <w:sz w:val="18"/>
                <w:szCs w:val="18"/>
              </w:rPr>
              <w:t xml:space="preserve"> of each month</w:t>
            </w:r>
          </w:p>
        </w:tc>
      </w:tr>
      <w:tr w:rsidR="00032ED1" w:rsidRPr="00D41034" w:rsidTr="00D9245C">
        <w:tc>
          <w:tcPr>
            <w:tcW w:w="0" w:type="auto"/>
            <w:vMerge/>
            <w:vAlign w:val="center"/>
          </w:tcPr>
          <w:p w:rsidR="005A6D16" w:rsidRPr="00032ED1" w:rsidRDefault="005A6D16" w:rsidP="0090383E">
            <w:pPr>
              <w:jc w:val="center"/>
              <w:rPr>
                <w:rFonts w:ascii="Times New Roman" w:hAnsi="Times New Roman"/>
                <w:sz w:val="18"/>
                <w:szCs w:val="18"/>
              </w:rPr>
            </w:pPr>
          </w:p>
        </w:tc>
        <w:tc>
          <w:tcPr>
            <w:tcW w:w="0" w:type="auto"/>
            <w:vMerge/>
            <w:vAlign w:val="center"/>
          </w:tcPr>
          <w:p w:rsidR="005A6D16" w:rsidRPr="00032ED1" w:rsidRDefault="005A6D16" w:rsidP="0090383E">
            <w:pPr>
              <w:jc w:val="center"/>
              <w:rPr>
                <w:rFonts w:ascii="Times New Roman" w:hAnsi="Times New Roman"/>
                <w:sz w:val="18"/>
                <w:szCs w:val="18"/>
              </w:rPr>
            </w:pPr>
          </w:p>
        </w:tc>
        <w:tc>
          <w:tcPr>
            <w:tcW w:w="0" w:type="auto"/>
            <w:vMerge/>
            <w:vAlign w:val="center"/>
          </w:tcPr>
          <w:p w:rsidR="005A6D16" w:rsidRPr="00032ED1" w:rsidRDefault="005A6D16" w:rsidP="0090383E">
            <w:pPr>
              <w:jc w:val="center"/>
              <w:rPr>
                <w:rFonts w:ascii="Times New Roman" w:hAnsi="Times New Roman"/>
                <w:sz w:val="18"/>
                <w:szCs w:val="18"/>
              </w:rPr>
            </w:pPr>
          </w:p>
        </w:tc>
        <w:tc>
          <w:tcPr>
            <w:tcW w:w="0" w:type="auto"/>
            <w:vMerge/>
            <w:vAlign w:val="center"/>
          </w:tcPr>
          <w:p w:rsidR="005A6D16" w:rsidRPr="00032ED1" w:rsidRDefault="005A6D16" w:rsidP="0090383E">
            <w:pPr>
              <w:jc w:val="center"/>
              <w:rPr>
                <w:rFonts w:ascii="Times New Roman" w:hAnsi="Times New Roman"/>
                <w:sz w:val="18"/>
                <w:szCs w:val="18"/>
              </w:rPr>
            </w:pPr>
          </w:p>
        </w:tc>
        <w:tc>
          <w:tcPr>
            <w:tcW w:w="0" w:type="auto"/>
            <w:vMerge/>
            <w:vAlign w:val="center"/>
          </w:tcPr>
          <w:p w:rsidR="005A6D16" w:rsidRPr="00032ED1" w:rsidRDefault="005A6D16" w:rsidP="0090383E">
            <w:pPr>
              <w:jc w:val="center"/>
              <w:rPr>
                <w:rFonts w:ascii="Times New Roman" w:hAnsi="Times New Roman"/>
                <w:sz w:val="18"/>
                <w:szCs w:val="18"/>
              </w:rPr>
            </w:pPr>
          </w:p>
        </w:tc>
        <w:tc>
          <w:tcPr>
            <w:tcW w:w="0" w:type="auto"/>
            <w:vAlign w:val="center"/>
          </w:tcPr>
          <w:p w:rsidR="005A6D16" w:rsidRPr="00032ED1" w:rsidRDefault="005A6D16" w:rsidP="00D9245C">
            <w:pPr>
              <w:spacing w:before="60" w:after="60" w:line="240" w:lineRule="auto"/>
              <w:jc w:val="center"/>
              <w:rPr>
                <w:rFonts w:ascii="Times New Roman" w:hAnsi="Times New Roman"/>
                <w:i/>
                <w:sz w:val="18"/>
                <w:szCs w:val="18"/>
              </w:rPr>
            </w:pPr>
            <w:r w:rsidRPr="00032ED1">
              <w:rPr>
                <w:rFonts w:ascii="Times New Roman" w:hAnsi="Times New Roman"/>
                <w:i/>
                <w:sz w:val="18"/>
                <w:szCs w:val="18"/>
              </w:rPr>
              <w:t>Electric Power Annual</w:t>
            </w:r>
          </w:p>
        </w:tc>
        <w:tc>
          <w:tcPr>
            <w:tcW w:w="0" w:type="auto"/>
            <w:vAlign w:val="center"/>
          </w:tcPr>
          <w:p w:rsidR="005A6D16" w:rsidRPr="005A6D16" w:rsidRDefault="005A6D16" w:rsidP="00D9245C">
            <w:pPr>
              <w:spacing w:before="60" w:after="60" w:line="240" w:lineRule="auto"/>
              <w:jc w:val="center"/>
              <w:rPr>
                <w:rFonts w:ascii="Times New Roman" w:hAnsi="Times New Roman"/>
                <w:sz w:val="18"/>
                <w:szCs w:val="18"/>
              </w:rPr>
            </w:pPr>
            <w:r w:rsidRPr="005A6D16">
              <w:rPr>
                <w:rFonts w:ascii="Times New Roman" w:hAnsi="Times New Roman"/>
                <w:sz w:val="18"/>
                <w:szCs w:val="18"/>
              </w:rPr>
              <w:t>October</w:t>
            </w:r>
          </w:p>
        </w:tc>
      </w:tr>
      <w:tr w:rsidR="00032ED1" w:rsidRPr="00D41034" w:rsidTr="00D9245C">
        <w:tc>
          <w:tcPr>
            <w:tcW w:w="0" w:type="auto"/>
            <w:vMerge/>
            <w:vAlign w:val="center"/>
          </w:tcPr>
          <w:p w:rsidR="005A6D16" w:rsidRPr="00032ED1" w:rsidRDefault="005A6D16" w:rsidP="0090383E">
            <w:pPr>
              <w:jc w:val="center"/>
              <w:rPr>
                <w:rFonts w:ascii="Times New Roman" w:hAnsi="Times New Roman"/>
                <w:sz w:val="18"/>
                <w:szCs w:val="18"/>
              </w:rPr>
            </w:pPr>
          </w:p>
        </w:tc>
        <w:tc>
          <w:tcPr>
            <w:tcW w:w="0" w:type="auto"/>
            <w:vMerge/>
            <w:vAlign w:val="center"/>
          </w:tcPr>
          <w:p w:rsidR="005A6D16" w:rsidRPr="00032ED1" w:rsidRDefault="005A6D16" w:rsidP="0090383E">
            <w:pPr>
              <w:jc w:val="center"/>
              <w:rPr>
                <w:rFonts w:ascii="Times New Roman" w:hAnsi="Times New Roman"/>
                <w:sz w:val="18"/>
                <w:szCs w:val="18"/>
              </w:rPr>
            </w:pPr>
          </w:p>
        </w:tc>
        <w:tc>
          <w:tcPr>
            <w:tcW w:w="0" w:type="auto"/>
            <w:vMerge/>
            <w:vAlign w:val="center"/>
          </w:tcPr>
          <w:p w:rsidR="005A6D16" w:rsidRPr="00032ED1" w:rsidRDefault="005A6D16" w:rsidP="0090383E">
            <w:pPr>
              <w:jc w:val="center"/>
              <w:rPr>
                <w:rFonts w:ascii="Times New Roman" w:hAnsi="Times New Roman"/>
                <w:sz w:val="18"/>
                <w:szCs w:val="18"/>
              </w:rPr>
            </w:pPr>
          </w:p>
        </w:tc>
        <w:tc>
          <w:tcPr>
            <w:tcW w:w="0" w:type="auto"/>
            <w:vMerge/>
            <w:vAlign w:val="center"/>
          </w:tcPr>
          <w:p w:rsidR="005A6D16" w:rsidRPr="00032ED1" w:rsidRDefault="005A6D16" w:rsidP="0090383E">
            <w:pPr>
              <w:jc w:val="center"/>
              <w:rPr>
                <w:rFonts w:ascii="Times New Roman" w:hAnsi="Times New Roman"/>
                <w:sz w:val="18"/>
                <w:szCs w:val="18"/>
              </w:rPr>
            </w:pPr>
          </w:p>
        </w:tc>
        <w:tc>
          <w:tcPr>
            <w:tcW w:w="0" w:type="auto"/>
            <w:vMerge/>
            <w:vAlign w:val="center"/>
          </w:tcPr>
          <w:p w:rsidR="005A6D16" w:rsidRPr="00032ED1" w:rsidRDefault="005A6D16" w:rsidP="0090383E">
            <w:pPr>
              <w:jc w:val="center"/>
              <w:rPr>
                <w:rFonts w:ascii="Times New Roman" w:hAnsi="Times New Roman"/>
                <w:sz w:val="18"/>
                <w:szCs w:val="18"/>
              </w:rPr>
            </w:pPr>
          </w:p>
        </w:tc>
        <w:tc>
          <w:tcPr>
            <w:tcW w:w="0" w:type="auto"/>
            <w:vAlign w:val="center"/>
          </w:tcPr>
          <w:p w:rsidR="005A6D16" w:rsidRPr="00032ED1" w:rsidRDefault="005A6D16" w:rsidP="00D9245C">
            <w:pPr>
              <w:spacing w:before="60" w:after="60" w:line="240" w:lineRule="auto"/>
              <w:jc w:val="center"/>
              <w:rPr>
                <w:rFonts w:ascii="Times New Roman" w:hAnsi="Times New Roman"/>
                <w:i/>
                <w:sz w:val="18"/>
                <w:szCs w:val="18"/>
              </w:rPr>
            </w:pPr>
            <w:r w:rsidRPr="00032ED1">
              <w:rPr>
                <w:rFonts w:ascii="Times New Roman" w:hAnsi="Times New Roman"/>
                <w:i/>
                <w:sz w:val="18"/>
                <w:szCs w:val="18"/>
              </w:rPr>
              <w:t>Monthly Energy Review</w:t>
            </w:r>
          </w:p>
        </w:tc>
        <w:tc>
          <w:tcPr>
            <w:tcW w:w="0" w:type="auto"/>
            <w:vAlign w:val="center"/>
          </w:tcPr>
          <w:p w:rsidR="005A6D16" w:rsidRPr="005A6D16" w:rsidRDefault="005A6D16" w:rsidP="00D9245C">
            <w:pPr>
              <w:spacing w:before="60" w:after="60" w:line="240" w:lineRule="auto"/>
              <w:jc w:val="center"/>
              <w:rPr>
                <w:rFonts w:ascii="Times New Roman" w:hAnsi="Times New Roman"/>
                <w:sz w:val="18"/>
                <w:szCs w:val="18"/>
              </w:rPr>
            </w:pPr>
            <w:r w:rsidRPr="005A6D16">
              <w:rPr>
                <w:rFonts w:ascii="Times New Roman" w:hAnsi="Times New Roman"/>
                <w:sz w:val="18"/>
                <w:szCs w:val="18"/>
              </w:rPr>
              <w:t>Approx. the 26</w:t>
            </w:r>
            <w:r w:rsidRPr="005A6D16">
              <w:rPr>
                <w:rFonts w:ascii="Times New Roman" w:hAnsi="Times New Roman"/>
                <w:sz w:val="18"/>
                <w:szCs w:val="18"/>
                <w:vertAlign w:val="superscript"/>
              </w:rPr>
              <w:t>th</w:t>
            </w:r>
            <w:r w:rsidRPr="005A6D16">
              <w:rPr>
                <w:rFonts w:ascii="Times New Roman" w:hAnsi="Times New Roman"/>
                <w:sz w:val="18"/>
                <w:szCs w:val="18"/>
              </w:rPr>
              <w:t xml:space="preserve"> of each month</w:t>
            </w:r>
          </w:p>
        </w:tc>
      </w:tr>
      <w:tr w:rsidR="00032ED1" w:rsidRPr="00D41034" w:rsidTr="00D9245C">
        <w:tc>
          <w:tcPr>
            <w:tcW w:w="0" w:type="auto"/>
            <w:vMerge/>
            <w:vAlign w:val="center"/>
          </w:tcPr>
          <w:p w:rsidR="005A6D16" w:rsidRPr="005A6D16" w:rsidRDefault="005A6D16" w:rsidP="0090383E">
            <w:pPr>
              <w:jc w:val="center"/>
              <w:rPr>
                <w:rFonts w:ascii="Times New Roman" w:hAnsi="Times New Roman"/>
                <w:sz w:val="18"/>
                <w:szCs w:val="18"/>
              </w:rPr>
            </w:pPr>
          </w:p>
        </w:tc>
        <w:tc>
          <w:tcPr>
            <w:tcW w:w="0" w:type="auto"/>
            <w:vMerge/>
            <w:vAlign w:val="center"/>
          </w:tcPr>
          <w:p w:rsidR="005A6D16" w:rsidRPr="005A6D16" w:rsidRDefault="005A6D16" w:rsidP="0090383E">
            <w:pPr>
              <w:jc w:val="center"/>
              <w:rPr>
                <w:rFonts w:ascii="Times New Roman" w:hAnsi="Times New Roman"/>
                <w:sz w:val="18"/>
                <w:szCs w:val="18"/>
              </w:rPr>
            </w:pPr>
          </w:p>
        </w:tc>
        <w:tc>
          <w:tcPr>
            <w:tcW w:w="0" w:type="auto"/>
            <w:vMerge/>
            <w:vAlign w:val="center"/>
          </w:tcPr>
          <w:p w:rsidR="005A6D16" w:rsidRPr="005A6D16" w:rsidRDefault="005A6D16" w:rsidP="0090383E">
            <w:pPr>
              <w:jc w:val="center"/>
              <w:rPr>
                <w:rFonts w:ascii="Times New Roman" w:hAnsi="Times New Roman"/>
                <w:sz w:val="18"/>
                <w:szCs w:val="18"/>
              </w:rPr>
            </w:pPr>
          </w:p>
        </w:tc>
        <w:tc>
          <w:tcPr>
            <w:tcW w:w="0" w:type="auto"/>
            <w:vMerge/>
            <w:vAlign w:val="center"/>
          </w:tcPr>
          <w:p w:rsidR="005A6D16" w:rsidRPr="005A6D16" w:rsidRDefault="005A6D16" w:rsidP="0090383E">
            <w:pPr>
              <w:jc w:val="center"/>
              <w:rPr>
                <w:rFonts w:ascii="Times New Roman" w:hAnsi="Times New Roman"/>
                <w:sz w:val="18"/>
                <w:szCs w:val="18"/>
              </w:rPr>
            </w:pPr>
          </w:p>
        </w:tc>
        <w:tc>
          <w:tcPr>
            <w:tcW w:w="0" w:type="auto"/>
            <w:vMerge/>
            <w:vAlign w:val="center"/>
          </w:tcPr>
          <w:p w:rsidR="005A6D16" w:rsidRPr="005A6D16" w:rsidRDefault="005A6D16" w:rsidP="0090383E">
            <w:pPr>
              <w:jc w:val="center"/>
              <w:rPr>
                <w:rFonts w:ascii="Times New Roman" w:hAnsi="Times New Roman"/>
                <w:sz w:val="18"/>
                <w:szCs w:val="18"/>
              </w:rPr>
            </w:pPr>
          </w:p>
        </w:tc>
        <w:tc>
          <w:tcPr>
            <w:tcW w:w="0" w:type="auto"/>
            <w:vAlign w:val="center"/>
          </w:tcPr>
          <w:p w:rsidR="005A6D16" w:rsidRPr="005A6D16" w:rsidRDefault="005A6D16" w:rsidP="00D9245C">
            <w:pPr>
              <w:spacing w:before="60" w:after="60" w:line="240" w:lineRule="auto"/>
              <w:jc w:val="center"/>
              <w:rPr>
                <w:rFonts w:ascii="Times New Roman" w:hAnsi="Times New Roman"/>
                <w:i/>
                <w:sz w:val="18"/>
                <w:szCs w:val="18"/>
              </w:rPr>
            </w:pPr>
            <w:r w:rsidRPr="005A6D16">
              <w:rPr>
                <w:rFonts w:ascii="Times New Roman" w:hAnsi="Times New Roman"/>
                <w:i/>
                <w:sz w:val="18"/>
                <w:szCs w:val="18"/>
              </w:rPr>
              <w:t>Annual Energy Review</w:t>
            </w:r>
          </w:p>
        </w:tc>
        <w:tc>
          <w:tcPr>
            <w:tcW w:w="0" w:type="auto"/>
            <w:vAlign w:val="center"/>
          </w:tcPr>
          <w:p w:rsidR="005A6D16" w:rsidRPr="005A6D16" w:rsidRDefault="005A6D16" w:rsidP="00D9245C">
            <w:pPr>
              <w:spacing w:before="60" w:after="60" w:line="240" w:lineRule="auto"/>
              <w:jc w:val="center"/>
              <w:rPr>
                <w:rFonts w:ascii="Times New Roman" w:hAnsi="Times New Roman"/>
                <w:sz w:val="18"/>
                <w:szCs w:val="18"/>
              </w:rPr>
            </w:pPr>
            <w:r w:rsidRPr="005A6D16">
              <w:rPr>
                <w:rFonts w:ascii="Times New Roman" w:hAnsi="Times New Roman"/>
                <w:sz w:val="18"/>
                <w:szCs w:val="18"/>
              </w:rPr>
              <w:t>October</w:t>
            </w:r>
          </w:p>
        </w:tc>
      </w:tr>
      <w:tr w:rsidR="00032ED1" w:rsidRPr="00D41034" w:rsidTr="00D9245C">
        <w:tc>
          <w:tcPr>
            <w:tcW w:w="0" w:type="auto"/>
            <w:vMerge/>
            <w:vAlign w:val="center"/>
          </w:tcPr>
          <w:p w:rsidR="005A6D16" w:rsidRPr="005A6D16" w:rsidRDefault="005A6D16" w:rsidP="0090383E">
            <w:pPr>
              <w:jc w:val="center"/>
              <w:rPr>
                <w:rFonts w:ascii="Times New Roman" w:hAnsi="Times New Roman"/>
                <w:sz w:val="18"/>
                <w:szCs w:val="18"/>
              </w:rPr>
            </w:pPr>
          </w:p>
        </w:tc>
        <w:tc>
          <w:tcPr>
            <w:tcW w:w="0" w:type="auto"/>
            <w:vMerge/>
            <w:vAlign w:val="center"/>
          </w:tcPr>
          <w:p w:rsidR="005A6D16" w:rsidRPr="005A6D16" w:rsidRDefault="005A6D16" w:rsidP="0090383E">
            <w:pPr>
              <w:jc w:val="center"/>
              <w:rPr>
                <w:rFonts w:ascii="Times New Roman" w:hAnsi="Times New Roman"/>
                <w:sz w:val="18"/>
                <w:szCs w:val="18"/>
              </w:rPr>
            </w:pPr>
          </w:p>
        </w:tc>
        <w:tc>
          <w:tcPr>
            <w:tcW w:w="0" w:type="auto"/>
            <w:vMerge/>
            <w:vAlign w:val="center"/>
          </w:tcPr>
          <w:p w:rsidR="005A6D16" w:rsidRPr="005A6D16" w:rsidRDefault="005A6D16" w:rsidP="0090383E">
            <w:pPr>
              <w:jc w:val="center"/>
              <w:rPr>
                <w:rFonts w:ascii="Times New Roman" w:hAnsi="Times New Roman"/>
                <w:sz w:val="18"/>
                <w:szCs w:val="18"/>
              </w:rPr>
            </w:pPr>
          </w:p>
        </w:tc>
        <w:tc>
          <w:tcPr>
            <w:tcW w:w="0" w:type="auto"/>
            <w:vMerge/>
            <w:vAlign w:val="center"/>
          </w:tcPr>
          <w:p w:rsidR="005A6D16" w:rsidRPr="005A6D16" w:rsidRDefault="005A6D16" w:rsidP="0090383E">
            <w:pPr>
              <w:jc w:val="center"/>
              <w:rPr>
                <w:rFonts w:ascii="Times New Roman" w:hAnsi="Times New Roman"/>
                <w:sz w:val="18"/>
                <w:szCs w:val="18"/>
              </w:rPr>
            </w:pPr>
          </w:p>
        </w:tc>
        <w:tc>
          <w:tcPr>
            <w:tcW w:w="0" w:type="auto"/>
            <w:vMerge/>
            <w:vAlign w:val="center"/>
          </w:tcPr>
          <w:p w:rsidR="005A6D16" w:rsidRPr="005A6D16" w:rsidRDefault="005A6D16" w:rsidP="0090383E">
            <w:pPr>
              <w:jc w:val="center"/>
              <w:rPr>
                <w:rFonts w:ascii="Times New Roman" w:hAnsi="Times New Roman"/>
                <w:sz w:val="18"/>
                <w:szCs w:val="18"/>
              </w:rPr>
            </w:pPr>
          </w:p>
        </w:tc>
        <w:tc>
          <w:tcPr>
            <w:tcW w:w="0" w:type="auto"/>
            <w:vAlign w:val="center"/>
          </w:tcPr>
          <w:p w:rsidR="005A6D16" w:rsidRPr="005A6D16" w:rsidRDefault="005A6D16" w:rsidP="00D9245C">
            <w:pPr>
              <w:spacing w:before="60" w:after="60" w:line="240" w:lineRule="auto"/>
              <w:jc w:val="center"/>
              <w:rPr>
                <w:rFonts w:ascii="Times New Roman" w:hAnsi="Times New Roman"/>
                <w:i/>
                <w:sz w:val="18"/>
                <w:szCs w:val="18"/>
              </w:rPr>
            </w:pPr>
            <w:r w:rsidRPr="005A6D16">
              <w:rPr>
                <w:rFonts w:ascii="Times New Roman" w:hAnsi="Times New Roman"/>
                <w:i/>
                <w:sz w:val="18"/>
                <w:szCs w:val="18"/>
              </w:rPr>
              <w:t>Electricity Monthly Update</w:t>
            </w:r>
          </w:p>
        </w:tc>
        <w:tc>
          <w:tcPr>
            <w:tcW w:w="0" w:type="auto"/>
            <w:vAlign w:val="center"/>
          </w:tcPr>
          <w:p w:rsidR="005A6D16" w:rsidRPr="005A6D16" w:rsidRDefault="005A6D16" w:rsidP="00D9245C">
            <w:pPr>
              <w:spacing w:before="60" w:after="60" w:line="240" w:lineRule="auto"/>
              <w:jc w:val="center"/>
              <w:rPr>
                <w:rFonts w:ascii="Times New Roman" w:hAnsi="Times New Roman"/>
                <w:sz w:val="18"/>
                <w:szCs w:val="18"/>
              </w:rPr>
            </w:pPr>
            <w:r w:rsidRPr="005A6D16">
              <w:rPr>
                <w:rFonts w:ascii="Times New Roman" w:hAnsi="Times New Roman"/>
                <w:sz w:val="18"/>
                <w:szCs w:val="18"/>
              </w:rPr>
              <w:t>Approx. the 26</w:t>
            </w:r>
            <w:r w:rsidRPr="005A6D16">
              <w:rPr>
                <w:rFonts w:ascii="Times New Roman" w:hAnsi="Times New Roman"/>
                <w:sz w:val="18"/>
                <w:szCs w:val="18"/>
                <w:vertAlign w:val="superscript"/>
              </w:rPr>
              <w:t>th</w:t>
            </w:r>
            <w:r w:rsidRPr="005A6D16">
              <w:rPr>
                <w:rFonts w:ascii="Times New Roman" w:hAnsi="Times New Roman"/>
                <w:sz w:val="18"/>
                <w:szCs w:val="18"/>
              </w:rPr>
              <w:t xml:space="preserve"> of each month</w:t>
            </w:r>
          </w:p>
        </w:tc>
      </w:tr>
      <w:tr w:rsidR="00A432C2" w:rsidRPr="00D41034" w:rsidTr="005A6D16">
        <w:tc>
          <w:tcPr>
            <w:tcW w:w="0" w:type="auto"/>
            <w:gridSpan w:val="7"/>
            <w:vAlign w:val="center"/>
          </w:tcPr>
          <w:p w:rsidR="00A432C2" w:rsidRPr="005A6D16" w:rsidRDefault="002E5432" w:rsidP="00D9245C">
            <w:pPr>
              <w:spacing w:before="60" w:after="60" w:line="240" w:lineRule="auto"/>
              <w:rPr>
                <w:rFonts w:ascii="Times New Roman" w:hAnsi="Times New Roman"/>
                <w:sz w:val="18"/>
                <w:szCs w:val="18"/>
              </w:rPr>
            </w:pPr>
            <w:r>
              <w:rPr>
                <w:rFonts w:ascii="Times New Roman" w:hAnsi="Times New Roman"/>
                <w:sz w:val="18"/>
                <w:szCs w:val="18"/>
              </w:rPr>
              <w:t xml:space="preserve">Note: </w:t>
            </w:r>
            <w:r w:rsidR="00A432C2" w:rsidRPr="005A6D16">
              <w:rPr>
                <w:rFonts w:ascii="Times New Roman" w:hAnsi="Times New Roman"/>
                <w:sz w:val="18"/>
                <w:szCs w:val="18"/>
              </w:rPr>
              <w:t xml:space="preserve">All EIA publications can be accessed at </w:t>
            </w:r>
            <w:hyperlink r:id="rId17" w:history="1">
              <w:r w:rsidRPr="00B85324">
                <w:rPr>
                  <w:rStyle w:val="Hyperlink"/>
                  <w:rFonts w:ascii="Times New Roman" w:hAnsi="Times New Roman"/>
                  <w:sz w:val="18"/>
                  <w:szCs w:val="18"/>
                </w:rPr>
                <w:t>http://www.eia.gov/reports/</w:t>
              </w:r>
            </w:hyperlink>
            <w:r w:rsidR="00A432C2" w:rsidRPr="005A6D16">
              <w:rPr>
                <w:rFonts w:ascii="Times New Roman" w:hAnsi="Times New Roman"/>
                <w:sz w:val="18"/>
                <w:szCs w:val="18"/>
              </w:rPr>
              <w:t>.</w:t>
            </w:r>
            <w:r>
              <w:rPr>
                <w:rFonts w:ascii="Times New Roman" w:hAnsi="Times New Roman"/>
                <w:sz w:val="18"/>
                <w:szCs w:val="18"/>
              </w:rPr>
              <w:t xml:space="preserve">  Electric power data files are available at: </w:t>
            </w:r>
            <w:r w:rsidRPr="002E5432">
              <w:rPr>
                <w:rFonts w:ascii="Times New Roman" w:hAnsi="Times New Roman"/>
                <w:sz w:val="18"/>
                <w:szCs w:val="18"/>
              </w:rPr>
              <w:t>http://www.eia.gov/cneaf/electricity/page/data.html</w:t>
            </w:r>
            <w:r>
              <w:rPr>
                <w:rFonts w:ascii="Times New Roman" w:hAnsi="Times New Roman"/>
                <w:sz w:val="18"/>
                <w:szCs w:val="18"/>
              </w:rPr>
              <w:t>.</w:t>
            </w:r>
          </w:p>
        </w:tc>
      </w:tr>
    </w:tbl>
    <w:p w:rsidR="00961491" w:rsidRDefault="00961491" w:rsidP="00077D3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0"/>
        <w:jc w:val="both"/>
      </w:pPr>
    </w:p>
    <w:p w:rsidR="00D9245C" w:rsidRDefault="00961491" w:rsidP="00077D3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0"/>
        <w:jc w:val="both"/>
      </w:pPr>
      <w:r>
        <w:t>N</w:t>
      </w:r>
      <w:r w:rsidR="008B54F1" w:rsidRPr="000906EB">
        <w:t xml:space="preserve">on-sensitive data </w:t>
      </w:r>
      <w:r w:rsidR="00EF4468" w:rsidRPr="000906EB">
        <w:t>are</w:t>
      </w:r>
      <w:r w:rsidR="008B54F1" w:rsidRPr="000906EB">
        <w:t xml:space="preserve"> provided to the public at the</w:t>
      </w:r>
      <w:r>
        <w:t xml:space="preserve"> </w:t>
      </w:r>
      <w:r w:rsidR="00D9245C">
        <w:t xml:space="preserve">reporting level of detail </w:t>
      </w:r>
      <w:r w:rsidR="008B54F1" w:rsidRPr="000906EB">
        <w:t xml:space="preserve">in the form of downloadable electronic files.  The files are on the EIA </w:t>
      </w:r>
      <w:r w:rsidR="006976D8">
        <w:t>W</w:t>
      </w:r>
      <w:r w:rsidR="008B54F1" w:rsidRPr="000906EB">
        <w:t>eb</w:t>
      </w:r>
      <w:r w:rsidR="006976D8">
        <w:t xml:space="preserve"> s</w:t>
      </w:r>
      <w:r w:rsidR="008B54F1" w:rsidRPr="000906EB">
        <w:t xml:space="preserve">ite at the following location: </w:t>
      </w:r>
    </w:p>
    <w:p w:rsidR="00D9245C" w:rsidRDefault="002645D2" w:rsidP="00077D3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00" w:beforeAutospacing="1" w:after="0"/>
        <w:jc w:val="both"/>
      </w:pPr>
      <w:hyperlink r:id="rId18" w:history="1">
        <w:r w:rsidR="00D9245C" w:rsidRPr="00B85324">
          <w:rPr>
            <w:rStyle w:val="Hyperlink"/>
          </w:rPr>
          <w:t>http://www.eia.gov/cneaf/electricity/page/data.html</w:t>
        </w:r>
      </w:hyperlink>
      <w:r w:rsidR="00D9245C">
        <w:t>.</w:t>
      </w:r>
    </w:p>
    <w:p w:rsidR="00D9245C" w:rsidRDefault="00D9245C" w:rsidP="00D023B9">
      <w:bookmarkStart w:id="81" w:name="_Toc524334506"/>
      <w:bookmarkStart w:id="82" w:name="_Toc524334588"/>
      <w:bookmarkStart w:id="83" w:name="_Toc524334735"/>
      <w:bookmarkStart w:id="84" w:name="_Toc524334928"/>
      <w:bookmarkStart w:id="85" w:name="_Toc318697089"/>
    </w:p>
    <w:p w:rsidR="00A95FE0" w:rsidRPr="008B54F1" w:rsidRDefault="00A95FE0" w:rsidP="000A47ED">
      <w:pPr>
        <w:pStyle w:val="Heading2"/>
      </w:pPr>
      <w:bookmarkStart w:id="86" w:name="_Toc343524164"/>
      <w:r w:rsidRPr="008B54F1">
        <w:t>A.17. OMB Number and Expiration Date</w:t>
      </w:r>
      <w:bookmarkEnd w:id="81"/>
      <w:bookmarkEnd w:id="82"/>
      <w:bookmarkEnd w:id="83"/>
      <w:bookmarkEnd w:id="84"/>
      <w:bookmarkEnd w:id="85"/>
      <w:bookmarkEnd w:id="86"/>
    </w:p>
    <w:p w:rsidR="00A95FE0" w:rsidRDefault="00A95FE0" w:rsidP="00077D3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0"/>
        <w:jc w:val="both"/>
      </w:pPr>
      <w:r w:rsidRPr="00A8582E">
        <w:t xml:space="preserve">The OMB number </w:t>
      </w:r>
      <w:r w:rsidR="00286070">
        <w:t xml:space="preserve">(1905-0129) </w:t>
      </w:r>
      <w:r w:rsidRPr="00A8582E">
        <w:t xml:space="preserve">and expiration date </w:t>
      </w:r>
      <w:r w:rsidR="004F071E">
        <w:t xml:space="preserve">(10/31/2013) </w:t>
      </w:r>
      <w:r w:rsidR="003C0D72">
        <w:t>are</w:t>
      </w:r>
      <w:r w:rsidRPr="00A8582E">
        <w:t xml:space="preserve"> displayed on </w:t>
      </w:r>
      <w:r w:rsidR="003C0D72">
        <w:t xml:space="preserve">each </w:t>
      </w:r>
      <w:r w:rsidRPr="00A8582E">
        <w:t>form</w:t>
      </w:r>
      <w:r w:rsidR="00286070">
        <w:t>.</w:t>
      </w:r>
    </w:p>
    <w:p w:rsidR="007E2D64" w:rsidRDefault="007E2D64" w:rsidP="00D023B9">
      <w:bookmarkStart w:id="87" w:name="_Toc524334507"/>
      <w:bookmarkStart w:id="88" w:name="_Toc524334589"/>
      <w:bookmarkStart w:id="89" w:name="_Toc524334736"/>
      <w:bookmarkStart w:id="90" w:name="_Toc524334929"/>
      <w:bookmarkStart w:id="91" w:name="_Toc318697090"/>
    </w:p>
    <w:p w:rsidR="00A95FE0" w:rsidRPr="008B54F1" w:rsidRDefault="00A95FE0" w:rsidP="000A47ED">
      <w:pPr>
        <w:pStyle w:val="Heading2"/>
      </w:pPr>
      <w:bookmarkStart w:id="92" w:name="_Toc343524165"/>
      <w:r w:rsidRPr="008B54F1">
        <w:t>A.18. Certification Statement</w:t>
      </w:r>
      <w:bookmarkEnd w:id="87"/>
      <w:bookmarkEnd w:id="88"/>
      <w:bookmarkEnd w:id="89"/>
      <w:bookmarkEnd w:id="90"/>
      <w:bookmarkEnd w:id="91"/>
      <w:bookmarkEnd w:id="92"/>
    </w:p>
    <w:p w:rsidR="00A95FE0" w:rsidRDefault="00A95FE0" w:rsidP="00077D3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0"/>
        <w:jc w:val="both"/>
      </w:pPr>
      <w:r w:rsidRPr="00A8582E">
        <w:t>This submission meets all certification requirements of the "Certification for Paperwork Reduction Act Submissions," for OMB Form 83-I.</w:t>
      </w:r>
    </w:p>
    <w:p w:rsidR="009D2A64" w:rsidRDefault="009D2A64" w:rsidP="00077D3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120" w:after="0"/>
        <w:jc w:val="both"/>
      </w:pPr>
    </w:p>
    <w:p w:rsidR="009D2A64" w:rsidRDefault="009D2A64">
      <w:pPr>
        <w:spacing w:after="0" w:line="240" w:lineRule="auto"/>
      </w:pPr>
      <w:r>
        <w:br w:type="page"/>
      </w:r>
    </w:p>
    <w:p w:rsidR="009D2A64" w:rsidRDefault="009D2A64" w:rsidP="00AA648F">
      <w:pPr>
        <w:pStyle w:val="Heading1"/>
      </w:pPr>
      <w:bookmarkStart w:id="93" w:name="_Toc329880856"/>
      <w:bookmarkStart w:id="94" w:name="_Toc343524166"/>
      <w:r>
        <w:t xml:space="preserve">Appendix </w:t>
      </w:r>
      <w:r w:rsidRPr="00AA648F">
        <w:t>A-1</w:t>
      </w:r>
      <w:r>
        <w:t xml:space="preserve">: </w:t>
      </w:r>
      <w:r w:rsidRPr="00245429">
        <w:t xml:space="preserve">Comments Received in Response to the Open </w:t>
      </w:r>
      <w:r w:rsidRPr="00EB2808">
        <w:t>Federal Register</w:t>
      </w:r>
      <w:r w:rsidRPr="00245429">
        <w:t xml:space="preserve"> Notice </w:t>
      </w:r>
      <w:r>
        <w:t>(Federal Register/Vol. 77, No.51) Published March 15, 2012</w:t>
      </w:r>
      <w:bookmarkEnd w:id="93"/>
      <w:bookmarkEnd w:id="94"/>
    </w:p>
    <w:p w:rsidR="00D9245C" w:rsidRDefault="00D9245C" w:rsidP="00D9245C"/>
    <w:p w:rsidR="001C5700" w:rsidRPr="00245429" w:rsidRDefault="001C5700" w:rsidP="001C5700">
      <w:pPr>
        <w:spacing w:before="100" w:beforeAutospacing="1" w:after="0"/>
        <w:jc w:val="both"/>
      </w:pPr>
      <w:r w:rsidRPr="00245429">
        <w:t xml:space="preserve">A request for comments from interested persons was solicited in the </w:t>
      </w:r>
      <w:r w:rsidRPr="00512674">
        <w:t>Federal Register</w:t>
      </w:r>
      <w:r w:rsidRPr="00245429">
        <w:t xml:space="preserve"> Notice that proposed approval for a 1-year collection for:</w:t>
      </w:r>
    </w:p>
    <w:p w:rsidR="001C5700" w:rsidRPr="00245429" w:rsidRDefault="001C5700" w:rsidP="00A62D30">
      <w:pPr>
        <w:pStyle w:val="ListParagraph"/>
        <w:numPr>
          <w:ilvl w:val="0"/>
          <w:numId w:val="9"/>
        </w:numPr>
        <w:spacing w:before="120" w:after="120"/>
        <w:contextualSpacing w:val="0"/>
      </w:pPr>
      <w:r w:rsidRPr="00245429">
        <w:t>Form EIA-923, “Power Plant Operations Report,” Schedule 2, Cost and Quality of Fuel Purchases – Plant Level</w:t>
      </w:r>
    </w:p>
    <w:p w:rsidR="001C5700" w:rsidRPr="00245429" w:rsidRDefault="001C5700" w:rsidP="00A62D30">
      <w:pPr>
        <w:pStyle w:val="ListParagraph"/>
        <w:numPr>
          <w:ilvl w:val="0"/>
          <w:numId w:val="9"/>
        </w:numPr>
        <w:spacing w:before="120" w:after="120"/>
        <w:contextualSpacing w:val="0"/>
      </w:pPr>
      <w:r w:rsidRPr="00245429">
        <w:t>Form EIA-861, “Annual</w:t>
      </w:r>
      <w:r w:rsidRPr="00245429">
        <w:rPr>
          <w:b/>
        </w:rPr>
        <w:t xml:space="preserve"> </w:t>
      </w:r>
      <w:r w:rsidRPr="00245429">
        <w:t>Electric Power</w:t>
      </w:r>
      <w:r w:rsidRPr="00245429">
        <w:rPr>
          <w:b/>
        </w:rPr>
        <w:t xml:space="preserve"> </w:t>
      </w:r>
      <w:r w:rsidRPr="00245429">
        <w:t xml:space="preserve">Industry Report” </w:t>
      </w:r>
    </w:p>
    <w:p w:rsidR="001C5700" w:rsidRPr="00245429" w:rsidRDefault="001C5700" w:rsidP="00A62D30">
      <w:pPr>
        <w:pStyle w:val="ListParagraph"/>
        <w:numPr>
          <w:ilvl w:val="0"/>
          <w:numId w:val="9"/>
        </w:numPr>
        <w:spacing w:before="120" w:after="120"/>
        <w:contextualSpacing w:val="0"/>
      </w:pPr>
      <w:r w:rsidRPr="00245429">
        <w:t>Form EIA-861S, “Annual Electric Power Industry Report (Short Form)”</w:t>
      </w:r>
    </w:p>
    <w:p w:rsidR="001C5700" w:rsidRPr="00245429" w:rsidRDefault="001C5700" w:rsidP="001C5700">
      <w:pPr>
        <w:spacing w:before="100" w:beforeAutospacing="1" w:after="100" w:afterAutospacing="1"/>
        <w:jc w:val="both"/>
      </w:pPr>
      <w:r>
        <w:t>C</w:t>
      </w:r>
      <w:r w:rsidRPr="00245429">
        <w:t xml:space="preserve">omments </w:t>
      </w:r>
      <w:r>
        <w:t xml:space="preserve">were </w:t>
      </w:r>
      <w:r w:rsidRPr="00245429">
        <w:t>received from the entities listed below</w:t>
      </w:r>
      <w:r>
        <w:t xml:space="preserve"> and are summarized in this appendix.  </w:t>
      </w:r>
      <w:r w:rsidRPr="00245429">
        <w:t>Where relevant, EIA’s response</w:t>
      </w:r>
      <w:r>
        <w:t xml:space="preserve"> i</w:t>
      </w:r>
      <w:r w:rsidRPr="00245429">
        <w:t>s also summarized.</w:t>
      </w:r>
    </w:p>
    <w:p w:rsidR="001C5700" w:rsidRDefault="001C5700" w:rsidP="001C5700">
      <w:pPr>
        <w:spacing w:after="120" w:line="240" w:lineRule="auto"/>
        <w:sectPr w:rsidR="001C5700" w:rsidSect="00A50D5C">
          <w:footerReference w:type="default" r:id="rId19"/>
          <w:pgSz w:w="12240" w:h="15840"/>
          <w:pgMar w:top="1440" w:right="1440" w:bottom="1440" w:left="1440" w:header="720" w:footer="720" w:gutter="0"/>
          <w:pgNumType w:start="1"/>
          <w:cols w:space="720"/>
          <w:docGrid w:linePitch="360"/>
        </w:sectPr>
      </w:pPr>
    </w:p>
    <w:p w:rsidR="001C5700" w:rsidRPr="00245429" w:rsidRDefault="001C5700" w:rsidP="001C5700">
      <w:pPr>
        <w:spacing w:after="120" w:line="240" w:lineRule="auto"/>
      </w:pPr>
      <w:r w:rsidRPr="00245429">
        <w:t>Alliance to Save Energy</w:t>
      </w:r>
    </w:p>
    <w:p w:rsidR="001C5700" w:rsidRPr="00245429" w:rsidRDefault="001C5700" w:rsidP="001C5700">
      <w:pPr>
        <w:spacing w:after="120" w:line="240" w:lineRule="auto"/>
      </w:pPr>
      <w:r w:rsidRPr="00245429">
        <w:t>American Public Power Association (APPA)</w:t>
      </w:r>
    </w:p>
    <w:p w:rsidR="001C5700" w:rsidRPr="00245429" w:rsidRDefault="001C5700" w:rsidP="001C5700">
      <w:pPr>
        <w:spacing w:after="120" w:line="240" w:lineRule="auto"/>
      </w:pPr>
      <w:r w:rsidRPr="00245429">
        <w:t>Bureau of Economic Analysis (BEA)</w:t>
      </w:r>
    </w:p>
    <w:p w:rsidR="001C5700" w:rsidRPr="00245429" w:rsidRDefault="001C5700" w:rsidP="001C5700">
      <w:pPr>
        <w:spacing w:after="120" w:line="240" w:lineRule="auto"/>
      </w:pPr>
      <w:r w:rsidRPr="00245429">
        <w:t>Cascade Municipal Utilities (Iowa)</w:t>
      </w:r>
    </w:p>
    <w:p w:rsidR="001C5700" w:rsidRPr="00245429" w:rsidRDefault="001C5700" w:rsidP="001C5700">
      <w:pPr>
        <w:spacing w:after="120" w:line="240" w:lineRule="auto"/>
      </w:pPr>
      <w:r w:rsidRPr="00245429">
        <w:t>City of La Junta Municipal Utilities (Colorado)</w:t>
      </w:r>
    </w:p>
    <w:p w:rsidR="001C5700" w:rsidRPr="00245429" w:rsidRDefault="001C5700" w:rsidP="001C5700">
      <w:pPr>
        <w:spacing w:after="120" w:line="240" w:lineRule="auto"/>
      </w:pPr>
      <w:r w:rsidRPr="00245429">
        <w:t>City of Prescott (Arkansas)</w:t>
      </w:r>
    </w:p>
    <w:p w:rsidR="001C5700" w:rsidRPr="00245429" w:rsidRDefault="001C5700" w:rsidP="001C5700">
      <w:pPr>
        <w:spacing w:after="120" w:line="240" w:lineRule="auto"/>
      </w:pPr>
      <w:r w:rsidRPr="00245429">
        <w:t>City of Sumas (Washington)</w:t>
      </w:r>
    </w:p>
    <w:p w:rsidR="001C5700" w:rsidRPr="00245429" w:rsidRDefault="001C5700" w:rsidP="001C5700">
      <w:pPr>
        <w:spacing w:after="120" w:line="240" w:lineRule="auto"/>
      </w:pPr>
      <w:r w:rsidRPr="00245429">
        <w:t>City of Painesville Municipal Utilities (Ohio)</w:t>
      </w:r>
    </w:p>
    <w:p w:rsidR="001C5700" w:rsidRPr="00245429" w:rsidRDefault="001C5700" w:rsidP="001C5700">
      <w:pPr>
        <w:spacing w:after="120" w:line="240" w:lineRule="auto"/>
      </w:pPr>
      <w:r w:rsidRPr="00245429">
        <w:t>Edison Electric Institute</w:t>
      </w:r>
    </w:p>
    <w:p w:rsidR="001C5700" w:rsidRPr="00245429" w:rsidRDefault="001C5700" w:rsidP="001C5700">
      <w:pPr>
        <w:spacing w:after="120" w:line="240" w:lineRule="auto"/>
      </w:pPr>
      <w:r w:rsidRPr="00245429">
        <w:t>Emerald People</w:t>
      </w:r>
      <w:r w:rsidR="001D1739">
        <w:t>’</w:t>
      </w:r>
      <w:r w:rsidRPr="00245429">
        <w:t>s Utility District (Oregon)</w:t>
      </w:r>
    </w:p>
    <w:p w:rsidR="001C5700" w:rsidRDefault="001C5700" w:rsidP="001C5700">
      <w:pPr>
        <w:spacing w:after="120" w:line="240" w:lineRule="auto"/>
      </w:pPr>
      <w:r w:rsidRPr="00CF07B3">
        <w:t xml:space="preserve">Northeast Climate and Energy Analysis Center </w:t>
      </w:r>
    </w:p>
    <w:p w:rsidR="001C5700" w:rsidRPr="00245429" w:rsidRDefault="001C5700" w:rsidP="001C5700">
      <w:pPr>
        <w:spacing w:after="120" w:line="240" w:lineRule="auto"/>
      </w:pPr>
      <w:r w:rsidRPr="00245429">
        <w:t>Hawk Consulting Services</w:t>
      </w:r>
    </w:p>
    <w:p w:rsidR="001C5700" w:rsidRPr="00245429" w:rsidRDefault="001C5700" w:rsidP="001C5700">
      <w:pPr>
        <w:spacing w:after="120" w:line="240" w:lineRule="auto"/>
      </w:pPr>
      <w:r w:rsidRPr="00245429">
        <w:t>Healdsburg Electric Department (California)</w:t>
      </w:r>
    </w:p>
    <w:p w:rsidR="001C5700" w:rsidRPr="00245429" w:rsidRDefault="001C5700" w:rsidP="001C5700">
      <w:pPr>
        <w:spacing w:after="120" w:line="240" w:lineRule="auto"/>
      </w:pPr>
      <w:proofErr w:type="spellStart"/>
      <w:r w:rsidRPr="00245429">
        <w:t>Hellerworx</w:t>
      </w:r>
      <w:proofErr w:type="spellEnd"/>
      <w:r w:rsidRPr="00245429">
        <w:t>, Inc</w:t>
      </w:r>
    </w:p>
    <w:p w:rsidR="001C5700" w:rsidRPr="00245429" w:rsidRDefault="001C5700" w:rsidP="001C5700">
      <w:pPr>
        <w:spacing w:after="120" w:line="240" w:lineRule="auto"/>
      </w:pPr>
      <w:r w:rsidRPr="00245429">
        <w:t>Iowa Municipal Utilities</w:t>
      </w:r>
    </w:p>
    <w:p w:rsidR="001C5700" w:rsidRDefault="001C5700" w:rsidP="001C5700">
      <w:pPr>
        <w:spacing w:after="120" w:line="240" w:lineRule="auto"/>
      </w:pPr>
      <w:r w:rsidRPr="007C00FE">
        <w:rPr>
          <w:rFonts w:eastAsia="Times New Roman"/>
          <w:bCs/>
          <w:color w:val="000000"/>
        </w:rPr>
        <w:t>La Junta Municipal Utilities (Colorado)</w:t>
      </w:r>
    </w:p>
    <w:p w:rsidR="001C5700" w:rsidRPr="00245429" w:rsidRDefault="001C5700" w:rsidP="001C5700">
      <w:pPr>
        <w:spacing w:after="120" w:line="240" w:lineRule="auto"/>
      </w:pPr>
      <w:r w:rsidRPr="00245429">
        <w:t>Lamar Light and Power (Colorado)</w:t>
      </w:r>
    </w:p>
    <w:p w:rsidR="001C5700" w:rsidRPr="00245429" w:rsidRDefault="001C5700" w:rsidP="001C5700">
      <w:pPr>
        <w:spacing w:after="120" w:line="240" w:lineRule="auto"/>
      </w:pPr>
      <w:r w:rsidRPr="00245429">
        <w:t>Maryland Energy Administration</w:t>
      </w:r>
    </w:p>
    <w:p w:rsidR="001C5700" w:rsidRPr="00245429" w:rsidRDefault="001C5700" w:rsidP="001C5700">
      <w:pPr>
        <w:spacing w:after="120" w:line="240" w:lineRule="auto"/>
      </w:pPr>
      <w:proofErr w:type="spellStart"/>
      <w:r w:rsidRPr="00245429">
        <w:t>Merrillan</w:t>
      </w:r>
      <w:proofErr w:type="spellEnd"/>
      <w:r w:rsidRPr="00245429">
        <w:t>, Wisconsin</w:t>
      </w:r>
    </w:p>
    <w:p w:rsidR="001C5700" w:rsidRPr="00245429" w:rsidRDefault="001C5700" w:rsidP="001C5700">
      <w:pPr>
        <w:spacing w:after="120" w:line="240" w:lineRule="auto"/>
      </w:pPr>
      <w:r w:rsidRPr="00245429">
        <w:t xml:space="preserve">Mille </w:t>
      </w:r>
      <w:proofErr w:type="spellStart"/>
      <w:r w:rsidRPr="00245429">
        <w:t>Lacs</w:t>
      </w:r>
      <w:proofErr w:type="spellEnd"/>
      <w:r w:rsidRPr="00245429">
        <w:t xml:space="preserve"> Energy Cooperative (Minnesota)</w:t>
      </w:r>
    </w:p>
    <w:p w:rsidR="001C5700" w:rsidRPr="00245429" w:rsidRDefault="001C5700" w:rsidP="001C5700">
      <w:pPr>
        <w:spacing w:after="120" w:line="240" w:lineRule="auto"/>
      </w:pPr>
      <w:r w:rsidRPr="00245429">
        <w:t>Minnesota Municipal Utilities Association</w:t>
      </w:r>
    </w:p>
    <w:p w:rsidR="001C5700" w:rsidRDefault="001C5700" w:rsidP="001C5700">
      <w:pPr>
        <w:spacing w:after="120" w:line="240" w:lineRule="auto"/>
      </w:pPr>
      <w:r w:rsidRPr="00245429">
        <w:t>National Rural Electric Cooperative Association</w:t>
      </w:r>
    </w:p>
    <w:p w:rsidR="001C5700" w:rsidRPr="00245429" w:rsidRDefault="001C5700" w:rsidP="001C5700">
      <w:pPr>
        <w:spacing w:after="120" w:line="240" w:lineRule="auto"/>
      </w:pPr>
      <w:r w:rsidRPr="00CF07B3">
        <w:rPr>
          <w:rFonts w:eastAsia="Times New Roman"/>
          <w:bCs/>
          <w:color w:val="000000"/>
        </w:rPr>
        <w:t>Office of Economic Analysis, Office of Policy and International Affairs</w:t>
      </w:r>
      <w:r>
        <w:rPr>
          <w:rFonts w:eastAsia="Times New Roman"/>
          <w:bCs/>
          <w:color w:val="000000"/>
        </w:rPr>
        <w:t>, U.S. DOE</w:t>
      </w:r>
    </w:p>
    <w:p w:rsidR="001C5700" w:rsidRPr="00245429" w:rsidRDefault="001C5700" w:rsidP="001C5700">
      <w:pPr>
        <w:spacing w:after="120" w:line="240" w:lineRule="auto"/>
      </w:pPr>
      <w:r w:rsidRPr="00245429">
        <w:t>Pacific Gas and Electric</w:t>
      </w:r>
    </w:p>
    <w:p w:rsidR="001C5700" w:rsidRPr="00245429" w:rsidRDefault="001C5700" w:rsidP="001C5700">
      <w:pPr>
        <w:spacing w:after="120" w:line="240" w:lineRule="auto"/>
      </w:pPr>
      <w:r w:rsidRPr="00245429">
        <w:t>Paton, Iowa</w:t>
      </w:r>
    </w:p>
    <w:p w:rsidR="001C5700" w:rsidRDefault="001C5700" w:rsidP="001C5700">
      <w:pPr>
        <w:spacing w:after="120" w:line="240" w:lineRule="auto"/>
        <w:rPr>
          <w:rFonts w:eastAsia="Times New Roman"/>
          <w:bCs/>
          <w:color w:val="000000"/>
        </w:rPr>
      </w:pPr>
      <w:proofErr w:type="spellStart"/>
      <w:r w:rsidRPr="00CF07B3">
        <w:rPr>
          <w:rFonts w:eastAsia="Times New Roman"/>
          <w:bCs/>
          <w:color w:val="000000"/>
        </w:rPr>
        <w:t>Ventyx</w:t>
      </w:r>
      <w:proofErr w:type="spellEnd"/>
      <w:r w:rsidRPr="00CF07B3">
        <w:rPr>
          <w:rFonts w:eastAsia="Times New Roman"/>
          <w:bCs/>
          <w:color w:val="000000"/>
        </w:rPr>
        <w:t>, an ABB Company</w:t>
      </w:r>
    </w:p>
    <w:p w:rsidR="001C5700" w:rsidRPr="00245429" w:rsidRDefault="001C5700" w:rsidP="001C5700">
      <w:pPr>
        <w:spacing w:after="120" w:line="240" w:lineRule="auto"/>
      </w:pPr>
      <w:r w:rsidRPr="00245429">
        <w:t>Village of Brocton (New York)</w:t>
      </w:r>
    </w:p>
    <w:p w:rsidR="001C5700" w:rsidRDefault="001C5700" w:rsidP="001C5700">
      <w:pPr>
        <w:spacing w:after="120" w:line="240" w:lineRule="auto"/>
        <w:sectPr w:rsidR="001C5700" w:rsidSect="001C5700">
          <w:type w:val="continuous"/>
          <w:pgSz w:w="12240" w:h="15840"/>
          <w:pgMar w:top="1440" w:right="1440" w:bottom="1440" w:left="1440" w:header="720" w:footer="720" w:gutter="0"/>
          <w:cols w:num="2" w:space="720"/>
          <w:docGrid w:linePitch="360"/>
        </w:sectPr>
      </w:pPr>
      <w:r w:rsidRPr="00245429">
        <w:t>Wood Mackenzie Ltd.</w:t>
      </w:r>
    </w:p>
    <w:p w:rsidR="001C5700" w:rsidRDefault="001C5700" w:rsidP="001C5700">
      <w:pPr>
        <w:spacing w:before="100" w:beforeAutospacing="1" w:after="100" w:afterAutospacing="1"/>
        <w:jc w:val="both"/>
      </w:pPr>
      <w:r w:rsidRPr="00245429">
        <w:t>In a few cases</w:t>
      </w:r>
      <w:r>
        <w:t>,</w:t>
      </w:r>
      <w:r w:rsidRPr="00245429">
        <w:t xml:space="preserve"> EIA received comments requesting </w:t>
      </w:r>
      <w:r w:rsidR="007E2D64">
        <w:t xml:space="preserve">extensive </w:t>
      </w:r>
      <w:r w:rsidRPr="00245429">
        <w:t>changes to the demand response and energy efficiency questions on the Form EIA-861 survey.</w:t>
      </w:r>
      <w:r>
        <w:t xml:space="preserve">  </w:t>
      </w:r>
      <w:r w:rsidRPr="00245429">
        <w:t xml:space="preserve">These comments, while appreciated, are not germane to the current clearance </w:t>
      </w:r>
      <w:r>
        <w:t>that</w:t>
      </w:r>
      <w:r w:rsidRPr="00245429">
        <w:t xml:space="preserve"> is limited to </w:t>
      </w:r>
      <w:r>
        <w:t xml:space="preserve">the proposal made in the Federal Register notice (i.e., </w:t>
      </w:r>
      <w:r w:rsidRPr="00245429">
        <w:t>changing the frame size for that survey</w:t>
      </w:r>
      <w:r>
        <w:t xml:space="preserve"> and creating the new EIA-861S form)</w:t>
      </w:r>
      <w:r w:rsidRPr="00245429">
        <w:t xml:space="preserve">.  Changes to the energy efficiency and demand response questions on the </w:t>
      </w:r>
      <w:r w:rsidR="00C06F26">
        <w:t xml:space="preserve">Form </w:t>
      </w:r>
      <w:r w:rsidRPr="00245429">
        <w:t>EIA-861 survey will be considered when the entire survey is re-cleared in 2013 as part of the normal three-year cycle.</w:t>
      </w:r>
    </w:p>
    <w:p w:rsidR="005A2901" w:rsidRDefault="001C5700" w:rsidP="005A2901">
      <w:pPr>
        <w:pStyle w:val="Heading2"/>
      </w:pPr>
      <w:bookmarkStart w:id="95" w:name="_Toc343524167"/>
      <w:proofErr w:type="gramStart"/>
      <w:r>
        <w:t xml:space="preserve">Comments In support of reducing the frame for the Form </w:t>
      </w:r>
      <w:r w:rsidRPr="00CF07B3">
        <w:t>EIA-923</w:t>
      </w:r>
      <w:r>
        <w:t>, but with qualifications</w:t>
      </w:r>
      <w:r w:rsidR="005A2901">
        <w:t>.</w:t>
      </w:r>
      <w:bookmarkEnd w:id="95"/>
      <w:proofErr w:type="gramEnd"/>
    </w:p>
    <w:p w:rsidR="005A2901" w:rsidRPr="007C00FE" w:rsidRDefault="005A2901" w:rsidP="005A2901">
      <w:pPr>
        <w:spacing w:before="100" w:beforeAutospacing="1" w:after="0"/>
        <w:ind w:left="720"/>
        <w:rPr>
          <w:rFonts w:eastAsia="Times New Roman"/>
          <w:b/>
          <w:bCs/>
          <w:color w:val="000000"/>
        </w:rPr>
      </w:pPr>
      <w:proofErr w:type="spellStart"/>
      <w:r>
        <w:rPr>
          <w:rFonts w:eastAsia="Times New Roman"/>
          <w:b/>
          <w:bCs/>
          <w:color w:val="000000"/>
        </w:rPr>
        <w:t>Commenters</w:t>
      </w:r>
      <w:proofErr w:type="spellEnd"/>
      <w:r w:rsidRPr="007C00FE">
        <w:rPr>
          <w:rFonts w:eastAsia="Times New Roman"/>
          <w:b/>
          <w:bCs/>
          <w:color w:val="000000"/>
        </w:rPr>
        <w:t>:</w:t>
      </w:r>
    </w:p>
    <w:p w:rsidR="005A2901" w:rsidRPr="007C00FE" w:rsidRDefault="005A2901" w:rsidP="00A62D30">
      <w:pPr>
        <w:pStyle w:val="ListParagraph"/>
        <w:numPr>
          <w:ilvl w:val="0"/>
          <w:numId w:val="11"/>
        </w:numPr>
        <w:spacing w:before="60" w:after="100" w:afterAutospacing="1"/>
        <w:ind w:left="1800"/>
        <w:contextualSpacing w:val="0"/>
        <w:rPr>
          <w:rFonts w:eastAsia="Times New Roman"/>
          <w:bCs/>
          <w:color w:val="000000"/>
        </w:rPr>
      </w:pPr>
      <w:r w:rsidRPr="007C00FE">
        <w:rPr>
          <w:rFonts w:eastAsia="Times New Roman"/>
          <w:bCs/>
          <w:color w:val="000000"/>
        </w:rPr>
        <w:t>Environment Northeast Climate and Energy Analysis Center</w:t>
      </w:r>
    </w:p>
    <w:p w:rsidR="005A2901" w:rsidRPr="007C00FE" w:rsidRDefault="005A2901" w:rsidP="00A62D30">
      <w:pPr>
        <w:pStyle w:val="ListParagraph"/>
        <w:numPr>
          <w:ilvl w:val="0"/>
          <w:numId w:val="11"/>
        </w:numPr>
        <w:spacing w:before="100" w:beforeAutospacing="1" w:after="100" w:afterAutospacing="1"/>
        <w:ind w:left="1800"/>
        <w:contextualSpacing w:val="0"/>
        <w:rPr>
          <w:rFonts w:eastAsia="Times New Roman"/>
          <w:bCs/>
          <w:color w:val="000000"/>
        </w:rPr>
      </w:pPr>
      <w:proofErr w:type="spellStart"/>
      <w:r w:rsidRPr="007C00FE">
        <w:rPr>
          <w:rFonts w:eastAsia="Times New Roman"/>
          <w:bCs/>
          <w:color w:val="000000"/>
        </w:rPr>
        <w:t>Ventyx</w:t>
      </w:r>
      <w:proofErr w:type="spellEnd"/>
      <w:r w:rsidRPr="007C00FE">
        <w:rPr>
          <w:rFonts w:eastAsia="Times New Roman"/>
          <w:bCs/>
          <w:color w:val="000000"/>
        </w:rPr>
        <w:t>, an ABB Company</w:t>
      </w:r>
    </w:p>
    <w:p w:rsidR="005A2901" w:rsidRPr="007C00FE" w:rsidRDefault="005A2901" w:rsidP="00A62D30">
      <w:pPr>
        <w:pStyle w:val="ListParagraph"/>
        <w:numPr>
          <w:ilvl w:val="0"/>
          <w:numId w:val="11"/>
        </w:numPr>
        <w:spacing w:before="100" w:beforeAutospacing="1" w:after="100" w:afterAutospacing="1"/>
        <w:ind w:left="1800"/>
        <w:contextualSpacing w:val="0"/>
        <w:rPr>
          <w:rFonts w:eastAsia="Times New Roman"/>
          <w:bCs/>
          <w:color w:val="000000"/>
        </w:rPr>
      </w:pPr>
      <w:r w:rsidRPr="007C00FE">
        <w:rPr>
          <w:rFonts w:eastAsia="Times New Roman"/>
          <w:bCs/>
          <w:color w:val="000000"/>
        </w:rPr>
        <w:t>Office of Economic Analysis, Office of Policy and International Affairs</w:t>
      </w:r>
      <w:r>
        <w:rPr>
          <w:rFonts w:eastAsia="Times New Roman"/>
          <w:bCs/>
          <w:color w:val="000000"/>
        </w:rPr>
        <w:t>, U.S. DOE</w:t>
      </w:r>
    </w:p>
    <w:p w:rsidR="005A2901" w:rsidRPr="007C00FE" w:rsidRDefault="005A2901" w:rsidP="00A62D30">
      <w:pPr>
        <w:pStyle w:val="ListParagraph"/>
        <w:numPr>
          <w:ilvl w:val="0"/>
          <w:numId w:val="11"/>
        </w:numPr>
        <w:spacing w:before="100" w:beforeAutospacing="1" w:after="100" w:afterAutospacing="1"/>
        <w:ind w:left="1800"/>
        <w:contextualSpacing w:val="0"/>
        <w:rPr>
          <w:rFonts w:eastAsia="Times New Roman"/>
          <w:bCs/>
          <w:color w:val="000000"/>
        </w:rPr>
      </w:pPr>
      <w:r w:rsidRPr="007C00FE">
        <w:rPr>
          <w:rFonts w:eastAsia="Times New Roman"/>
          <w:bCs/>
          <w:color w:val="000000"/>
        </w:rPr>
        <w:t xml:space="preserve">Joint comments of </w:t>
      </w:r>
      <w:proofErr w:type="spellStart"/>
      <w:r w:rsidRPr="007C00FE">
        <w:rPr>
          <w:rFonts w:eastAsia="Times New Roman"/>
          <w:bCs/>
          <w:color w:val="000000"/>
        </w:rPr>
        <w:t>Hellerworx</w:t>
      </w:r>
      <w:proofErr w:type="spellEnd"/>
      <w:r w:rsidRPr="007C00FE">
        <w:rPr>
          <w:rFonts w:eastAsia="Times New Roman"/>
          <w:bCs/>
          <w:color w:val="000000"/>
        </w:rPr>
        <w:t xml:space="preserve"> and Hawk Consulting Services, Inc.</w:t>
      </w:r>
    </w:p>
    <w:p w:rsidR="005A2901" w:rsidRPr="007C00FE" w:rsidRDefault="005A2901" w:rsidP="00A62D30">
      <w:pPr>
        <w:pStyle w:val="ListParagraph"/>
        <w:numPr>
          <w:ilvl w:val="0"/>
          <w:numId w:val="11"/>
        </w:numPr>
        <w:spacing w:before="100" w:beforeAutospacing="1" w:after="100" w:afterAutospacing="1"/>
        <w:ind w:left="1800"/>
        <w:contextualSpacing w:val="0"/>
        <w:rPr>
          <w:rFonts w:eastAsia="Times New Roman"/>
          <w:bCs/>
          <w:color w:val="000000"/>
        </w:rPr>
      </w:pPr>
      <w:r w:rsidRPr="007C00FE">
        <w:rPr>
          <w:rFonts w:eastAsia="Times New Roman"/>
          <w:bCs/>
          <w:color w:val="000000"/>
        </w:rPr>
        <w:t xml:space="preserve">Wood </w:t>
      </w:r>
      <w:proofErr w:type="spellStart"/>
      <w:r w:rsidRPr="007C00FE">
        <w:rPr>
          <w:rFonts w:eastAsia="Times New Roman"/>
          <w:bCs/>
          <w:color w:val="000000"/>
        </w:rPr>
        <w:t>Mackensie</w:t>
      </w:r>
      <w:proofErr w:type="spellEnd"/>
      <w:r w:rsidRPr="007C00FE">
        <w:rPr>
          <w:rFonts w:eastAsia="Times New Roman"/>
          <w:bCs/>
          <w:color w:val="000000"/>
        </w:rPr>
        <w:t xml:space="preserve"> Ltd.</w:t>
      </w:r>
    </w:p>
    <w:p w:rsidR="005A2901" w:rsidRPr="007C00FE" w:rsidRDefault="005A2901" w:rsidP="00A62D30">
      <w:pPr>
        <w:pStyle w:val="ListParagraph"/>
        <w:numPr>
          <w:ilvl w:val="0"/>
          <w:numId w:val="11"/>
        </w:numPr>
        <w:spacing w:before="100" w:beforeAutospacing="1" w:after="100" w:afterAutospacing="1"/>
        <w:ind w:left="1800"/>
        <w:contextualSpacing w:val="0"/>
        <w:rPr>
          <w:rFonts w:eastAsia="Times New Roman"/>
          <w:bCs/>
          <w:color w:val="000000"/>
        </w:rPr>
      </w:pPr>
      <w:r w:rsidRPr="007C00FE">
        <w:rPr>
          <w:rFonts w:eastAsia="Times New Roman"/>
          <w:bCs/>
          <w:color w:val="000000"/>
        </w:rPr>
        <w:t>Edison Electric Institute</w:t>
      </w:r>
    </w:p>
    <w:p w:rsidR="005A2901" w:rsidRDefault="005A2901" w:rsidP="00A62D30">
      <w:pPr>
        <w:pStyle w:val="ListParagraph"/>
        <w:numPr>
          <w:ilvl w:val="0"/>
          <w:numId w:val="11"/>
        </w:numPr>
        <w:spacing w:before="100" w:beforeAutospacing="1" w:after="100" w:afterAutospacing="1"/>
        <w:ind w:left="1800"/>
        <w:contextualSpacing w:val="0"/>
        <w:rPr>
          <w:rFonts w:eastAsia="Times New Roman"/>
          <w:bCs/>
          <w:color w:val="000000"/>
        </w:rPr>
      </w:pPr>
      <w:r w:rsidRPr="007C00FE">
        <w:rPr>
          <w:rFonts w:eastAsia="Times New Roman"/>
          <w:bCs/>
          <w:color w:val="000000"/>
        </w:rPr>
        <w:t>Bureau of Economic Analysis</w:t>
      </w:r>
    </w:p>
    <w:p w:rsidR="005A2901" w:rsidRPr="005A2901" w:rsidRDefault="005A2901" w:rsidP="00A62D30">
      <w:pPr>
        <w:pStyle w:val="ListParagraph"/>
        <w:numPr>
          <w:ilvl w:val="0"/>
          <w:numId w:val="11"/>
        </w:numPr>
        <w:spacing w:before="100" w:beforeAutospacing="1" w:after="100" w:afterAutospacing="1"/>
        <w:ind w:left="1800"/>
        <w:contextualSpacing w:val="0"/>
        <w:jc w:val="both"/>
        <w:rPr>
          <w:b/>
        </w:rPr>
      </w:pPr>
      <w:r w:rsidRPr="005A2901">
        <w:rPr>
          <w:rFonts w:eastAsia="Times New Roman"/>
          <w:bCs/>
          <w:color w:val="000000"/>
        </w:rPr>
        <w:t>La Junta Municipal Utilities (Colorado)</w:t>
      </w:r>
    </w:p>
    <w:p w:rsidR="001C5700" w:rsidRDefault="005A2901" w:rsidP="001C5700">
      <w:pPr>
        <w:jc w:val="both"/>
      </w:pPr>
      <w:r w:rsidRPr="005A2901">
        <w:rPr>
          <w:b/>
        </w:rPr>
        <w:t>Summary of Comments</w:t>
      </w:r>
      <w:r>
        <w:t xml:space="preserve">: </w:t>
      </w:r>
      <w:r w:rsidR="001C5700">
        <w:t>These comments were generally i</w:t>
      </w:r>
      <w:r w:rsidR="001C5700" w:rsidRPr="00626E34">
        <w:t>n support of</w:t>
      </w:r>
      <w:r w:rsidR="001C5700">
        <w:t xml:space="preserve"> the proposed changes to Schedule 2 of the Form EIA-923 (</w:t>
      </w:r>
      <w:r w:rsidR="001C5700" w:rsidRPr="00626E34">
        <w:t xml:space="preserve">increasing the </w:t>
      </w:r>
      <w:r w:rsidR="001C5700">
        <w:t xml:space="preserve">reporting </w:t>
      </w:r>
      <w:r w:rsidR="001C5700" w:rsidRPr="00626E34">
        <w:t>threshold</w:t>
      </w:r>
      <w:r w:rsidR="001C5700">
        <w:t xml:space="preserve"> from 50 megawatts (MW) to 200 MW, and </w:t>
      </w:r>
      <w:r w:rsidR="001C5700" w:rsidRPr="00626E34">
        <w:t xml:space="preserve">eliminating </w:t>
      </w:r>
      <w:r w:rsidR="001C5700">
        <w:t xml:space="preserve">the collection of </w:t>
      </w:r>
      <w:r w:rsidR="001C5700" w:rsidRPr="00626E34">
        <w:t xml:space="preserve">certain </w:t>
      </w:r>
      <w:r w:rsidR="001C5700">
        <w:t xml:space="preserve">minor </w:t>
      </w:r>
      <w:r w:rsidR="001C5700" w:rsidRPr="00626E34">
        <w:t>fuels</w:t>
      </w:r>
      <w:r w:rsidR="001C5700">
        <w:t>)</w:t>
      </w:r>
      <w:r w:rsidR="001C5700" w:rsidRPr="00626E34">
        <w:t xml:space="preserve">.  However, </w:t>
      </w:r>
      <w:r w:rsidR="001C5700">
        <w:t xml:space="preserve">several parties argued that </w:t>
      </w:r>
      <w:r w:rsidR="001C5700" w:rsidRPr="00626E34">
        <w:t>the coal plant threshold should remain at 50 MW of capacity</w:t>
      </w:r>
      <w:r w:rsidR="001C5700">
        <w:t xml:space="preserve">.  The factors cited for keeping the 50 MW reporting threshold </w:t>
      </w:r>
      <w:r w:rsidR="001D1739">
        <w:t xml:space="preserve">for </w:t>
      </w:r>
      <w:r w:rsidR="001C5700">
        <w:t>coal included:</w:t>
      </w:r>
    </w:p>
    <w:p w:rsidR="001C5700" w:rsidRDefault="001C5700" w:rsidP="00A62D30">
      <w:pPr>
        <w:pStyle w:val="ListParagraph"/>
        <w:numPr>
          <w:ilvl w:val="0"/>
          <w:numId w:val="14"/>
        </w:numPr>
        <w:contextualSpacing w:val="0"/>
        <w:jc w:val="both"/>
      </w:pPr>
      <w:r>
        <w:t>The key argument, made in several comments, is that because coal plants (and particularly small coal plants) are currently at risk of retirement, it is essential that the government continue to provide the same level of information on the costs and characteristics of these plants.</w:t>
      </w:r>
      <w:r>
        <w:rPr>
          <w:rStyle w:val="FootnoteReference"/>
        </w:rPr>
        <w:footnoteReference w:id="11"/>
      </w:r>
      <w:r>
        <w:t xml:space="preserve">  </w:t>
      </w:r>
    </w:p>
    <w:p w:rsidR="001C5700" w:rsidRDefault="001C5700" w:rsidP="00A62D30">
      <w:pPr>
        <w:pStyle w:val="ListParagraph"/>
        <w:numPr>
          <w:ilvl w:val="0"/>
          <w:numId w:val="14"/>
        </w:numPr>
        <w:contextualSpacing w:val="0"/>
        <w:jc w:val="both"/>
      </w:pPr>
      <w:r>
        <w:t xml:space="preserve">Comments were also made that increasing the reporting threshold will eliminate most reporting for certain parts of the United States (e.g., the northeast and California) and most coverage for certain types of coal (e.g., waste coal).  </w:t>
      </w:r>
    </w:p>
    <w:p w:rsidR="001C5700" w:rsidRDefault="001C5700" w:rsidP="001C5700">
      <w:pPr>
        <w:jc w:val="both"/>
      </w:pPr>
      <w:r>
        <w:t>Another consideration, as noted above in Section A.2.3., is that the Schedule 2 receipts data are the only source of data for the mercury content of coal used at power plants.</w:t>
      </w:r>
    </w:p>
    <w:p w:rsidR="001C5700" w:rsidRPr="00347326" w:rsidRDefault="008B1F61" w:rsidP="005A2901">
      <w:pPr>
        <w:spacing w:before="100" w:beforeAutospacing="1" w:after="100" w:afterAutospacing="1"/>
        <w:jc w:val="both"/>
      </w:pPr>
      <w:r>
        <w:rPr>
          <w:rFonts w:eastAsia="Times New Roman"/>
          <w:b/>
          <w:bCs/>
          <w:color w:val="000000"/>
        </w:rPr>
        <w:t xml:space="preserve">EIA </w:t>
      </w:r>
      <w:r w:rsidR="001C5700" w:rsidRPr="00347326">
        <w:rPr>
          <w:rFonts w:eastAsia="Times New Roman"/>
          <w:b/>
          <w:bCs/>
          <w:color w:val="000000"/>
        </w:rPr>
        <w:t>Response:</w:t>
      </w:r>
      <w:r w:rsidR="001C5700">
        <w:rPr>
          <w:rFonts w:eastAsia="Times New Roman"/>
          <w:b/>
          <w:bCs/>
          <w:color w:val="000000"/>
        </w:rPr>
        <w:t xml:space="preserve"> </w:t>
      </w:r>
      <w:r w:rsidR="001C5700" w:rsidRPr="00347326">
        <w:t>EIA agrees that</w:t>
      </w:r>
      <w:r>
        <w:t>, due to the factors cited above,</w:t>
      </w:r>
      <w:r w:rsidR="001C5700" w:rsidRPr="00347326">
        <w:t xml:space="preserve"> the reporting threshold for coal plants should remain at 50 M</w:t>
      </w:r>
      <w:r w:rsidR="001C5700">
        <w:t>W</w:t>
      </w:r>
      <w:r w:rsidR="001C5700" w:rsidRPr="00347326">
        <w:t>.</w:t>
      </w:r>
      <w:r w:rsidR="001C5700">
        <w:t xml:space="preserve">  For other fuels EIA will maintain its original proposal to increase the reporting threshold to 200 MW.</w:t>
      </w:r>
    </w:p>
    <w:p w:rsidR="005A2901" w:rsidRDefault="001D1739" w:rsidP="005A2901">
      <w:pPr>
        <w:pStyle w:val="Heading2"/>
      </w:pPr>
      <w:bookmarkStart w:id="96" w:name="_Toc343524168"/>
      <w:proofErr w:type="gramStart"/>
      <w:r>
        <w:t>Comments i</w:t>
      </w:r>
      <w:r w:rsidR="001C5700">
        <w:t xml:space="preserve">n support of reducing the frame for the Form </w:t>
      </w:r>
      <w:r w:rsidR="001C5700" w:rsidRPr="00347326">
        <w:t xml:space="preserve">EIA-861 and </w:t>
      </w:r>
      <w:r w:rsidR="001C5700">
        <w:t xml:space="preserve">creating the new Form </w:t>
      </w:r>
      <w:r w:rsidR="001C5700" w:rsidRPr="00347326">
        <w:t>EIA-861S</w:t>
      </w:r>
      <w:r w:rsidR="005A2901">
        <w:t>.</w:t>
      </w:r>
      <w:bookmarkEnd w:id="96"/>
      <w:proofErr w:type="gramEnd"/>
    </w:p>
    <w:p w:rsidR="005A2901" w:rsidRDefault="005A2901" w:rsidP="005A2901">
      <w:pPr>
        <w:spacing w:before="100" w:beforeAutospacing="1" w:after="0"/>
        <w:ind w:left="360"/>
        <w:rPr>
          <w:rFonts w:eastAsia="Times New Roman"/>
          <w:b/>
          <w:bCs/>
          <w:color w:val="000000"/>
        </w:rPr>
      </w:pPr>
      <w:proofErr w:type="spellStart"/>
      <w:r>
        <w:rPr>
          <w:rFonts w:eastAsia="Times New Roman"/>
          <w:b/>
          <w:bCs/>
          <w:color w:val="000000"/>
        </w:rPr>
        <w:t>Commenters</w:t>
      </w:r>
      <w:proofErr w:type="spellEnd"/>
      <w:r w:rsidRPr="007C00FE">
        <w:rPr>
          <w:rFonts w:eastAsia="Times New Roman"/>
          <w:b/>
          <w:bCs/>
          <w:color w:val="000000"/>
        </w:rPr>
        <w:t>:</w:t>
      </w:r>
    </w:p>
    <w:p w:rsidR="005A2901" w:rsidRPr="00512674" w:rsidRDefault="005A2901" w:rsidP="00A62D30">
      <w:pPr>
        <w:pStyle w:val="ListParagraph"/>
        <w:numPr>
          <w:ilvl w:val="0"/>
          <w:numId w:val="11"/>
        </w:numPr>
        <w:spacing w:before="60" w:after="100" w:afterAutospacing="1"/>
        <w:ind w:left="1080"/>
        <w:contextualSpacing w:val="0"/>
        <w:rPr>
          <w:rFonts w:eastAsia="Times New Roman"/>
          <w:bCs/>
          <w:color w:val="000000"/>
        </w:rPr>
      </w:pPr>
      <w:r w:rsidRPr="00512674">
        <w:rPr>
          <w:rFonts w:eastAsia="Times New Roman"/>
          <w:bCs/>
          <w:color w:val="000000"/>
        </w:rPr>
        <w:t>Emerald People</w:t>
      </w:r>
      <w:r w:rsidR="001D1739">
        <w:rPr>
          <w:rFonts w:eastAsia="Times New Roman"/>
          <w:bCs/>
          <w:color w:val="000000"/>
        </w:rPr>
        <w:t>’</w:t>
      </w:r>
      <w:r w:rsidRPr="00512674">
        <w:rPr>
          <w:rFonts w:eastAsia="Times New Roman"/>
          <w:bCs/>
          <w:color w:val="000000"/>
        </w:rPr>
        <w:t xml:space="preserve">s Utility District (Oregon) </w:t>
      </w:r>
    </w:p>
    <w:p w:rsidR="005A2901" w:rsidRPr="00512674"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Bureau of Economic Analysis</w:t>
      </w:r>
      <w:r w:rsidR="001D1739">
        <w:rPr>
          <w:rFonts w:eastAsia="Times New Roman"/>
          <w:bCs/>
          <w:color w:val="000000"/>
        </w:rPr>
        <w:t xml:space="preserve"> (U.S. Department of Commerce)</w:t>
      </w:r>
    </w:p>
    <w:p w:rsidR="005A2901" w:rsidRPr="00512674"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 xml:space="preserve">La Junta Municipal Utilities (Colorado) </w:t>
      </w:r>
    </w:p>
    <w:p w:rsidR="005A2901" w:rsidRPr="00512674"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City Of Sumas (Washington)</w:t>
      </w:r>
    </w:p>
    <w:p w:rsidR="005A2901" w:rsidRPr="00512674"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 xml:space="preserve">Lamar Light and Power (Colorado) </w:t>
      </w:r>
    </w:p>
    <w:p w:rsidR="005A2901" w:rsidRPr="00512674"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 xml:space="preserve">Village of </w:t>
      </w:r>
      <w:proofErr w:type="spellStart"/>
      <w:r w:rsidRPr="00512674">
        <w:rPr>
          <w:rFonts w:eastAsia="Times New Roman"/>
          <w:bCs/>
          <w:color w:val="000000"/>
        </w:rPr>
        <w:t>Merrillan</w:t>
      </w:r>
      <w:proofErr w:type="spellEnd"/>
      <w:r w:rsidRPr="00512674">
        <w:rPr>
          <w:rFonts w:eastAsia="Times New Roman"/>
          <w:bCs/>
          <w:color w:val="000000"/>
        </w:rPr>
        <w:t xml:space="preserve"> (Wisconsin) </w:t>
      </w:r>
    </w:p>
    <w:p w:rsidR="005A2901" w:rsidRPr="00512674"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 xml:space="preserve">City of Painesville Municipal Electric (Ohio)     </w:t>
      </w:r>
    </w:p>
    <w:p w:rsidR="005A2901" w:rsidRPr="00512674"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Cascade Municipal Utilities (Iowa)</w:t>
      </w:r>
    </w:p>
    <w:p w:rsidR="005A2901" w:rsidRPr="00512674"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 xml:space="preserve">Healdsburg Electric Department (California). </w:t>
      </w:r>
    </w:p>
    <w:p w:rsidR="005A2901" w:rsidRPr="00512674"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 xml:space="preserve">Mille </w:t>
      </w:r>
      <w:proofErr w:type="spellStart"/>
      <w:r w:rsidRPr="00512674">
        <w:rPr>
          <w:rFonts w:eastAsia="Times New Roman"/>
          <w:bCs/>
          <w:color w:val="000000"/>
        </w:rPr>
        <w:t>Lacs</w:t>
      </w:r>
      <w:proofErr w:type="spellEnd"/>
      <w:r w:rsidRPr="00512674">
        <w:rPr>
          <w:rFonts w:eastAsia="Times New Roman"/>
          <w:bCs/>
          <w:color w:val="000000"/>
        </w:rPr>
        <w:t xml:space="preserve"> Energy Cooperative (Minnesota)</w:t>
      </w:r>
    </w:p>
    <w:p w:rsidR="005A2901" w:rsidRPr="00512674"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 xml:space="preserve">City of Prescott (Arkansas) </w:t>
      </w:r>
    </w:p>
    <w:p w:rsidR="005A2901" w:rsidRPr="00512674"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 xml:space="preserve">Paton </w:t>
      </w:r>
      <w:r w:rsidR="00FC1C77">
        <w:rPr>
          <w:rFonts w:eastAsia="Times New Roman"/>
          <w:bCs/>
          <w:color w:val="000000"/>
        </w:rPr>
        <w:t xml:space="preserve">City </w:t>
      </w:r>
      <w:r w:rsidRPr="00512674">
        <w:rPr>
          <w:rFonts w:eastAsia="Times New Roman"/>
          <w:bCs/>
          <w:color w:val="000000"/>
        </w:rPr>
        <w:t>(Iowa)</w:t>
      </w:r>
    </w:p>
    <w:p w:rsidR="005A2901" w:rsidRPr="00512674"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Village of Brocton (New York)</w:t>
      </w:r>
    </w:p>
    <w:p w:rsidR="001C5700" w:rsidRDefault="005A2901" w:rsidP="001C5700">
      <w:pPr>
        <w:spacing w:before="100" w:beforeAutospacing="1" w:after="100" w:afterAutospacing="1"/>
      </w:pPr>
      <w:r w:rsidRPr="005A2901">
        <w:rPr>
          <w:b/>
        </w:rPr>
        <w:t>Summary of Comments</w:t>
      </w:r>
      <w:r>
        <w:t>:</w:t>
      </w:r>
      <w:r w:rsidR="001C5700" w:rsidRPr="00347326">
        <w:t xml:space="preserve"> </w:t>
      </w:r>
      <w:r w:rsidR="001C5700">
        <w:t>These comments were i</w:t>
      </w:r>
      <w:r w:rsidR="001C5700" w:rsidRPr="00626E34">
        <w:t xml:space="preserve">n support </w:t>
      </w:r>
      <w:r w:rsidR="001C5700" w:rsidRPr="00347326">
        <w:t>of decreasing the Form EIA-861 frame size and implementing the proposed Form EIA-861S.</w:t>
      </w:r>
      <w:r>
        <w:t xml:space="preserve">  The </w:t>
      </w:r>
      <w:proofErr w:type="spellStart"/>
      <w:r>
        <w:t>commenters</w:t>
      </w:r>
      <w:proofErr w:type="spellEnd"/>
      <w:r>
        <w:t xml:space="preserve"> noted the reduction in burden and the ease of completing the simplified form for small entities with limited resources.</w:t>
      </w:r>
      <w:r w:rsidR="001D1739">
        <w:t xml:space="preserve">  The Bureau of Economic Analysis concluded that the data collected and estimated with the proposed changes would continue to support its national accounts work.</w:t>
      </w:r>
    </w:p>
    <w:p w:rsidR="005A2901" w:rsidRDefault="005A2901" w:rsidP="00D023B9"/>
    <w:p w:rsidR="005A2901" w:rsidRDefault="001C5700" w:rsidP="005A2901">
      <w:pPr>
        <w:pStyle w:val="Heading2"/>
      </w:pPr>
      <w:bookmarkStart w:id="97" w:name="_Toc343524169"/>
      <w:proofErr w:type="gramStart"/>
      <w:r w:rsidRPr="005E6CC9">
        <w:t>Opposed to decreasing the Form EIA-861 frame size and implementing the proposed Form EIA-861S</w:t>
      </w:r>
      <w:r w:rsidR="005A2901">
        <w:t>.</w:t>
      </w:r>
      <w:bookmarkEnd w:id="97"/>
      <w:proofErr w:type="gramEnd"/>
    </w:p>
    <w:p w:rsidR="005A2901" w:rsidRPr="00512674" w:rsidRDefault="005A2901" w:rsidP="005A2901">
      <w:pPr>
        <w:spacing w:before="100" w:beforeAutospacing="1" w:after="0"/>
        <w:ind w:left="360"/>
        <w:rPr>
          <w:rFonts w:eastAsia="Times New Roman"/>
          <w:b/>
          <w:bCs/>
          <w:color w:val="000000"/>
        </w:rPr>
      </w:pPr>
      <w:proofErr w:type="spellStart"/>
      <w:r w:rsidRPr="00512674">
        <w:rPr>
          <w:rFonts w:eastAsia="Times New Roman"/>
          <w:b/>
          <w:bCs/>
          <w:color w:val="000000"/>
        </w:rPr>
        <w:t>Commenters</w:t>
      </w:r>
      <w:proofErr w:type="spellEnd"/>
      <w:r w:rsidRPr="00512674">
        <w:rPr>
          <w:rFonts w:eastAsia="Times New Roman"/>
          <w:b/>
          <w:bCs/>
          <w:color w:val="000000"/>
        </w:rPr>
        <w:t>:</w:t>
      </w:r>
    </w:p>
    <w:p w:rsidR="005A2901" w:rsidRPr="00512674" w:rsidRDefault="005A2901" w:rsidP="00A62D30">
      <w:pPr>
        <w:pStyle w:val="ListParagraph"/>
        <w:numPr>
          <w:ilvl w:val="0"/>
          <w:numId w:val="11"/>
        </w:numPr>
        <w:spacing w:before="60" w:after="100" w:afterAutospacing="1"/>
        <w:ind w:left="1080"/>
        <w:contextualSpacing w:val="0"/>
        <w:rPr>
          <w:rFonts w:eastAsia="Times New Roman"/>
          <w:bCs/>
          <w:color w:val="000000"/>
        </w:rPr>
      </w:pPr>
      <w:r w:rsidRPr="00512674">
        <w:rPr>
          <w:rFonts w:eastAsia="Times New Roman"/>
          <w:bCs/>
          <w:color w:val="000000"/>
        </w:rPr>
        <w:t>American Public Power Association</w:t>
      </w:r>
    </w:p>
    <w:p w:rsidR="005A2901" w:rsidRPr="00512674"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Iowa Association of Municipal Utilities</w:t>
      </w:r>
    </w:p>
    <w:p w:rsidR="005A2901" w:rsidRPr="00512674"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Minnesota Municipal Utilities Association</w:t>
      </w:r>
    </w:p>
    <w:p w:rsidR="005A2901" w:rsidRDefault="005A2901" w:rsidP="00A62D30">
      <w:pPr>
        <w:pStyle w:val="ListParagraph"/>
        <w:numPr>
          <w:ilvl w:val="0"/>
          <w:numId w:val="11"/>
        </w:numPr>
        <w:spacing w:before="100" w:beforeAutospacing="1" w:after="100" w:afterAutospacing="1"/>
        <w:ind w:left="1080"/>
        <w:contextualSpacing w:val="0"/>
        <w:rPr>
          <w:rFonts w:eastAsia="Times New Roman"/>
          <w:bCs/>
          <w:color w:val="000000"/>
        </w:rPr>
      </w:pPr>
      <w:r w:rsidRPr="00512674">
        <w:rPr>
          <w:rFonts w:eastAsia="Times New Roman"/>
          <w:bCs/>
          <w:color w:val="000000"/>
        </w:rPr>
        <w:t>National Rural Electric Cooperative Association</w:t>
      </w:r>
    </w:p>
    <w:p w:rsidR="005A2901" w:rsidRPr="005A2901" w:rsidRDefault="005A2901" w:rsidP="00A62D30">
      <w:pPr>
        <w:pStyle w:val="ListParagraph"/>
        <w:numPr>
          <w:ilvl w:val="0"/>
          <w:numId w:val="11"/>
        </w:numPr>
        <w:spacing w:before="100" w:beforeAutospacing="1" w:after="100" w:afterAutospacing="1"/>
        <w:ind w:left="1080"/>
        <w:contextualSpacing w:val="0"/>
        <w:rPr>
          <w:b/>
        </w:rPr>
      </w:pPr>
      <w:proofErr w:type="spellStart"/>
      <w:r w:rsidRPr="005A2901">
        <w:rPr>
          <w:rFonts w:eastAsia="Times New Roman"/>
          <w:bCs/>
          <w:color w:val="000000"/>
        </w:rPr>
        <w:t>Ventyx</w:t>
      </w:r>
      <w:proofErr w:type="spellEnd"/>
      <w:r w:rsidRPr="005A2901">
        <w:rPr>
          <w:rFonts w:eastAsia="Times New Roman"/>
          <w:bCs/>
          <w:color w:val="000000"/>
        </w:rPr>
        <w:t>, an ABB Company</w:t>
      </w:r>
    </w:p>
    <w:p w:rsidR="001C5700" w:rsidRDefault="005A2901" w:rsidP="001C5700">
      <w:pPr>
        <w:spacing w:before="100" w:beforeAutospacing="1" w:after="100" w:afterAutospacing="1"/>
      </w:pPr>
      <w:r>
        <w:rPr>
          <w:b/>
        </w:rPr>
        <w:t>Summary of Comments</w:t>
      </w:r>
      <w:r w:rsidR="001C5700" w:rsidRPr="00512674">
        <w:rPr>
          <w:b/>
        </w:rPr>
        <w:t xml:space="preserve">: </w:t>
      </w:r>
      <w:r w:rsidR="001C5700" w:rsidRPr="00512674">
        <w:t>These comments raised concern about the loss of data for small utilities.</w:t>
      </w:r>
      <w:r w:rsidR="001C5700">
        <w:t xml:space="preserve">  </w:t>
      </w:r>
      <w:r>
        <w:t>A</w:t>
      </w:r>
      <w:r w:rsidR="001C5700">
        <w:t xml:space="preserve"> data firm</w:t>
      </w:r>
      <w:r>
        <w:t>,</w:t>
      </w:r>
      <w:r w:rsidR="001C5700">
        <w:t xml:space="preserve"> </w:t>
      </w:r>
      <w:proofErr w:type="spellStart"/>
      <w:r w:rsidR="001C5700">
        <w:t>Ventyx</w:t>
      </w:r>
      <w:proofErr w:type="spellEnd"/>
      <w:r>
        <w:t>,</w:t>
      </w:r>
      <w:r w:rsidR="001C5700">
        <w:t xml:space="preserve"> was generally concerned about the loss of data on a segment of the electric power industry.  The other negative comments came from trade </w:t>
      </w:r>
      <w:r>
        <w:t>groups</w:t>
      </w:r>
      <w:r w:rsidR="001C5700">
        <w:t xml:space="preserve"> (American Public Power Association, Iowa Association of Municipal Utilities, Minnesota Municipal Utilities Association, and the National Rural Electric Cooperative Association) representing municipal and cooperative utilities</w:t>
      </w:r>
      <w:r>
        <w:t xml:space="preserve">; that is, </w:t>
      </w:r>
      <w:r w:rsidR="001C5700">
        <w:t xml:space="preserve">the type of small entities that would be moved to limited annual data collection on the new </w:t>
      </w:r>
      <w:r w:rsidR="00C06F26">
        <w:t xml:space="preserve">Form </w:t>
      </w:r>
      <w:r w:rsidR="001C5700">
        <w:t>EIA-861S survey.  The concerns raised by these trade groups included the following:</w:t>
      </w:r>
    </w:p>
    <w:p w:rsidR="001C5700" w:rsidRDefault="001C5700" w:rsidP="00A62D30">
      <w:pPr>
        <w:pStyle w:val="ListParagraph"/>
        <w:numPr>
          <w:ilvl w:val="0"/>
          <w:numId w:val="15"/>
        </w:numPr>
        <w:spacing w:before="120" w:after="120"/>
        <w:contextualSpacing w:val="0"/>
      </w:pPr>
      <w:r>
        <w:t xml:space="preserve">The data collected on the </w:t>
      </w:r>
      <w:r w:rsidR="00C06F26">
        <w:t xml:space="preserve">Form </w:t>
      </w:r>
      <w:r>
        <w:t xml:space="preserve">EIA-861 is a primary source of information on </w:t>
      </w:r>
      <w:r w:rsidR="005A2901">
        <w:t>the activities of small utilities.  There is no alternative source of information.</w:t>
      </w:r>
    </w:p>
    <w:p w:rsidR="005A2901" w:rsidRDefault="005A2901" w:rsidP="00A62D30">
      <w:pPr>
        <w:pStyle w:val="ListParagraph"/>
        <w:numPr>
          <w:ilvl w:val="0"/>
          <w:numId w:val="15"/>
        </w:numPr>
        <w:spacing w:before="120" w:after="120"/>
        <w:contextualSpacing w:val="0"/>
      </w:pPr>
      <w:r>
        <w:t>The data are used by small utilities to benchmark their performance against peers.</w:t>
      </w:r>
      <w:r w:rsidR="008B1F61">
        <w:t xml:space="preserve">  If the data collected on small utilities is reduced the basis for </w:t>
      </w:r>
      <w:r w:rsidR="001D1739">
        <w:t xml:space="preserve">certain </w:t>
      </w:r>
      <w:r w:rsidR="008B1F61">
        <w:t>benchmarking studies will no longer exist.</w:t>
      </w:r>
    </w:p>
    <w:p w:rsidR="001C5700" w:rsidRPr="008B1F61" w:rsidRDefault="005A2901" w:rsidP="00A62D30">
      <w:pPr>
        <w:pStyle w:val="ListParagraph"/>
        <w:numPr>
          <w:ilvl w:val="0"/>
          <w:numId w:val="15"/>
        </w:numPr>
        <w:spacing w:before="120" w:after="120"/>
        <w:contextualSpacing w:val="0"/>
      </w:pPr>
      <w:r>
        <w:t xml:space="preserve">EIA has already reduced the data available on small utilities when it terminated in 2005 (for budgetary reasons) the </w:t>
      </w:r>
      <w:r w:rsidR="00C06F26">
        <w:t xml:space="preserve">Form </w:t>
      </w:r>
      <w:r>
        <w:t>EIA-412 survey</w:t>
      </w:r>
      <w:r w:rsidR="008B1F61">
        <w:t xml:space="preserve"> (“</w:t>
      </w:r>
      <w:r w:rsidR="008B1F61" w:rsidRPr="008B1F61">
        <w:t>Annual Electric Industry Financial Report</w:t>
      </w:r>
      <w:r w:rsidR="008B1F61">
        <w:t>”)</w:t>
      </w:r>
      <w:r>
        <w:t xml:space="preserve">, which collected financial data on public </w:t>
      </w:r>
      <w:r w:rsidR="008B1F61">
        <w:t xml:space="preserve">power </w:t>
      </w:r>
      <w:r>
        <w:t>utilities.</w:t>
      </w:r>
      <w:r w:rsidR="008B1F61">
        <w:rPr>
          <w:rStyle w:val="FootnoteReference"/>
        </w:rPr>
        <w:footnoteReference w:id="12"/>
      </w:r>
      <w:r>
        <w:t xml:space="preserve">  The proposed changes would therefore be a further cut in the data available on this industry segment.</w:t>
      </w:r>
    </w:p>
    <w:p w:rsidR="00FC1C77" w:rsidRDefault="008B1F61" w:rsidP="008B1F61">
      <w:pPr>
        <w:spacing w:before="100" w:beforeAutospacing="1" w:after="100" w:afterAutospacing="1"/>
      </w:pPr>
      <w:r>
        <w:rPr>
          <w:b/>
        </w:rPr>
        <w:t xml:space="preserve">EIA </w:t>
      </w:r>
      <w:r w:rsidR="001C5700" w:rsidRPr="006C15AF">
        <w:rPr>
          <w:b/>
        </w:rPr>
        <w:t>Response</w:t>
      </w:r>
      <w:r w:rsidR="001C5700">
        <w:t xml:space="preserve">: </w:t>
      </w:r>
      <w:r>
        <w:t xml:space="preserve">While recognizing the concerns raised, in particular, by the public power and cooperative trade associations, EIA must balance the issues raised by these trade groups against other factors: EIA’s need to reduce its data processing costs and the agency’s mandate to minimize the data reporting burden.  As discussed above, small utilities generally have the most difficulty accurately completing the </w:t>
      </w:r>
      <w:r w:rsidR="00C06F26">
        <w:t xml:space="preserve">Form </w:t>
      </w:r>
      <w:r>
        <w:t xml:space="preserve">EIA-861 survey and </w:t>
      </w:r>
      <w:r w:rsidR="00FC1C77">
        <w:t xml:space="preserve">consume a disproportionate share of EIA’s data review time and effort.  Moreover, for most small utilities the bulk of the </w:t>
      </w:r>
      <w:r w:rsidR="00C06F26">
        <w:t xml:space="preserve">Form </w:t>
      </w:r>
      <w:r w:rsidR="00FC1C77">
        <w:t>EIA-861 requests information on activities which these small entities do not have (e.g., Demand Response programs)</w:t>
      </w:r>
      <w:r w:rsidR="001D1739">
        <w:t xml:space="preserve">; </w:t>
      </w:r>
      <w:r w:rsidR="007E2D64">
        <w:t xml:space="preserve">nonetheless, </w:t>
      </w:r>
      <w:r w:rsidR="001D1739">
        <w:t>the small utilities may still review these questions and even submit spurious responses</w:t>
      </w:r>
      <w:r w:rsidR="00FC1C77">
        <w:t>.  Even basic reporting requirements, such as allocating electricity sales to standard industry sectors, has been challenging for these small utility respondents.</w:t>
      </w:r>
    </w:p>
    <w:p w:rsidR="008B1F61" w:rsidRDefault="00FC1C77" w:rsidP="008B1F61">
      <w:pPr>
        <w:spacing w:before="100" w:beforeAutospacing="1" w:after="100" w:afterAutospacing="1"/>
      </w:pPr>
      <w:r>
        <w:t>EIA must also consider that it received comments from small utilities supporting the proposed changes, precisely because of the burden reduction.   These entities, mainly small municipal utilities, are listed above in this appendix under the heading “</w:t>
      </w:r>
      <w:r w:rsidRPr="00FC1C77">
        <w:t>In support of reducing the frame for the Form EIA-861 and creating the new Form EIA-861S</w:t>
      </w:r>
      <w:r>
        <w:t>.”</w:t>
      </w:r>
    </w:p>
    <w:p w:rsidR="00FC1C77" w:rsidRDefault="001C5700" w:rsidP="008B1F61">
      <w:pPr>
        <w:spacing w:before="100" w:beforeAutospacing="1" w:after="100" w:afterAutospacing="1"/>
      </w:pPr>
      <w:r>
        <w:t xml:space="preserve">After receipt of their comments, EIA met with the national trade groups, the </w:t>
      </w:r>
      <w:r w:rsidRPr="00875E53">
        <w:t>American Public Power Association</w:t>
      </w:r>
      <w:r>
        <w:t xml:space="preserve"> and the National Rural Electric Cooperative Association.  Based on these discussions, it appears that the concerns of these groups can be ameliorated in part </w:t>
      </w:r>
      <w:r w:rsidR="00452485">
        <w:t>by making the following change to EIA’s original proposal</w:t>
      </w:r>
      <w:r w:rsidR="00FC1C77">
        <w:t>:</w:t>
      </w:r>
    </w:p>
    <w:p w:rsidR="00452485" w:rsidRPr="00B61026" w:rsidRDefault="001C5700" w:rsidP="008B1F61">
      <w:pPr>
        <w:spacing w:before="100" w:beforeAutospacing="1" w:after="100" w:afterAutospacing="1"/>
      </w:pPr>
      <w:r w:rsidRPr="00452485">
        <w:rPr>
          <w:i/>
        </w:rPr>
        <w:t xml:space="preserve">EIA </w:t>
      </w:r>
      <w:r w:rsidR="00452485" w:rsidRPr="00452485">
        <w:rPr>
          <w:i/>
        </w:rPr>
        <w:t xml:space="preserve">will </w:t>
      </w:r>
      <w:r w:rsidRPr="00452485">
        <w:rPr>
          <w:i/>
        </w:rPr>
        <w:t xml:space="preserve">add to the </w:t>
      </w:r>
      <w:r w:rsidR="00C06F26">
        <w:rPr>
          <w:i/>
        </w:rPr>
        <w:t xml:space="preserve">Form </w:t>
      </w:r>
      <w:r w:rsidRPr="00452485">
        <w:rPr>
          <w:i/>
        </w:rPr>
        <w:t>EIA-861S the collection of data on retail sales revenues</w:t>
      </w:r>
      <w:r w:rsidR="00860937">
        <w:rPr>
          <w:i/>
        </w:rPr>
        <w:t xml:space="preserve"> </w:t>
      </w:r>
      <w:r w:rsidR="00860937" w:rsidRPr="00B61026">
        <w:rPr>
          <w:i/>
        </w:rPr>
        <w:t>and customer counts</w:t>
      </w:r>
      <w:r w:rsidR="00452485" w:rsidRPr="00B61026">
        <w:t xml:space="preserve">: The primary (and usually sole) function of small utilities is retail electricity delivery and sales.  Power sales can be </w:t>
      </w:r>
      <w:r w:rsidR="00B61026">
        <w:t>viewed</w:t>
      </w:r>
      <w:r w:rsidR="00452485" w:rsidRPr="00B61026">
        <w:t xml:space="preserve"> as having five defining characteristics:</w:t>
      </w:r>
    </w:p>
    <w:p w:rsidR="0010739C" w:rsidRPr="00B61026" w:rsidRDefault="0010739C" w:rsidP="0010739C">
      <w:pPr>
        <w:pStyle w:val="ListParagraph"/>
        <w:numPr>
          <w:ilvl w:val="0"/>
          <w:numId w:val="16"/>
        </w:numPr>
        <w:spacing w:before="120" w:after="120"/>
        <w:contextualSpacing w:val="0"/>
      </w:pPr>
      <w:r w:rsidRPr="00B61026">
        <w:t>Volume of Sales (</w:t>
      </w:r>
      <w:proofErr w:type="spellStart"/>
      <w:r w:rsidRPr="00B61026">
        <w:t>MWh</w:t>
      </w:r>
      <w:proofErr w:type="spellEnd"/>
      <w:r w:rsidRPr="00B61026">
        <w:t>).</w:t>
      </w:r>
    </w:p>
    <w:p w:rsidR="0010739C" w:rsidRPr="00B61026" w:rsidRDefault="0010739C" w:rsidP="0010739C">
      <w:pPr>
        <w:pStyle w:val="ListParagraph"/>
        <w:numPr>
          <w:ilvl w:val="0"/>
          <w:numId w:val="16"/>
        </w:numPr>
        <w:spacing w:before="120" w:after="120"/>
        <w:contextualSpacing w:val="0"/>
      </w:pPr>
      <w:r w:rsidRPr="00B61026">
        <w:t>Revenue from Sales (dollars)</w:t>
      </w:r>
    </w:p>
    <w:p w:rsidR="0010739C" w:rsidRDefault="0010739C" w:rsidP="0010739C">
      <w:pPr>
        <w:pStyle w:val="ListParagraph"/>
        <w:numPr>
          <w:ilvl w:val="0"/>
          <w:numId w:val="16"/>
        </w:numPr>
        <w:spacing w:before="120" w:after="120"/>
        <w:contextualSpacing w:val="0"/>
      </w:pPr>
      <w:r w:rsidRPr="00B61026">
        <w:t>Number of Customers.</w:t>
      </w:r>
    </w:p>
    <w:p w:rsidR="00452485" w:rsidRPr="00B61026" w:rsidRDefault="00452485" w:rsidP="0010739C">
      <w:pPr>
        <w:pStyle w:val="ListParagraph"/>
        <w:numPr>
          <w:ilvl w:val="0"/>
          <w:numId w:val="16"/>
        </w:numPr>
        <w:spacing w:before="120" w:after="120"/>
        <w:contextualSpacing w:val="0"/>
      </w:pPr>
      <w:r w:rsidRPr="00B61026">
        <w:t>Type of Customers (residential, industrial, commercial, and transportation).</w:t>
      </w:r>
    </w:p>
    <w:p w:rsidR="00452485" w:rsidRPr="00B61026" w:rsidRDefault="00452485" w:rsidP="0010739C">
      <w:pPr>
        <w:pStyle w:val="ListParagraph"/>
        <w:numPr>
          <w:ilvl w:val="0"/>
          <w:numId w:val="16"/>
        </w:numPr>
        <w:spacing w:before="120" w:after="120"/>
        <w:contextualSpacing w:val="0"/>
      </w:pPr>
      <w:r w:rsidRPr="00B61026">
        <w:t xml:space="preserve">Average Rate, which can be computed as revenue divided by sales volume, yielding the average rate in dollars per </w:t>
      </w:r>
      <w:proofErr w:type="spellStart"/>
      <w:r w:rsidRPr="00B61026">
        <w:t>M</w:t>
      </w:r>
      <w:r w:rsidR="00C06F26" w:rsidRPr="00B61026">
        <w:t>W</w:t>
      </w:r>
      <w:r w:rsidRPr="00B61026">
        <w:t>h</w:t>
      </w:r>
      <w:proofErr w:type="spellEnd"/>
      <w:r w:rsidRPr="00B61026">
        <w:t>.</w:t>
      </w:r>
    </w:p>
    <w:p w:rsidR="0010739C" w:rsidRDefault="0010739C" w:rsidP="008B1F61">
      <w:pPr>
        <w:spacing w:before="100" w:beforeAutospacing="1" w:after="100" w:afterAutospacing="1"/>
      </w:pPr>
      <w:r>
        <w:t xml:space="preserve">Of the elements listed above, </w:t>
      </w:r>
      <w:r w:rsidR="00452485" w:rsidRPr="00B61026">
        <w:t>EIA’s</w:t>
      </w:r>
      <w:r w:rsidR="00FC1C77" w:rsidRPr="00B61026">
        <w:t xml:space="preserve"> original proposal provided </w:t>
      </w:r>
      <w:r>
        <w:t xml:space="preserve">only </w:t>
      </w:r>
      <w:r w:rsidR="00FC1C77" w:rsidRPr="00B61026">
        <w:t xml:space="preserve">for the collection of </w:t>
      </w:r>
      <w:r w:rsidR="00BA4902" w:rsidRPr="00B61026">
        <w:t xml:space="preserve">Volume of Sales.  </w:t>
      </w:r>
      <w:r>
        <w:t>Other data elements would have been estimated</w:t>
      </w:r>
      <w:r w:rsidR="00FC1C77" w:rsidRPr="00B61026">
        <w:t xml:space="preserve">. </w:t>
      </w:r>
    </w:p>
    <w:p w:rsidR="00FC1C77" w:rsidRDefault="0010739C" w:rsidP="008B1F61">
      <w:pPr>
        <w:spacing w:before="100" w:beforeAutospacing="1" w:after="100" w:afterAutospacing="1"/>
      </w:pPr>
      <w:r>
        <w:t xml:space="preserve">EIA’s revised proposal adds to the data collection </w:t>
      </w:r>
      <w:r w:rsidR="00BA4902" w:rsidRPr="00B61026">
        <w:t xml:space="preserve">Revenue from Sales </w:t>
      </w:r>
      <w:r w:rsidR="00860937" w:rsidRPr="00B61026">
        <w:t>and Number of Customers</w:t>
      </w:r>
      <w:r>
        <w:t>.  By collecting this information</w:t>
      </w:r>
      <w:r w:rsidR="00452485">
        <w:t xml:space="preserve"> </w:t>
      </w:r>
      <w:r w:rsidR="00BA4902">
        <w:t xml:space="preserve">EIA </w:t>
      </w:r>
      <w:r w:rsidR="00452485">
        <w:t xml:space="preserve">will provide a full set of data on the core power sales activities of </w:t>
      </w:r>
      <w:r w:rsidR="001D1739">
        <w:t>each individual responding company</w:t>
      </w:r>
      <w:r w:rsidR="00452485">
        <w:t xml:space="preserve">.  It </w:t>
      </w:r>
      <w:r w:rsidR="00BA4902">
        <w:t xml:space="preserve">will </w:t>
      </w:r>
      <w:r w:rsidR="00452485">
        <w:t xml:space="preserve">allow EIA and other data users to compute </w:t>
      </w:r>
      <w:r w:rsidR="00BA4902">
        <w:t>A</w:t>
      </w:r>
      <w:r w:rsidR="00452485">
        <w:t xml:space="preserve">verage </w:t>
      </w:r>
      <w:r w:rsidR="00BA4902">
        <w:t>Rates</w:t>
      </w:r>
      <w:r w:rsidR="001D1739">
        <w:t xml:space="preserve"> for each company</w:t>
      </w:r>
      <w:r w:rsidR="00BA4902">
        <w:t>, which is understood to be one of the key benchmarking data points for the trade associations.</w:t>
      </w:r>
    </w:p>
    <w:p w:rsidR="00BA4902" w:rsidRDefault="00BA4902" w:rsidP="00BA4902">
      <w:pPr>
        <w:spacing w:before="100" w:beforeAutospacing="1" w:after="100" w:afterAutospacing="1"/>
      </w:pPr>
      <w:r>
        <w:t xml:space="preserve">Note that as in the original proposal, EIA </w:t>
      </w:r>
      <w:r w:rsidR="001D1739">
        <w:t xml:space="preserve">will </w:t>
      </w:r>
      <w:r>
        <w:t>use a statistical imputation procedure (see Part B of this supporting statement) to allocate sales, revenues, and customer counts to the Type of Customer categories.  This approach is used because of EIA’s experience that the small entities have great difficulty distinguishing between these categories.</w:t>
      </w:r>
    </w:p>
    <w:p w:rsidR="001C5700" w:rsidRPr="00133A8C" w:rsidRDefault="001C5700" w:rsidP="00BA4902">
      <w:pPr>
        <w:spacing w:before="100" w:beforeAutospacing="1" w:after="100" w:afterAutospacing="1"/>
      </w:pPr>
      <w:r w:rsidRPr="009E7CE5">
        <w:t xml:space="preserve">EIA otherwise plans to maintain its basic proposal to reduce the </w:t>
      </w:r>
      <w:r w:rsidR="00C06F26">
        <w:t xml:space="preserve">Form </w:t>
      </w:r>
      <w:r w:rsidRPr="009E7CE5">
        <w:t xml:space="preserve">EIA-861 survey to a sample and collect a limited set of data from approximately 1,100 small entities on the new EIA-861S form.  EIA </w:t>
      </w:r>
      <w:r>
        <w:t xml:space="preserve">believes </w:t>
      </w:r>
      <w:r w:rsidRPr="009E7CE5">
        <w:t>the reduction in burden on respondents and on EIA justifies this change, considering that the 1,100 entities account for only about one percent of national retail electricity sales</w:t>
      </w:r>
      <w:r w:rsidR="00BA4902">
        <w:t>, and also noting the support for the proposed changes received from a number of small utilities</w:t>
      </w:r>
      <w:r w:rsidRPr="009E7CE5">
        <w:t>.</w:t>
      </w:r>
    </w:p>
    <w:p w:rsidR="001C5700" w:rsidRPr="009D2A64" w:rsidRDefault="001C5700" w:rsidP="001C5700">
      <w:pPr>
        <w:spacing w:after="0" w:line="240" w:lineRule="auto"/>
        <w:rPr>
          <w:sz w:val="28"/>
          <w:szCs w:val="28"/>
        </w:rPr>
      </w:pPr>
    </w:p>
    <w:p w:rsidR="00D9245C" w:rsidRDefault="00D9245C" w:rsidP="001C5700"/>
    <w:p w:rsidR="00D023B9" w:rsidRDefault="00D023B9">
      <w:pPr>
        <w:spacing w:after="0" w:line="240" w:lineRule="auto"/>
      </w:pPr>
      <w:r>
        <w:rPr>
          <w:b/>
          <w:bCs/>
        </w:rPr>
        <w:br w:type="page"/>
      </w:r>
    </w:p>
    <w:p w:rsidR="00E83F15" w:rsidRPr="00FD1542" w:rsidRDefault="00E83F15" w:rsidP="00E83F15">
      <w:pPr>
        <w:pStyle w:val="Heading1"/>
        <w:rPr>
          <w:color w:val="000000" w:themeColor="text1"/>
        </w:rPr>
      </w:pPr>
      <w:bookmarkStart w:id="98" w:name="_Toc343524170"/>
      <w:r w:rsidRPr="00FD1542">
        <w:t>Appendix A-</w:t>
      </w:r>
      <w:r>
        <w:t>2</w:t>
      </w:r>
      <w:r w:rsidRPr="00FD1542">
        <w:t>: Comments Received in Response to the Open Federal Register Notice (Federal Register/Vol. 77, No.</w:t>
      </w:r>
      <w:r>
        <w:t xml:space="preserve"> 169</w:t>
      </w:r>
      <w:r w:rsidRPr="00FD1542">
        <w:t xml:space="preserve">) Published </w:t>
      </w:r>
      <w:r>
        <w:t>August 30</w:t>
      </w:r>
      <w:r w:rsidRPr="00FD1542">
        <w:t>, 2012</w:t>
      </w:r>
      <w:bookmarkEnd w:id="98"/>
    </w:p>
    <w:p w:rsidR="00E83F15" w:rsidRPr="00245429" w:rsidRDefault="00E83F15" w:rsidP="00E83F15">
      <w:pPr>
        <w:spacing w:before="100" w:beforeAutospacing="1" w:after="0"/>
        <w:jc w:val="both"/>
      </w:pPr>
      <w:r w:rsidRPr="00245429">
        <w:t xml:space="preserve">A request for comments from interested persons was solicited in the </w:t>
      </w:r>
      <w:r w:rsidRPr="00512674">
        <w:t>Federal Register</w:t>
      </w:r>
      <w:r w:rsidRPr="00245429">
        <w:t xml:space="preserve"> Notice that proposed approval for</w:t>
      </w:r>
      <w:r>
        <w:t>:</w:t>
      </w:r>
    </w:p>
    <w:p w:rsidR="00E83F15" w:rsidRPr="00245429" w:rsidRDefault="00E83F15" w:rsidP="00E83F15">
      <w:pPr>
        <w:pStyle w:val="ListParagraph"/>
        <w:numPr>
          <w:ilvl w:val="0"/>
          <w:numId w:val="9"/>
        </w:numPr>
        <w:spacing w:before="120" w:after="120"/>
        <w:contextualSpacing w:val="0"/>
      </w:pPr>
      <w:r w:rsidRPr="00245429">
        <w:t>Form EIA-923, “Power Plant Operations Report,” Schedule 2, Cost and Quality of Fuel Purchases – Plant Level</w:t>
      </w:r>
    </w:p>
    <w:p w:rsidR="00E83F15" w:rsidRPr="00245429" w:rsidRDefault="00E83F15" w:rsidP="00E83F15">
      <w:pPr>
        <w:pStyle w:val="ListParagraph"/>
        <w:numPr>
          <w:ilvl w:val="0"/>
          <w:numId w:val="9"/>
        </w:numPr>
        <w:spacing w:before="120" w:after="120"/>
        <w:contextualSpacing w:val="0"/>
      </w:pPr>
      <w:r w:rsidRPr="00245429">
        <w:t>Form EIA-861, “Annual</w:t>
      </w:r>
      <w:r w:rsidRPr="00245429">
        <w:rPr>
          <w:b/>
        </w:rPr>
        <w:t xml:space="preserve"> </w:t>
      </w:r>
      <w:r w:rsidRPr="00245429">
        <w:t>Electric Power</w:t>
      </w:r>
      <w:r w:rsidRPr="00245429">
        <w:rPr>
          <w:b/>
        </w:rPr>
        <w:t xml:space="preserve"> </w:t>
      </w:r>
      <w:r w:rsidRPr="00245429">
        <w:t xml:space="preserve">Industry Report” </w:t>
      </w:r>
    </w:p>
    <w:p w:rsidR="00E83F15" w:rsidRPr="00245429" w:rsidRDefault="00E83F15" w:rsidP="00E83F15">
      <w:pPr>
        <w:pStyle w:val="ListParagraph"/>
        <w:numPr>
          <w:ilvl w:val="0"/>
          <w:numId w:val="9"/>
        </w:numPr>
        <w:spacing w:before="120" w:after="120"/>
        <w:contextualSpacing w:val="0"/>
      </w:pPr>
      <w:r w:rsidRPr="00245429">
        <w:t>Form EIA-861S, “Annual Electric Power Industry Report (Short Form)”</w:t>
      </w:r>
    </w:p>
    <w:p w:rsidR="00E83F15" w:rsidRDefault="00E83F15" w:rsidP="00E83F15">
      <w:r>
        <w:t>In addition to the publication of the Federal Register Notice, EIA took the following steps to encourage comments from survey respondents and stakeholders:</w:t>
      </w:r>
    </w:p>
    <w:p w:rsidR="00E83F15" w:rsidRDefault="00E83F15" w:rsidP="00AF1756">
      <w:pPr>
        <w:pStyle w:val="ListParagraph"/>
        <w:numPr>
          <w:ilvl w:val="0"/>
          <w:numId w:val="17"/>
        </w:numPr>
        <w:spacing w:before="120" w:after="120"/>
        <w:contextualSpacing w:val="0"/>
      </w:pPr>
      <w:r>
        <w:t>EIA sent an email to the approximately 3,573 respondents of the Form EIA-923 and the Form EIA-861 describing the proposed changes to the forms and soliciting comments.  The notice also included a link to the Federal Register Notice, information on how to submit comments to the Office of Management and Budget (OMB), the deadline for comments, and a link to the revised versions of the forms and instructions on EIA’s website.</w:t>
      </w:r>
    </w:p>
    <w:p w:rsidR="00E83F15" w:rsidRDefault="00E83F15" w:rsidP="00AF1756">
      <w:pPr>
        <w:pStyle w:val="ListParagraph"/>
        <w:numPr>
          <w:ilvl w:val="0"/>
          <w:numId w:val="17"/>
        </w:numPr>
        <w:spacing w:before="120" w:after="120"/>
        <w:contextualSpacing w:val="0"/>
      </w:pPr>
      <w:r>
        <w:t>EIA maintains a list of electric power data stakeholders, such as academics, trade association staff, and analysts in government and industry.  These 217 stakeholders were sent an email similar to that sent to survey respondents.</w:t>
      </w:r>
    </w:p>
    <w:p w:rsidR="00E83F15" w:rsidRDefault="00E83F15" w:rsidP="00AF1756">
      <w:pPr>
        <w:pStyle w:val="ListParagraph"/>
        <w:numPr>
          <w:ilvl w:val="0"/>
          <w:numId w:val="17"/>
        </w:numPr>
        <w:spacing w:before="120" w:after="120"/>
        <w:contextualSpacing w:val="0"/>
      </w:pPr>
      <w:r>
        <w:t xml:space="preserve">During the 60-day review period the National Rural Electric Cooperative Association (NRECA) and the American Public Power Association (APPA) expressed concerns with EIA’s proposal for the new Form EIA-861S.  Both associations felt that the range of information to be collected on the Form EIA-861S was too limited. </w:t>
      </w:r>
    </w:p>
    <w:p w:rsidR="00E83F15" w:rsidRDefault="00E83F15" w:rsidP="00AF1756">
      <w:pPr>
        <w:pStyle w:val="ListParagraph"/>
        <w:spacing w:before="120" w:after="120"/>
      </w:pPr>
      <w:r>
        <w:t>EIA met with representatives of each organization and in response to their concerns made changes to the proposed Form EIA-861S (discussed in Appendix A-1 and below).  As follow-up, for the 30-day comment period EIA sent NRECA and APA e-mails describing the proposed modifications and providing a link to the revised versions of the forms and instructions.</w:t>
      </w:r>
    </w:p>
    <w:p w:rsidR="00E83F15" w:rsidRDefault="00E83F15" w:rsidP="00E83F15">
      <w:r>
        <w:t>A total of eight c</w:t>
      </w:r>
      <w:r w:rsidRPr="00245429">
        <w:t xml:space="preserve">omments </w:t>
      </w:r>
      <w:r>
        <w:t xml:space="preserve">were </w:t>
      </w:r>
      <w:r w:rsidRPr="00245429">
        <w:t xml:space="preserve">received from the entities </w:t>
      </w:r>
      <w:r>
        <w:t xml:space="preserve">or individuals </w:t>
      </w:r>
      <w:r w:rsidRPr="00245429">
        <w:t>listed below</w:t>
      </w:r>
      <w:r>
        <w:t xml:space="preserve"> and are discussed in this appendix.</w:t>
      </w:r>
    </w:p>
    <w:p w:rsidR="00E83F15" w:rsidRDefault="00E83F15" w:rsidP="00E83F15">
      <w:pPr>
        <w:pStyle w:val="ListParagraph"/>
        <w:numPr>
          <w:ilvl w:val="0"/>
          <w:numId w:val="18"/>
        </w:numPr>
        <w:spacing w:before="120" w:after="120" w:line="240" w:lineRule="auto"/>
        <w:contextualSpacing w:val="0"/>
      </w:pPr>
      <w:r>
        <w:t xml:space="preserve">American Public Power Association </w:t>
      </w:r>
    </w:p>
    <w:p w:rsidR="00E83F15" w:rsidRDefault="00E83F15" w:rsidP="00E83F15">
      <w:pPr>
        <w:pStyle w:val="ListParagraph"/>
        <w:numPr>
          <w:ilvl w:val="0"/>
          <w:numId w:val="18"/>
        </w:numPr>
        <w:spacing w:before="120" w:after="120" w:line="240" w:lineRule="auto"/>
        <w:contextualSpacing w:val="0"/>
      </w:pPr>
      <w:r>
        <w:t>Bureau of Economic Analysis</w:t>
      </w:r>
    </w:p>
    <w:p w:rsidR="00E83F15" w:rsidRPr="003F0D5F" w:rsidRDefault="00E83F15" w:rsidP="00E83F15">
      <w:pPr>
        <w:pStyle w:val="ListParagraph"/>
        <w:numPr>
          <w:ilvl w:val="0"/>
          <w:numId w:val="18"/>
        </w:numPr>
        <w:spacing w:before="120" w:after="120" w:line="240" w:lineRule="auto"/>
        <w:contextualSpacing w:val="0"/>
        <w:rPr>
          <w:color w:val="000000" w:themeColor="text1"/>
        </w:rPr>
      </w:pPr>
      <w:r w:rsidRPr="003F0D5F">
        <w:rPr>
          <w:color w:val="000000" w:themeColor="text1"/>
        </w:rPr>
        <w:t>Florida Power &amp; Light</w:t>
      </w:r>
    </w:p>
    <w:p w:rsidR="00E83F15" w:rsidRPr="003F0D5F" w:rsidRDefault="00E83F15" w:rsidP="00E83F15">
      <w:pPr>
        <w:pStyle w:val="ListParagraph"/>
        <w:numPr>
          <w:ilvl w:val="0"/>
          <w:numId w:val="18"/>
        </w:numPr>
        <w:spacing w:before="120" w:after="120" w:line="240" w:lineRule="auto"/>
        <w:contextualSpacing w:val="0"/>
        <w:rPr>
          <w:color w:val="000000" w:themeColor="text1"/>
        </w:rPr>
      </w:pPr>
      <w:r w:rsidRPr="003F0D5F">
        <w:rPr>
          <w:color w:val="000000" w:themeColor="text1"/>
        </w:rPr>
        <w:t xml:space="preserve">Joint Comments of David </w:t>
      </w:r>
      <w:proofErr w:type="spellStart"/>
      <w:r w:rsidRPr="003F0D5F">
        <w:rPr>
          <w:color w:val="000000" w:themeColor="text1"/>
        </w:rPr>
        <w:t>Schmalzer</w:t>
      </w:r>
      <w:proofErr w:type="spellEnd"/>
      <w:r w:rsidRPr="003F0D5F">
        <w:rPr>
          <w:color w:val="000000" w:themeColor="text1"/>
        </w:rPr>
        <w:t xml:space="preserve"> and Donald Hanson</w:t>
      </w:r>
    </w:p>
    <w:p w:rsidR="00E83F15" w:rsidRPr="003F0D5F" w:rsidRDefault="00E83F15" w:rsidP="00E83F15">
      <w:pPr>
        <w:pStyle w:val="ListParagraph"/>
        <w:numPr>
          <w:ilvl w:val="0"/>
          <w:numId w:val="18"/>
        </w:numPr>
        <w:spacing w:before="120" w:after="120" w:line="240" w:lineRule="auto"/>
        <w:contextualSpacing w:val="0"/>
        <w:rPr>
          <w:color w:val="000000" w:themeColor="text1"/>
        </w:rPr>
      </w:pPr>
      <w:r w:rsidRPr="003F0D5F">
        <w:rPr>
          <w:color w:val="000000" w:themeColor="text1"/>
        </w:rPr>
        <w:t>Las Animas (C</w:t>
      </w:r>
      <w:r>
        <w:rPr>
          <w:color w:val="000000" w:themeColor="text1"/>
        </w:rPr>
        <w:t>olorado</w:t>
      </w:r>
      <w:r w:rsidRPr="003F0D5F">
        <w:rPr>
          <w:color w:val="000000" w:themeColor="text1"/>
        </w:rPr>
        <w:t xml:space="preserve">) Municipal </w:t>
      </w:r>
      <w:r>
        <w:rPr>
          <w:color w:val="000000" w:themeColor="text1"/>
        </w:rPr>
        <w:t xml:space="preserve">Light &amp; </w:t>
      </w:r>
      <w:r w:rsidRPr="003F0D5F">
        <w:rPr>
          <w:color w:val="000000" w:themeColor="text1"/>
        </w:rPr>
        <w:t>Power</w:t>
      </w:r>
    </w:p>
    <w:p w:rsidR="00E83F15" w:rsidRPr="003F0D5F" w:rsidRDefault="00E83F15" w:rsidP="00E83F15">
      <w:pPr>
        <w:pStyle w:val="ListParagraph"/>
        <w:numPr>
          <w:ilvl w:val="0"/>
          <w:numId w:val="18"/>
        </w:numPr>
        <w:spacing w:before="120" w:after="120" w:line="240" w:lineRule="auto"/>
        <w:contextualSpacing w:val="0"/>
        <w:rPr>
          <w:color w:val="000000" w:themeColor="text1"/>
        </w:rPr>
      </w:pPr>
      <w:r w:rsidRPr="003F0D5F">
        <w:rPr>
          <w:color w:val="000000" w:themeColor="text1"/>
        </w:rPr>
        <w:t xml:space="preserve">Medford (Wisconsin) </w:t>
      </w:r>
      <w:r>
        <w:rPr>
          <w:color w:val="000000" w:themeColor="text1"/>
        </w:rPr>
        <w:t xml:space="preserve">Municipal </w:t>
      </w:r>
      <w:r w:rsidRPr="003F0D5F">
        <w:rPr>
          <w:color w:val="000000" w:themeColor="text1"/>
        </w:rPr>
        <w:t>Electric Utility</w:t>
      </w:r>
    </w:p>
    <w:p w:rsidR="00E83F15" w:rsidRPr="003F0D5F" w:rsidRDefault="00E83F15" w:rsidP="00E83F15">
      <w:pPr>
        <w:pStyle w:val="ListParagraph"/>
        <w:numPr>
          <w:ilvl w:val="0"/>
          <w:numId w:val="18"/>
        </w:numPr>
        <w:spacing w:before="120" w:after="120" w:line="240" w:lineRule="auto"/>
        <w:contextualSpacing w:val="0"/>
        <w:rPr>
          <w:color w:val="000000" w:themeColor="text1"/>
        </w:rPr>
      </w:pPr>
      <w:r w:rsidRPr="003F0D5F">
        <w:rPr>
          <w:color w:val="000000" w:themeColor="text1"/>
        </w:rPr>
        <w:t>Minnesota Municipal Utilities Association</w:t>
      </w:r>
    </w:p>
    <w:p w:rsidR="00E83F15" w:rsidRDefault="00E83F15" w:rsidP="00E83F15">
      <w:pPr>
        <w:pStyle w:val="ListParagraph"/>
        <w:numPr>
          <w:ilvl w:val="0"/>
          <w:numId w:val="18"/>
        </w:numPr>
        <w:spacing w:before="120" w:after="120" w:line="240" w:lineRule="auto"/>
        <w:contextualSpacing w:val="0"/>
      </w:pPr>
      <w:r>
        <w:t xml:space="preserve">National Rural Electric Cooperative Association </w:t>
      </w:r>
    </w:p>
    <w:p w:rsidR="00E83F15" w:rsidRDefault="00E83F15" w:rsidP="00E83F15">
      <w:pPr>
        <w:rPr>
          <w:rStyle w:val="Heading2Char"/>
        </w:rPr>
      </w:pPr>
    </w:p>
    <w:p w:rsidR="00E83F15" w:rsidRPr="00F73E15" w:rsidRDefault="00E83F15" w:rsidP="00E83F15">
      <w:pPr>
        <w:rPr>
          <w:b/>
          <w:color w:val="000000" w:themeColor="text1"/>
        </w:rPr>
      </w:pPr>
      <w:bookmarkStart w:id="99" w:name="_Toc343524171"/>
      <w:r w:rsidRPr="00E83F15">
        <w:rPr>
          <w:rStyle w:val="Heading2Char"/>
        </w:rPr>
        <w:t>Comments related to the Forms EIA-861 and EIA-861S</w:t>
      </w:r>
      <w:bookmarkEnd w:id="99"/>
      <w:r>
        <w:rPr>
          <w:rStyle w:val="FootnoteReference"/>
          <w:b/>
          <w:color w:val="000000" w:themeColor="text1"/>
        </w:rPr>
        <w:footnoteReference w:id="13"/>
      </w:r>
    </w:p>
    <w:p w:rsidR="00E83F15" w:rsidRDefault="00E83F15" w:rsidP="00E83F15">
      <w:pPr>
        <w:rPr>
          <w:color w:val="000000" w:themeColor="text1"/>
        </w:rPr>
      </w:pPr>
      <w:r>
        <w:rPr>
          <w:color w:val="000000" w:themeColor="text1"/>
        </w:rPr>
        <w:t xml:space="preserve">Five of the eight comments addressed proposed changes to the Forms EIA-861 and EIA-861S.  </w:t>
      </w:r>
    </w:p>
    <w:p w:rsidR="00E83F15" w:rsidRDefault="00E83F15" w:rsidP="00E83F15">
      <w:pPr>
        <w:pStyle w:val="ListParagraph"/>
        <w:numPr>
          <w:ilvl w:val="0"/>
          <w:numId w:val="19"/>
        </w:numPr>
        <w:spacing w:before="120" w:after="120"/>
        <w:contextualSpacing w:val="0"/>
        <w:rPr>
          <w:color w:val="000000" w:themeColor="text1"/>
        </w:rPr>
      </w:pPr>
      <w:r w:rsidRPr="0058576C">
        <w:rPr>
          <w:color w:val="000000" w:themeColor="text1"/>
        </w:rPr>
        <w:t xml:space="preserve">The Bureau of Economic Analysis </w:t>
      </w:r>
      <w:r>
        <w:rPr>
          <w:color w:val="000000" w:themeColor="text1"/>
        </w:rPr>
        <w:t xml:space="preserve">and the </w:t>
      </w:r>
      <w:r w:rsidRPr="0058576C">
        <w:rPr>
          <w:color w:val="000000" w:themeColor="text1"/>
        </w:rPr>
        <w:t xml:space="preserve">Medford (Wisconsin) Municipal Electric Utility supported the proposed </w:t>
      </w:r>
      <w:r>
        <w:rPr>
          <w:color w:val="000000" w:themeColor="text1"/>
        </w:rPr>
        <w:t xml:space="preserve">changes without qualification. </w:t>
      </w:r>
    </w:p>
    <w:p w:rsidR="00E83F15" w:rsidRPr="00EB6909" w:rsidRDefault="00E83F15" w:rsidP="00E83F15">
      <w:pPr>
        <w:pStyle w:val="ListParagraph"/>
        <w:numPr>
          <w:ilvl w:val="0"/>
          <w:numId w:val="19"/>
        </w:numPr>
        <w:spacing w:before="120" w:after="120"/>
        <w:contextualSpacing w:val="0"/>
        <w:rPr>
          <w:color w:val="000000" w:themeColor="text1"/>
        </w:rPr>
      </w:pPr>
      <w:r w:rsidRPr="00EB6909">
        <w:rPr>
          <w:color w:val="000000" w:themeColor="text1"/>
        </w:rPr>
        <w:t xml:space="preserve"> The </w:t>
      </w:r>
      <w:r>
        <w:t xml:space="preserve">National Rural Electric Cooperative Association (NRECA) was satisfied with the modification that EIA made to the </w:t>
      </w:r>
      <w:r w:rsidRPr="00EB6909">
        <w:rPr>
          <w:color w:val="000000" w:themeColor="text1"/>
        </w:rPr>
        <w:t xml:space="preserve">proposed Form EIA-861S </w:t>
      </w:r>
      <w:r>
        <w:rPr>
          <w:color w:val="000000" w:themeColor="text1"/>
        </w:rPr>
        <w:t>following</w:t>
      </w:r>
      <w:r w:rsidRPr="00EB6909">
        <w:rPr>
          <w:color w:val="000000" w:themeColor="text1"/>
        </w:rPr>
        <w:t xml:space="preserve"> </w:t>
      </w:r>
      <w:r>
        <w:rPr>
          <w:color w:val="000000" w:themeColor="text1"/>
        </w:rPr>
        <w:t xml:space="preserve">the association’s </w:t>
      </w:r>
      <w:r w:rsidRPr="00EB6909">
        <w:rPr>
          <w:color w:val="000000" w:themeColor="text1"/>
        </w:rPr>
        <w:t>earlier comments</w:t>
      </w:r>
      <w:r>
        <w:t>.  In a September 25, 2012 letter, NRECA wrote:</w:t>
      </w:r>
    </w:p>
    <w:p w:rsidR="00E83F15" w:rsidRPr="00257077" w:rsidRDefault="00E83F15" w:rsidP="00E83F15">
      <w:pPr>
        <w:spacing w:line="240" w:lineRule="auto"/>
        <w:ind w:left="1440"/>
        <w:rPr>
          <w:color w:val="000000" w:themeColor="text1"/>
        </w:rPr>
      </w:pPr>
      <w:r w:rsidRPr="00257077">
        <w:rPr>
          <w:color w:val="000000" w:themeColor="text1"/>
        </w:rPr>
        <w:t>As the revised proposal stands, data will no longer be collected at the customer class level (residential, commercial &amp; industrial) although it will be collected in total.   While losing the customer class breakdown could diminish the value of the data for some users, collecting the total amounts will at least continue to include very small utilities for which there is no other source of data.  It also continues the important time series that are hallmarks of this dataset.</w:t>
      </w:r>
    </w:p>
    <w:p w:rsidR="00E83F15" w:rsidRPr="00257077" w:rsidRDefault="00E83F15" w:rsidP="00E83F15">
      <w:pPr>
        <w:spacing w:line="240" w:lineRule="auto"/>
        <w:ind w:left="1440"/>
        <w:rPr>
          <w:color w:val="000000" w:themeColor="text1"/>
        </w:rPr>
      </w:pPr>
      <w:r w:rsidRPr="00257077">
        <w:rPr>
          <w:color w:val="000000" w:themeColor="text1"/>
        </w:rPr>
        <w:t>Among data providers EIA is the best source of critical electric utility information.  While we recognize that EIA has an interest in reducing its data collection burden, we appreciate its willingness to try to accommodate those of us who rely most heavily on the data.</w:t>
      </w:r>
    </w:p>
    <w:p w:rsidR="00E83F15" w:rsidRPr="0032150D" w:rsidRDefault="00E83F15" w:rsidP="00E83F15">
      <w:pPr>
        <w:pStyle w:val="ListParagraph"/>
        <w:numPr>
          <w:ilvl w:val="0"/>
          <w:numId w:val="18"/>
        </w:numPr>
        <w:spacing w:before="120" w:after="120"/>
        <w:contextualSpacing w:val="0"/>
      </w:pPr>
      <w:r w:rsidRPr="00EB6909">
        <w:rPr>
          <w:color w:val="000000" w:themeColor="text1"/>
        </w:rPr>
        <w:t xml:space="preserve">The </w:t>
      </w:r>
      <w:r>
        <w:t xml:space="preserve">American Public Power Association (APPA) </w:t>
      </w:r>
      <w:r w:rsidRPr="00EB6909">
        <w:rPr>
          <w:color w:val="000000" w:themeColor="text1"/>
        </w:rPr>
        <w:t>continues to request that EIA add the collection of data by end-use sector to the Form EIA-861S.  APPA state</w:t>
      </w:r>
      <w:r>
        <w:rPr>
          <w:color w:val="000000" w:themeColor="text1"/>
        </w:rPr>
        <w:t>d</w:t>
      </w:r>
      <w:r w:rsidRPr="00EB6909">
        <w:rPr>
          <w:color w:val="000000" w:themeColor="text1"/>
        </w:rPr>
        <w:t xml:space="preserve"> in its September 28, 2012 letter that although the modification to the proposed Form EIA-861S to collect total revenues and customer counts will be “incredibly useful to APPA and its member systems,” the sector breakdowns are still needed.  According to APPA:</w:t>
      </w:r>
    </w:p>
    <w:p w:rsidR="00E83F15" w:rsidRDefault="00E83F15" w:rsidP="00E83F15">
      <w:pPr>
        <w:pStyle w:val="ListParagraph"/>
        <w:ind w:left="1440"/>
        <w:rPr>
          <w:color w:val="000000" w:themeColor="text1"/>
        </w:rPr>
      </w:pPr>
      <w:r w:rsidRPr="0032150D">
        <w:rPr>
          <w:color w:val="000000" w:themeColor="text1"/>
        </w:rPr>
        <w:t>Under this proposal, sector-specific data regarding sales, revenue and customers will only be available for those utilities completing the EIA-861S at five-year intervals. Though total sales, revenue and customer data are useful, having only total data present an incomplete picture of the electric industry.  Residential, customer, and industrial sectors all have very different characteristics and the absence of sector-specific data makes it more difficult to analyze trends, especially rate</w:t>
      </w:r>
      <w:r>
        <w:rPr>
          <w:color w:val="000000" w:themeColor="text1"/>
        </w:rPr>
        <w:t xml:space="preserve"> trends among customer classes.</w:t>
      </w:r>
    </w:p>
    <w:p w:rsidR="00E83F15" w:rsidRPr="0032150D" w:rsidRDefault="00E83F15" w:rsidP="00E83F15">
      <w:pPr>
        <w:pStyle w:val="ListParagraph"/>
        <w:rPr>
          <w:color w:val="000000" w:themeColor="text1"/>
        </w:rPr>
      </w:pPr>
    </w:p>
    <w:p w:rsidR="00E83F15" w:rsidRDefault="00E83F15" w:rsidP="00E83F15">
      <w:pPr>
        <w:pStyle w:val="ListParagraph"/>
        <w:numPr>
          <w:ilvl w:val="0"/>
          <w:numId w:val="19"/>
        </w:numPr>
        <w:spacing w:after="0"/>
        <w:contextualSpacing w:val="0"/>
        <w:rPr>
          <w:color w:val="000000" w:themeColor="text1"/>
        </w:rPr>
      </w:pPr>
      <w:r>
        <w:rPr>
          <w:color w:val="000000" w:themeColor="text1"/>
        </w:rPr>
        <w:t xml:space="preserve">The </w:t>
      </w:r>
      <w:r w:rsidRPr="0032150D">
        <w:rPr>
          <w:color w:val="000000" w:themeColor="text1"/>
        </w:rPr>
        <w:t>Minnesota Municipal Utilities Association (MMU) continue</w:t>
      </w:r>
      <w:r>
        <w:rPr>
          <w:color w:val="000000" w:themeColor="text1"/>
        </w:rPr>
        <w:t>s</w:t>
      </w:r>
      <w:r w:rsidRPr="0032150D">
        <w:rPr>
          <w:color w:val="000000" w:themeColor="text1"/>
        </w:rPr>
        <w:t xml:space="preserve"> to request that EIA add the collection of data by end-use sector to the Form EIA-861S.  </w:t>
      </w:r>
      <w:r>
        <w:rPr>
          <w:color w:val="000000" w:themeColor="text1"/>
        </w:rPr>
        <w:t xml:space="preserve">The MMU makes a similar argument to that of the APPA.  It added that </w:t>
      </w:r>
      <w:r w:rsidRPr="0032150D">
        <w:rPr>
          <w:color w:val="000000" w:themeColor="text1"/>
        </w:rPr>
        <w:t>requiring respondents to the Form EIA-861S to provide data by end-use sector will have a negligible impact on respondent burden.</w:t>
      </w:r>
    </w:p>
    <w:p w:rsidR="00E83F15" w:rsidRDefault="00E83F15" w:rsidP="00E83F15">
      <w:pPr>
        <w:rPr>
          <w:color w:val="000000" w:themeColor="text1"/>
        </w:rPr>
      </w:pPr>
    </w:p>
    <w:p w:rsidR="00E83F15" w:rsidRDefault="00E83F15" w:rsidP="00E83F15">
      <w:pPr>
        <w:rPr>
          <w:color w:val="000000" w:themeColor="text1"/>
        </w:rPr>
      </w:pPr>
      <w:r>
        <w:rPr>
          <w:color w:val="000000" w:themeColor="text1"/>
        </w:rPr>
        <w:t>EIA appreciates the concerns of both the APPA and the MMU.  However, EIA believes the Form EIA-861S should be approved as currently proposed; i.e., the Form EIA-861S would collect data for customer totals without a breakdown by business sector.   EIA’s experience over many years is that small utilities often have great difficulty accurately reporting sales by industry sector.  Consequently, EIA has historically devoted an exorbitant share of the resources dedicated to the Form EIA-861 contacting small respondents and helping them to report accurately by sector.  Asking respondents to report by sector on the Form EIA-861S would largely defeat the purpose of the survey, which is to create a short form that will provide valuable data while substantially reducing the processing and reporting burden for EIA and about 1,100 small respondents.</w:t>
      </w:r>
    </w:p>
    <w:p w:rsidR="00E83F15" w:rsidRDefault="00E83F15" w:rsidP="00E83F15">
      <w:pPr>
        <w:rPr>
          <w:color w:val="000000" w:themeColor="text1"/>
        </w:rPr>
      </w:pPr>
      <w:r>
        <w:rPr>
          <w:color w:val="000000" w:themeColor="text1"/>
        </w:rPr>
        <w:t xml:space="preserve">Another consideration is that EIA will use statistical imputation to estimate the breakdown of small utility data by sector for each state.  The imputation methodology is described in Part B of this supporting statement.  The imputed estimates will be made available to the public.  </w:t>
      </w:r>
    </w:p>
    <w:p w:rsidR="00E83F15" w:rsidRDefault="00E83F15" w:rsidP="00E83F15">
      <w:pPr>
        <w:rPr>
          <w:color w:val="000000" w:themeColor="text1"/>
        </w:rPr>
      </w:pPr>
      <w:bookmarkStart w:id="100" w:name="_GoBack"/>
      <w:r>
        <w:rPr>
          <w:color w:val="000000" w:themeColor="text1"/>
        </w:rPr>
        <w:t>Finally, every fifth year all utilities will be required to complete the full Form EIA-861 survey and report data by industry sector.  These data will be used to update the imputation methodology and will provide a full dataset to the public.</w:t>
      </w:r>
    </w:p>
    <w:bookmarkEnd w:id="100"/>
    <w:p w:rsidR="00E83F15" w:rsidRDefault="00E83F15" w:rsidP="00E83F15">
      <w:r w:rsidRPr="009E7CE5">
        <w:t xml:space="preserve">EIA </w:t>
      </w:r>
      <w:r>
        <w:t>therefore recommends adoption of its current proposal for reducing the frame for the Form EIA-861 survey and creating the new short form for small respondents, the Form EIA-861S</w:t>
      </w:r>
      <w:r w:rsidRPr="009E7CE5">
        <w:t>.</w:t>
      </w:r>
    </w:p>
    <w:p w:rsidR="00D023B9" w:rsidRDefault="00D023B9">
      <w:pPr>
        <w:spacing w:after="0" w:line="240" w:lineRule="auto"/>
        <w:rPr>
          <w:rStyle w:val="Heading2Char"/>
        </w:rPr>
      </w:pPr>
      <w:r>
        <w:rPr>
          <w:rStyle w:val="Heading2Char"/>
        </w:rPr>
        <w:br w:type="page"/>
      </w:r>
    </w:p>
    <w:p w:rsidR="00E83F15" w:rsidRPr="00F73E15" w:rsidRDefault="00E83F15" w:rsidP="00E83F15">
      <w:pPr>
        <w:rPr>
          <w:b/>
          <w:color w:val="000000" w:themeColor="text1"/>
        </w:rPr>
      </w:pPr>
      <w:bookmarkStart w:id="101" w:name="_Toc343524172"/>
      <w:r w:rsidRPr="00E83F15">
        <w:rPr>
          <w:rStyle w:val="Heading2Char"/>
        </w:rPr>
        <w:t>Comments related to the Form EIA-923, Schedule 2</w:t>
      </w:r>
      <w:bookmarkEnd w:id="101"/>
      <w:r>
        <w:rPr>
          <w:rStyle w:val="FootnoteReference"/>
          <w:b/>
          <w:color w:val="000000" w:themeColor="text1"/>
        </w:rPr>
        <w:footnoteReference w:id="14"/>
      </w:r>
    </w:p>
    <w:p w:rsidR="00E83F15" w:rsidRDefault="00E83F15" w:rsidP="00E83F15">
      <w:pPr>
        <w:rPr>
          <w:color w:val="000000" w:themeColor="text1"/>
        </w:rPr>
      </w:pPr>
      <w:r w:rsidRPr="0082185C">
        <w:rPr>
          <w:color w:val="000000" w:themeColor="text1"/>
        </w:rPr>
        <w:t xml:space="preserve">Four of the </w:t>
      </w:r>
      <w:r>
        <w:rPr>
          <w:color w:val="000000" w:themeColor="text1"/>
        </w:rPr>
        <w:t>eight</w:t>
      </w:r>
      <w:r w:rsidRPr="0082185C">
        <w:rPr>
          <w:color w:val="000000" w:themeColor="text1"/>
        </w:rPr>
        <w:t xml:space="preserve"> comments addressed the proposed changes to Schedule 2 of the Form EIA-923.  </w:t>
      </w:r>
    </w:p>
    <w:p w:rsidR="00E83F15" w:rsidRPr="001D7B01" w:rsidRDefault="00E83F15" w:rsidP="00E83F15">
      <w:pPr>
        <w:pStyle w:val="ListParagraph"/>
        <w:numPr>
          <w:ilvl w:val="0"/>
          <w:numId w:val="20"/>
        </w:numPr>
        <w:spacing w:after="0"/>
        <w:contextualSpacing w:val="0"/>
        <w:rPr>
          <w:color w:val="000000" w:themeColor="text1"/>
        </w:rPr>
      </w:pPr>
      <w:r>
        <w:rPr>
          <w:color w:val="000000" w:themeColor="text1"/>
        </w:rPr>
        <w:t>T</w:t>
      </w:r>
      <w:r w:rsidRPr="00C65F69">
        <w:rPr>
          <w:color w:val="000000" w:themeColor="text1"/>
        </w:rPr>
        <w:t xml:space="preserve">he </w:t>
      </w:r>
      <w:r w:rsidRPr="0082185C">
        <w:t>Bureau of Economic Analysis</w:t>
      </w:r>
      <w:r>
        <w:t xml:space="preserve">, </w:t>
      </w:r>
      <w:r w:rsidRPr="00C65F69">
        <w:rPr>
          <w:color w:val="000000" w:themeColor="text1"/>
        </w:rPr>
        <w:t>Florida Power &amp; Light</w:t>
      </w:r>
      <w:r>
        <w:rPr>
          <w:color w:val="000000" w:themeColor="text1"/>
        </w:rPr>
        <w:t xml:space="preserve">, and </w:t>
      </w:r>
      <w:r w:rsidRPr="00C65F69">
        <w:rPr>
          <w:color w:val="000000" w:themeColor="text1"/>
        </w:rPr>
        <w:t>Las Animas (Colorado) Municipal Light &amp; Power</w:t>
      </w:r>
      <w:r>
        <w:rPr>
          <w:color w:val="000000" w:themeColor="text1"/>
        </w:rPr>
        <w:t xml:space="preserve"> </w:t>
      </w:r>
      <w:r>
        <w:t>supported the proposed changes to Schedule 2 of the Form EIA-923.</w:t>
      </w:r>
    </w:p>
    <w:p w:rsidR="00E83F15" w:rsidRPr="00E34012" w:rsidRDefault="00E83F15" w:rsidP="00E83F15">
      <w:pPr>
        <w:pStyle w:val="ListParagraph"/>
        <w:rPr>
          <w:color w:val="000000" w:themeColor="text1"/>
        </w:rPr>
      </w:pPr>
    </w:p>
    <w:p w:rsidR="00E83F15" w:rsidRDefault="00E83F15" w:rsidP="00E83F15">
      <w:pPr>
        <w:pStyle w:val="ListParagraph"/>
        <w:numPr>
          <w:ilvl w:val="0"/>
          <w:numId w:val="20"/>
        </w:numPr>
        <w:spacing w:after="0"/>
        <w:contextualSpacing w:val="0"/>
        <w:rPr>
          <w:color w:val="000000" w:themeColor="text1"/>
        </w:rPr>
      </w:pPr>
      <w:r>
        <w:rPr>
          <w:color w:val="000000" w:themeColor="text1"/>
        </w:rPr>
        <w:t>Messrs.</w:t>
      </w:r>
      <w:r w:rsidRPr="001D7B01">
        <w:rPr>
          <w:color w:val="000000" w:themeColor="text1"/>
        </w:rPr>
        <w:t xml:space="preserve"> David </w:t>
      </w:r>
      <w:proofErr w:type="spellStart"/>
      <w:r w:rsidRPr="001D7B01">
        <w:rPr>
          <w:color w:val="000000" w:themeColor="text1"/>
        </w:rPr>
        <w:t>Schmalzer</w:t>
      </w:r>
      <w:proofErr w:type="spellEnd"/>
      <w:r w:rsidRPr="001D7B01">
        <w:rPr>
          <w:color w:val="000000" w:themeColor="text1"/>
        </w:rPr>
        <w:t xml:space="preserve"> and Donald Hanson, who are associated with Argonne National Laboratory</w:t>
      </w:r>
      <w:r>
        <w:rPr>
          <w:color w:val="000000" w:themeColor="text1"/>
        </w:rPr>
        <w:t>, but apparently not speaking officially for that institution</w:t>
      </w:r>
      <w:r>
        <w:rPr>
          <w:rStyle w:val="FootnoteReference"/>
          <w:color w:val="000000" w:themeColor="text1"/>
        </w:rPr>
        <w:footnoteReference w:id="15"/>
      </w:r>
      <w:r>
        <w:rPr>
          <w:color w:val="000000" w:themeColor="text1"/>
        </w:rPr>
        <w:t>,</w:t>
      </w:r>
      <w:r w:rsidRPr="001D7B01">
        <w:rPr>
          <w:color w:val="000000" w:themeColor="text1"/>
        </w:rPr>
        <w:t xml:space="preserve"> recommended changing EIA’s proposal by keeping the reporting threshold for natural gas-fired plants at 50 megawatts (MW).  </w:t>
      </w:r>
      <w:r>
        <w:rPr>
          <w:color w:val="000000" w:themeColor="text1"/>
        </w:rPr>
        <w:t>In their September 17, 2012 letter, they argued that</w:t>
      </w:r>
      <w:r w:rsidRPr="001D7B01">
        <w:rPr>
          <w:color w:val="000000" w:themeColor="text1"/>
        </w:rPr>
        <w:t>:</w:t>
      </w:r>
    </w:p>
    <w:p w:rsidR="00E83F15" w:rsidRPr="001D7B01" w:rsidRDefault="00E83F15" w:rsidP="00E83F15">
      <w:pPr>
        <w:pStyle w:val="ListParagraph"/>
        <w:rPr>
          <w:color w:val="000000" w:themeColor="text1"/>
        </w:rPr>
      </w:pPr>
    </w:p>
    <w:p w:rsidR="00E83F15" w:rsidRDefault="00E83F15" w:rsidP="00E83F15">
      <w:pPr>
        <w:spacing w:line="240" w:lineRule="auto"/>
        <w:ind w:left="1440"/>
        <w:rPr>
          <w:color w:val="000000" w:themeColor="text1"/>
        </w:rPr>
      </w:pPr>
      <w:r w:rsidRPr="008A0F63">
        <w:rPr>
          <w:color w:val="000000" w:themeColor="text1"/>
        </w:rPr>
        <w:t xml:space="preserve">Dropping reporting by natural gas plants in that capacity range </w:t>
      </w:r>
      <w:r>
        <w:rPr>
          <w:color w:val="000000" w:themeColor="text1"/>
        </w:rPr>
        <w:t xml:space="preserve">[i.e., 50 MW to 200 MW] </w:t>
      </w:r>
      <w:r w:rsidRPr="008A0F63">
        <w:rPr>
          <w:color w:val="000000" w:themeColor="text1"/>
        </w:rPr>
        <w:t xml:space="preserve">seems likely to lose significant information on </w:t>
      </w:r>
      <w:r w:rsidRPr="00413CC6">
        <w:rPr>
          <w:b/>
          <w:color w:val="000000" w:themeColor="text1"/>
        </w:rPr>
        <w:t>costs</w:t>
      </w:r>
      <w:r w:rsidRPr="008A0F63">
        <w:rPr>
          <w:color w:val="000000" w:themeColor="text1"/>
        </w:rPr>
        <w:t xml:space="preserve"> and </w:t>
      </w:r>
      <w:r w:rsidRPr="00413CC6">
        <w:rPr>
          <w:b/>
          <w:color w:val="000000" w:themeColor="text1"/>
        </w:rPr>
        <w:t>plant utilization/dispatch</w:t>
      </w:r>
      <w:r w:rsidRPr="008A0F63">
        <w:rPr>
          <w:color w:val="000000" w:themeColor="text1"/>
        </w:rPr>
        <w:t>, information of considerable usefulness to the public, researchers, and regulators. The other fuels represent minor capacity and little would be lost in raising their threshold for reporting to the 200 MW level.</w:t>
      </w:r>
      <w:r>
        <w:rPr>
          <w:color w:val="000000" w:themeColor="text1"/>
        </w:rPr>
        <w:t xml:space="preserve"> [Emphasis added]</w:t>
      </w:r>
    </w:p>
    <w:p w:rsidR="00E83F15" w:rsidRDefault="00E83F15" w:rsidP="00E83F15">
      <w:pPr>
        <w:ind w:left="720"/>
        <w:rPr>
          <w:color w:val="000000" w:themeColor="text1"/>
        </w:rPr>
      </w:pPr>
      <w:r>
        <w:rPr>
          <w:color w:val="000000" w:themeColor="text1"/>
        </w:rPr>
        <w:t xml:space="preserve">With respect to </w:t>
      </w:r>
      <w:r w:rsidRPr="00413CC6">
        <w:rPr>
          <w:color w:val="000000" w:themeColor="text1"/>
        </w:rPr>
        <w:t>“plant utilization/dispatch,”</w:t>
      </w:r>
      <w:r>
        <w:rPr>
          <w:color w:val="000000" w:themeColor="text1"/>
        </w:rPr>
        <w:t xml:space="preserve"> the concerns of Messrs. </w:t>
      </w:r>
      <w:proofErr w:type="spellStart"/>
      <w:r>
        <w:rPr>
          <w:color w:val="000000" w:themeColor="text1"/>
        </w:rPr>
        <w:t>Schmalzer</w:t>
      </w:r>
      <w:proofErr w:type="spellEnd"/>
      <w:r>
        <w:rPr>
          <w:color w:val="000000" w:themeColor="text1"/>
        </w:rPr>
        <w:t xml:space="preserve"> and Hanson seem to be based on a misunderstanding.  EIA will continue to collect plant utilization and fuel consumption data from </w:t>
      </w:r>
      <w:r w:rsidRPr="00413CC6">
        <w:rPr>
          <w:b/>
          <w:color w:val="000000" w:themeColor="text1"/>
        </w:rPr>
        <w:t>all</w:t>
      </w:r>
      <w:r>
        <w:rPr>
          <w:color w:val="000000" w:themeColor="text1"/>
        </w:rPr>
        <w:t xml:space="preserve"> natural gas-fired plants currently in the survey frame (all grid-connected plants with a capacity of 1 MW or greater) on Schedules 3 and 5 of the Form EIA-923.  There will be no change in the coverage of these data.</w:t>
      </w:r>
    </w:p>
    <w:p w:rsidR="00E83F15" w:rsidRDefault="00E83F15" w:rsidP="00E83F15">
      <w:pPr>
        <w:ind w:left="720"/>
        <w:rPr>
          <w:color w:val="000000" w:themeColor="text1"/>
        </w:rPr>
      </w:pPr>
      <w:r>
        <w:rPr>
          <w:color w:val="000000" w:themeColor="text1"/>
        </w:rPr>
        <w:t>In reference to information on costs (i.e., fuel cost, the only cost information collected on Schedule 2) EIA believes there will be no degradation in the quality of data available on the cost of natural gas delivered to power plants.  Using 2011 data (the most recent complete data set) EIA computed the average cost of natural gas for the current frame (50 MW reporting threshold) and a modified frame (200 MW threshold).  At a national level the difference in the average cost of gas between the two frames was $0.006 per million Btu (</w:t>
      </w:r>
      <w:proofErr w:type="spellStart"/>
      <w:r>
        <w:rPr>
          <w:color w:val="000000" w:themeColor="text1"/>
        </w:rPr>
        <w:t>MMBtu</w:t>
      </w:r>
      <w:proofErr w:type="spellEnd"/>
      <w:r>
        <w:rPr>
          <w:color w:val="000000" w:themeColor="text1"/>
        </w:rPr>
        <w:t xml:space="preserve">), or about a tenth of a percent.  Differences on a state level were generally similar.  </w:t>
      </w:r>
    </w:p>
    <w:p w:rsidR="00E83F15" w:rsidRDefault="00E83F15" w:rsidP="00E83F15">
      <w:pPr>
        <w:ind w:left="720"/>
        <w:rPr>
          <w:color w:val="000000" w:themeColor="text1"/>
        </w:rPr>
      </w:pPr>
      <w:r>
        <w:rPr>
          <w:color w:val="000000" w:themeColor="text1"/>
        </w:rPr>
        <w:t>These results are not surprising because natural gas is a commodity with homogenous quality characteristics sold in a national market in which transportation costs are usually small.  Coal in contrast varies greatly in quality from one producing area to another (or even within a producing area) and usually incurs significant transportation costs.  Coal costs can therefore differ greatly from one region to another and from plant to plant.</w:t>
      </w:r>
    </w:p>
    <w:p w:rsidR="00E83F15" w:rsidRDefault="00E83F15" w:rsidP="001C5700">
      <w:pPr>
        <w:rPr>
          <w:color w:val="000000" w:themeColor="text1"/>
        </w:rPr>
      </w:pPr>
      <w:r>
        <w:rPr>
          <w:color w:val="000000" w:themeColor="text1"/>
        </w:rPr>
        <w:t>EIA’s recommendation is therefore to keep the changes to the Form EIA-923, Schedule 2, as currently proposed.</w:t>
      </w:r>
    </w:p>
    <w:p w:rsidR="004E1964" w:rsidRPr="00E83F15" w:rsidRDefault="004E1964" w:rsidP="0035705F">
      <w:pPr>
        <w:rPr>
          <w:color w:val="000000" w:themeColor="text1"/>
        </w:rPr>
      </w:pPr>
    </w:p>
    <w:sectPr w:rsidR="004E1964" w:rsidRPr="00E83F15" w:rsidSect="00AA648F">
      <w:footerReference w:type="default" r:id="rId2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276" w:rsidRDefault="00711276" w:rsidP="00B34E75">
      <w:pPr>
        <w:spacing w:after="0" w:line="240" w:lineRule="auto"/>
      </w:pPr>
      <w:r>
        <w:separator/>
      </w:r>
    </w:p>
  </w:endnote>
  <w:endnote w:type="continuationSeparator" w:id="0">
    <w:p w:rsidR="00711276" w:rsidRDefault="00711276" w:rsidP="00B34E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022" w:rsidRDefault="00532022">
    <w:pPr>
      <w:rPr>
        <w:sz w:val="18"/>
      </w:rPr>
    </w:pPr>
  </w:p>
  <w:p w:rsidR="00532022" w:rsidRPr="00540E1F" w:rsidRDefault="002645D2" w:rsidP="000B5EE0">
    <w:pPr>
      <w:tabs>
        <w:tab w:val="right" w:pos="9270"/>
      </w:tabs>
      <w:jc w:val="center"/>
    </w:pPr>
    <w:r w:rsidRPr="00B34E75">
      <w:rPr>
        <w:sz w:val="18"/>
        <w:szCs w:val="18"/>
      </w:rPr>
      <w:fldChar w:fldCharType="begin"/>
    </w:r>
    <w:r w:rsidR="00532022" w:rsidRPr="00B34E75">
      <w:rPr>
        <w:sz w:val="18"/>
        <w:szCs w:val="18"/>
      </w:rPr>
      <w:instrText xml:space="preserve"> PAGE </w:instrText>
    </w:r>
    <w:r w:rsidRPr="00B34E75">
      <w:rPr>
        <w:sz w:val="18"/>
        <w:szCs w:val="18"/>
      </w:rPr>
      <w:fldChar w:fldCharType="separate"/>
    </w:r>
    <w:r w:rsidR="00532022">
      <w:rPr>
        <w:noProof/>
        <w:sz w:val="18"/>
        <w:szCs w:val="18"/>
      </w:rPr>
      <w:t>iii</w:t>
    </w:r>
    <w:r w:rsidRPr="00B34E75">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768395021"/>
      <w:docPartObj>
        <w:docPartGallery w:val="Page Numbers (Bottom of Page)"/>
        <w:docPartUnique/>
      </w:docPartObj>
    </w:sdtPr>
    <w:sdtContent>
      <w:sdt>
        <w:sdtPr>
          <w:rPr>
            <w:sz w:val="18"/>
            <w:szCs w:val="18"/>
          </w:rPr>
          <w:id w:val="565050523"/>
          <w:docPartObj>
            <w:docPartGallery w:val="Page Numbers (Top of Page)"/>
            <w:docPartUnique/>
          </w:docPartObj>
        </w:sdtPr>
        <w:sdtContent>
          <w:p w:rsidR="00532022" w:rsidRPr="00540E1F" w:rsidRDefault="002645D2">
            <w:pPr>
              <w:pStyle w:val="Footer"/>
              <w:jc w:val="right"/>
              <w:rPr>
                <w:sz w:val="18"/>
                <w:szCs w:val="18"/>
              </w:rPr>
            </w:pPr>
          </w:p>
        </w:sdtContent>
      </w:sdt>
    </w:sdtContent>
  </w:sdt>
  <w:p w:rsidR="00532022" w:rsidRDefault="0053202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68395029"/>
      <w:docPartObj>
        <w:docPartGallery w:val="Page Numbers (Bottom of Page)"/>
        <w:docPartUnique/>
      </w:docPartObj>
    </w:sdtPr>
    <w:sdtEndPr>
      <w:rPr>
        <w:sz w:val="18"/>
        <w:szCs w:val="18"/>
      </w:rPr>
    </w:sdtEndPr>
    <w:sdtContent>
      <w:sdt>
        <w:sdtPr>
          <w:id w:val="768395028"/>
          <w:docPartObj>
            <w:docPartGallery w:val="Page Numbers (Top of Page)"/>
            <w:docPartUnique/>
          </w:docPartObj>
        </w:sdtPr>
        <w:sdtEndPr>
          <w:rPr>
            <w:sz w:val="18"/>
            <w:szCs w:val="18"/>
          </w:rPr>
        </w:sdtEndPr>
        <w:sdtContent>
          <w:p w:rsidR="00532022" w:rsidRPr="00540E1F" w:rsidRDefault="002645D2" w:rsidP="00540E1F">
            <w:pPr>
              <w:pStyle w:val="Footer"/>
              <w:jc w:val="center"/>
              <w:rPr>
                <w:sz w:val="18"/>
                <w:szCs w:val="18"/>
              </w:rPr>
            </w:pPr>
            <w:r w:rsidRPr="00540E1F">
              <w:rPr>
                <w:b/>
                <w:sz w:val="18"/>
                <w:szCs w:val="18"/>
              </w:rPr>
              <w:fldChar w:fldCharType="begin"/>
            </w:r>
            <w:r w:rsidR="00532022" w:rsidRPr="00540E1F">
              <w:rPr>
                <w:b/>
                <w:sz w:val="18"/>
                <w:szCs w:val="18"/>
              </w:rPr>
              <w:instrText xml:space="preserve"> PAGE </w:instrText>
            </w:r>
            <w:r w:rsidRPr="00540E1F">
              <w:rPr>
                <w:b/>
                <w:sz w:val="18"/>
                <w:szCs w:val="18"/>
              </w:rPr>
              <w:fldChar w:fldCharType="separate"/>
            </w:r>
            <w:r w:rsidR="00B57B1B">
              <w:rPr>
                <w:b/>
                <w:noProof/>
                <w:sz w:val="18"/>
                <w:szCs w:val="18"/>
              </w:rPr>
              <w:t>i</w:t>
            </w:r>
            <w:r w:rsidRPr="00540E1F">
              <w:rPr>
                <w:b/>
                <w:sz w:val="18"/>
                <w:szCs w:val="18"/>
              </w:rPr>
              <w:fldChar w:fldCharType="end"/>
            </w:r>
          </w:p>
        </w:sdtContent>
      </w:sdt>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022" w:rsidRPr="006E2012" w:rsidRDefault="002645D2" w:rsidP="001C5700">
    <w:pPr>
      <w:pStyle w:val="Footer"/>
      <w:jc w:val="right"/>
      <w:rPr>
        <w:sz w:val="18"/>
        <w:szCs w:val="18"/>
      </w:rPr>
    </w:pPr>
    <w:sdt>
      <w:sdtPr>
        <w:rPr>
          <w:sz w:val="18"/>
          <w:szCs w:val="18"/>
        </w:rPr>
        <w:id w:val="376161514"/>
        <w:docPartObj>
          <w:docPartGallery w:val="Page Numbers (Bottom of Page)"/>
          <w:docPartUnique/>
        </w:docPartObj>
      </w:sdtPr>
      <w:sdtContent>
        <w:sdt>
          <w:sdtPr>
            <w:rPr>
              <w:sz w:val="18"/>
              <w:szCs w:val="18"/>
            </w:rPr>
            <w:id w:val="376161515"/>
            <w:docPartObj>
              <w:docPartGallery w:val="Page Numbers (Top of Page)"/>
              <w:docPartUnique/>
            </w:docPartObj>
          </w:sdtPr>
          <w:sdtContent>
            <w:r w:rsidR="00532022" w:rsidRPr="00982C38">
              <w:rPr>
                <w:sz w:val="18"/>
              </w:rPr>
              <w:t>Form EIA-861, Form EIA-861S, and Form EIA-923 Schedule 2</w:t>
            </w:r>
            <w:r w:rsidR="00532022">
              <w:rPr>
                <w:sz w:val="18"/>
              </w:rPr>
              <w:tab/>
            </w:r>
            <w:r w:rsidR="00532022">
              <w:rPr>
                <w:sz w:val="18"/>
              </w:rPr>
              <w:tab/>
            </w:r>
            <w:r w:rsidR="00532022" w:rsidRPr="006E2012">
              <w:rPr>
                <w:sz w:val="18"/>
                <w:szCs w:val="18"/>
              </w:rPr>
              <w:t xml:space="preserve">Page </w:t>
            </w:r>
            <w:r w:rsidRPr="006E2012">
              <w:rPr>
                <w:sz w:val="18"/>
                <w:szCs w:val="18"/>
              </w:rPr>
              <w:fldChar w:fldCharType="begin"/>
            </w:r>
            <w:r w:rsidR="00532022" w:rsidRPr="006E2012">
              <w:rPr>
                <w:sz w:val="18"/>
                <w:szCs w:val="18"/>
              </w:rPr>
              <w:instrText xml:space="preserve"> PAGE </w:instrText>
            </w:r>
            <w:r w:rsidRPr="006E2012">
              <w:rPr>
                <w:sz w:val="18"/>
                <w:szCs w:val="18"/>
              </w:rPr>
              <w:fldChar w:fldCharType="separate"/>
            </w:r>
            <w:r w:rsidR="00B57B1B">
              <w:rPr>
                <w:noProof/>
                <w:sz w:val="18"/>
                <w:szCs w:val="18"/>
              </w:rPr>
              <w:t>3</w:t>
            </w:r>
            <w:r w:rsidRPr="006E2012">
              <w:rPr>
                <w:sz w:val="18"/>
                <w:szCs w:val="18"/>
              </w:rPr>
              <w:fldChar w:fldCharType="end"/>
            </w:r>
            <w:r w:rsidR="00532022" w:rsidRPr="006E2012">
              <w:rPr>
                <w:sz w:val="18"/>
                <w:szCs w:val="18"/>
              </w:rPr>
              <w:t xml:space="preserve"> of</w:t>
            </w:r>
          </w:sdtContent>
        </w:sdt>
      </w:sdtContent>
    </w:sdt>
    <w:r w:rsidR="00532022" w:rsidRPr="006E2012">
      <w:rPr>
        <w:sz w:val="18"/>
        <w:szCs w:val="18"/>
      </w:rPr>
      <w:t xml:space="preserve"> </w:t>
    </w:r>
    <w:r w:rsidR="00532022">
      <w:rPr>
        <w:sz w:val="18"/>
        <w:szCs w:val="18"/>
      </w:rPr>
      <w:t>33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18"/>
        <w:szCs w:val="18"/>
      </w:rPr>
      <w:id w:val="849047856"/>
      <w:docPartObj>
        <w:docPartGallery w:val="Page Numbers (Bottom of Page)"/>
        <w:docPartUnique/>
      </w:docPartObj>
    </w:sdtPr>
    <w:sdtContent>
      <w:sdt>
        <w:sdtPr>
          <w:rPr>
            <w:sz w:val="18"/>
            <w:szCs w:val="18"/>
          </w:rPr>
          <w:id w:val="565050477"/>
          <w:docPartObj>
            <w:docPartGallery w:val="Page Numbers (Top of Page)"/>
            <w:docPartUnique/>
          </w:docPartObj>
        </w:sdtPr>
        <w:sdtContent>
          <w:p w:rsidR="00532022" w:rsidRPr="006E2012" w:rsidRDefault="00532022" w:rsidP="002176EB">
            <w:pPr>
              <w:pStyle w:val="Footer"/>
              <w:jc w:val="right"/>
              <w:rPr>
                <w:sz w:val="18"/>
                <w:szCs w:val="18"/>
              </w:rPr>
            </w:pPr>
            <w:r w:rsidRPr="00982C38">
              <w:rPr>
                <w:sz w:val="18"/>
              </w:rPr>
              <w:t>Form EIA-861, Form EIA-861S, and Form EIA-923 Schedule 2</w:t>
            </w:r>
            <w:r>
              <w:rPr>
                <w:sz w:val="18"/>
              </w:rPr>
              <w:tab/>
            </w:r>
            <w:r>
              <w:rPr>
                <w:sz w:val="18"/>
              </w:rPr>
              <w:tab/>
            </w:r>
            <w:r w:rsidRPr="006E2012">
              <w:rPr>
                <w:sz w:val="18"/>
                <w:szCs w:val="18"/>
              </w:rPr>
              <w:t xml:space="preserve">Page </w:t>
            </w:r>
            <w:r w:rsidR="002645D2" w:rsidRPr="006E2012">
              <w:rPr>
                <w:sz w:val="18"/>
                <w:szCs w:val="18"/>
              </w:rPr>
              <w:fldChar w:fldCharType="begin"/>
            </w:r>
            <w:r w:rsidRPr="006E2012">
              <w:rPr>
                <w:sz w:val="18"/>
                <w:szCs w:val="18"/>
              </w:rPr>
              <w:instrText xml:space="preserve"> PAGE </w:instrText>
            </w:r>
            <w:r w:rsidR="002645D2" w:rsidRPr="006E2012">
              <w:rPr>
                <w:sz w:val="18"/>
                <w:szCs w:val="18"/>
              </w:rPr>
              <w:fldChar w:fldCharType="separate"/>
            </w:r>
            <w:r w:rsidR="00B57B1B">
              <w:rPr>
                <w:noProof/>
                <w:sz w:val="18"/>
                <w:szCs w:val="18"/>
              </w:rPr>
              <w:t>33</w:t>
            </w:r>
            <w:r w:rsidR="002645D2" w:rsidRPr="006E2012">
              <w:rPr>
                <w:sz w:val="18"/>
                <w:szCs w:val="18"/>
              </w:rPr>
              <w:fldChar w:fldCharType="end"/>
            </w:r>
            <w:r w:rsidRPr="006E2012">
              <w:rPr>
                <w:sz w:val="18"/>
                <w:szCs w:val="18"/>
              </w:rPr>
              <w:t xml:space="preserve"> of </w:t>
            </w:r>
            <w:r>
              <w:rPr>
                <w:sz w:val="18"/>
                <w:szCs w:val="18"/>
              </w:rPr>
              <w:t>33</w:t>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276" w:rsidRDefault="00711276" w:rsidP="00B34E75">
      <w:pPr>
        <w:spacing w:after="0" w:line="240" w:lineRule="auto"/>
      </w:pPr>
      <w:r>
        <w:separator/>
      </w:r>
    </w:p>
  </w:footnote>
  <w:footnote w:type="continuationSeparator" w:id="0">
    <w:p w:rsidR="00711276" w:rsidRDefault="00711276" w:rsidP="00B34E75">
      <w:pPr>
        <w:spacing w:after="0" w:line="240" w:lineRule="auto"/>
      </w:pPr>
      <w:r>
        <w:continuationSeparator/>
      </w:r>
    </w:p>
  </w:footnote>
  <w:footnote w:id="1">
    <w:p w:rsidR="00532022" w:rsidRPr="003B2F5D" w:rsidRDefault="00532022" w:rsidP="00E708DD">
      <w:pPr>
        <w:pStyle w:val="FootnoteText"/>
        <w:jc w:val="both"/>
        <w:rPr>
          <w:rFonts w:asciiTheme="minorHAnsi" w:hAnsiTheme="minorHAnsi"/>
          <w:sz w:val="18"/>
          <w:szCs w:val="18"/>
        </w:rPr>
      </w:pPr>
      <w:r w:rsidRPr="003B2F5D">
        <w:rPr>
          <w:rStyle w:val="FootnoteReference"/>
          <w:rFonts w:asciiTheme="minorHAnsi" w:hAnsiTheme="minorHAnsi"/>
          <w:sz w:val="18"/>
          <w:szCs w:val="18"/>
        </w:rPr>
        <w:footnoteRef/>
      </w:r>
      <w:r w:rsidRPr="003B2F5D">
        <w:rPr>
          <w:rFonts w:asciiTheme="minorHAnsi" w:hAnsiTheme="minorHAnsi"/>
          <w:sz w:val="18"/>
          <w:szCs w:val="18"/>
        </w:rPr>
        <w:t xml:space="preserve"> The Form EIA-826, “Monthly Electric Utility Sales and Revenue Report with State Distributions,” is a monthly survey of electricity retail sales and certain other data (such as advanced meter installations).  An imputation procedure is used to estimate monthly state and national totals for retail sales and revenues from the sample collected on the Form EIA-826.  These monthly estimates are superseded by the annual data collection performed using the Form EIA-861 survey.</w:t>
      </w:r>
      <w:r>
        <w:rPr>
          <w:rFonts w:asciiTheme="minorHAnsi" w:hAnsiTheme="minorHAnsi"/>
          <w:sz w:val="18"/>
          <w:szCs w:val="18"/>
        </w:rPr>
        <w:t xml:space="preserve">  </w:t>
      </w:r>
      <w:r w:rsidRPr="00DD4A99">
        <w:rPr>
          <w:rFonts w:asciiTheme="minorHAnsi" w:hAnsiTheme="minorHAnsi"/>
          <w:sz w:val="18"/>
          <w:szCs w:val="18"/>
        </w:rPr>
        <w:t>Cut-off sampling is used to select the sample</w:t>
      </w:r>
      <w:r>
        <w:rPr>
          <w:rFonts w:asciiTheme="minorHAnsi" w:hAnsiTheme="minorHAnsi"/>
          <w:sz w:val="18"/>
          <w:szCs w:val="18"/>
        </w:rPr>
        <w:t xml:space="preserve"> for the EIA-826</w:t>
      </w:r>
      <w:r w:rsidRPr="00DD4A99">
        <w:rPr>
          <w:rFonts w:asciiTheme="minorHAnsi" w:hAnsiTheme="minorHAnsi"/>
          <w:sz w:val="18"/>
          <w:szCs w:val="18"/>
        </w:rPr>
        <w:t xml:space="preserve">, </w:t>
      </w:r>
      <w:r w:rsidRPr="0027227E">
        <w:rPr>
          <w:rFonts w:asciiTheme="minorHAnsi" w:hAnsiTheme="minorHAnsi"/>
          <w:sz w:val="18"/>
          <w:szCs w:val="18"/>
        </w:rPr>
        <w:t>which includes most of the investor-owned utilities (160</w:t>
      </w:r>
      <w:r>
        <w:rPr>
          <w:rFonts w:asciiTheme="minorHAnsi" w:hAnsiTheme="minorHAnsi"/>
          <w:sz w:val="18"/>
          <w:szCs w:val="18"/>
        </w:rPr>
        <w:t xml:space="preserve">, </w:t>
      </w:r>
      <w:r w:rsidRPr="0027227E">
        <w:rPr>
          <w:rFonts w:asciiTheme="minorHAnsi" w:hAnsiTheme="minorHAnsi"/>
          <w:sz w:val="18"/>
          <w:szCs w:val="18"/>
        </w:rPr>
        <w:t>including all distribution companies with unbundled electricity sales), four Federal utilities, all electric service providers (150), and a sample of 194 municipal, cooperative, State and political subdivision utilities that have sales to end-use customers.</w:t>
      </w:r>
      <w:r w:rsidRPr="00DD4A99">
        <w:rPr>
          <w:rFonts w:asciiTheme="minorHAnsi" w:hAnsiTheme="minorHAnsi"/>
          <w:sz w:val="18"/>
          <w:szCs w:val="18"/>
        </w:rPr>
        <w:t xml:space="preserve"> The Form EIA-861 serves as the universe from which the sample for the Form EIA-826 is drawn.</w:t>
      </w:r>
      <w:r>
        <w:rPr>
          <w:rFonts w:asciiTheme="minorHAnsi" w:hAnsiTheme="minorHAnsi"/>
          <w:sz w:val="18"/>
          <w:szCs w:val="18"/>
        </w:rPr>
        <w:t xml:space="preserve">  This will not change under the current proposals.</w:t>
      </w:r>
    </w:p>
  </w:footnote>
  <w:footnote w:id="2">
    <w:p w:rsidR="00532022" w:rsidRPr="001A1B9B" w:rsidRDefault="00532022" w:rsidP="0020151A">
      <w:pPr>
        <w:pStyle w:val="Footnote"/>
      </w:pPr>
      <w:r>
        <w:rPr>
          <w:rStyle w:val="FootnoteReference"/>
        </w:rPr>
        <w:footnoteRef/>
      </w:r>
      <w:r>
        <w:t xml:space="preserve"> </w:t>
      </w:r>
      <w:r w:rsidRPr="001A1B9B">
        <w:t>The industry sectors are residential, commercial, industrial, and transportation customers.</w:t>
      </w:r>
    </w:p>
  </w:footnote>
  <w:footnote w:id="3">
    <w:p w:rsidR="00532022" w:rsidRPr="00F77884" w:rsidRDefault="00532022" w:rsidP="00997235">
      <w:pPr>
        <w:pStyle w:val="FootnoteText"/>
        <w:jc w:val="both"/>
        <w:rPr>
          <w:rFonts w:asciiTheme="minorHAnsi" w:hAnsiTheme="minorHAnsi"/>
          <w:sz w:val="18"/>
          <w:szCs w:val="18"/>
        </w:rPr>
      </w:pPr>
      <w:r w:rsidRPr="00F77884">
        <w:rPr>
          <w:rStyle w:val="FootnoteReference"/>
          <w:rFonts w:asciiTheme="minorHAnsi" w:hAnsiTheme="minorHAnsi"/>
          <w:sz w:val="18"/>
          <w:szCs w:val="18"/>
        </w:rPr>
        <w:footnoteRef/>
      </w:r>
      <w:r w:rsidRPr="00F77884">
        <w:rPr>
          <w:rFonts w:asciiTheme="minorHAnsi" w:hAnsiTheme="minorHAnsi"/>
          <w:sz w:val="18"/>
          <w:szCs w:val="18"/>
        </w:rPr>
        <w:t xml:space="preserve"> The sampling and imputation methodology is described in </w:t>
      </w:r>
      <w:r>
        <w:rPr>
          <w:rFonts w:asciiTheme="minorHAnsi" w:hAnsiTheme="minorHAnsi"/>
          <w:sz w:val="18"/>
          <w:szCs w:val="18"/>
        </w:rPr>
        <w:t>Supporting Statement Part</w:t>
      </w:r>
      <w:r w:rsidRPr="00F77884">
        <w:rPr>
          <w:rFonts w:asciiTheme="minorHAnsi" w:hAnsiTheme="minorHAnsi"/>
          <w:sz w:val="18"/>
          <w:szCs w:val="18"/>
        </w:rPr>
        <w:t xml:space="preserve"> B, “Collection of Information Employing Statistical Methods</w:t>
      </w:r>
      <w:r>
        <w:rPr>
          <w:rFonts w:asciiTheme="minorHAnsi" w:hAnsiTheme="minorHAnsi"/>
          <w:sz w:val="18"/>
          <w:szCs w:val="18"/>
        </w:rPr>
        <w:t>.</w:t>
      </w:r>
      <w:r w:rsidRPr="00F77884">
        <w:rPr>
          <w:rFonts w:asciiTheme="minorHAnsi" w:hAnsiTheme="minorHAnsi"/>
          <w:sz w:val="18"/>
          <w:szCs w:val="18"/>
        </w:rPr>
        <w:t>”</w:t>
      </w:r>
    </w:p>
  </w:footnote>
  <w:footnote w:id="4">
    <w:p w:rsidR="00532022" w:rsidRPr="00F77884" w:rsidRDefault="00532022" w:rsidP="00997235">
      <w:pPr>
        <w:pStyle w:val="FootnoteText"/>
        <w:jc w:val="both"/>
        <w:rPr>
          <w:rFonts w:asciiTheme="minorHAnsi" w:hAnsiTheme="minorHAnsi"/>
          <w:sz w:val="18"/>
          <w:szCs w:val="18"/>
        </w:rPr>
      </w:pPr>
      <w:r w:rsidRPr="00F77884">
        <w:rPr>
          <w:rStyle w:val="FootnoteReference"/>
          <w:rFonts w:asciiTheme="minorHAnsi" w:hAnsiTheme="minorHAnsi"/>
          <w:sz w:val="18"/>
          <w:szCs w:val="18"/>
        </w:rPr>
        <w:footnoteRef/>
      </w:r>
      <w:r w:rsidRPr="00F77884">
        <w:rPr>
          <w:rFonts w:asciiTheme="minorHAnsi" w:hAnsiTheme="minorHAnsi"/>
          <w:sz w:val="18"/>
          <w:szCs w:val="18"/>
        </w:rPr>
        <w:t xml:space="preserve"> Unbundled service refers to situations in which a utility provides the retail customer only with electricity delivery service, and the customer separately contracts with another entity for the electricity supply.  Unbundled service is rare for small utilities.</w:t>
      </w:r>
    </w:p>
  </w:footnote>
  <w:footnote w:id="5">
    <w:p w:rsidR="00532022" w:rsidRPr="005F6A5C" w:rsidRDefault="00532022" w:rsidP="0093717D">
      <w:pPr>
        <w:pStyle w:val="FootnoteText"/>
        <w:jc w:val="both"/>
        <w:rPr>
          <w:rFonts w:asciiTheme="minorHAnsi" w:hAnsiTheme="minorHAnsi"/>
          <w:sz w:val="18"/>
          <w:szCs w:val="18"/>
        </w:rPr>
      </w:pPr>
      <w:r w:rsidRPr="00F77884">
        <w:rPr>
          <w:rStyle w:val="FootnoteReference"/>
          <w:rFonts w:asciiTheme="minorHAnsi" w:hAnsiTheme="minorHAnsi"/>
          <w:sz w:val="18"/>
          <w:szCs w:val="18"/>
        </w:rPr>
        <w:footnoteRef/>
      </w:r>
      <w:r w:rsidRPr="00F77884">
        <w:rPr>
          <w:rFonts w:asciiTheme="minorHAnsi" w:hAnsiTheme="minorHAnsi"/>
          <w:sz w:val="18"/>
          <w:szCs w:val="18"/>
        </w:rPr>
        <w:t xml:space="preserve"> TVA and WPPI Energy (the latter a consortium of public power utilities in the Midwest) consolidate responses for their wholesale customers and deliver the information to EIA.  </w:t>
      </w:r>
      <w:r w:rsidRPr="005F6A5C">
        <w:rPr>
          <w:rFonts w:asciiTheme="minorHAnsi" w:hAnsiTheme="minorHAnsi"/>
          <w:sz w:val="18"/>
          <w:szCs w:val="18"/>
        </w:rPr>
        <w:t>Extract</w:t>
      </w:r>
      <w:r>
        <w:rPr>
          <w:rFonts w:asciiTheme="minorHAnsi" w:hAnsiTheme="minorHAnsi"/>
          <w:sz w:val="18"/>
          <w:szCs w:val="18"/>
        </w:rPr>
        <w:t>ing</w:t>
      </w:r>
      <w:r w:rsidRPr="005F6A5C">
        <w:rPr>
          <w:rFonts w:asciiTheme="minorHAnsi" w:hAnsiTheme="minorHAnsi"/>
          <w:sz w:val="18"/>
          <w:szCs w:val="18"/>
        </w:rPr>
        <w:t xml:space="preserve"> a subset of utilities from the joint filings </w:t>
      </w:r>
      <w:r>
        <w:rPr>
          <w:rFonts w:asciiTheme="minorHAnsi" w:hAnsiTheme="minorHAnsi"/>
          <w:sz w:val="18"/>
          <w:szCs w:val="18"/>
        </w:rPr>
        <w:t>of TVA and WPPI</w:t>
      </w:r>
      <w:r w:rsidRPr="00F77884">
        <w:rPr>
          <w:rFonts w:asciiTheme="minorHAnsi" w:hAnsiTheme="minorHAnsi"/>
          <w:sz w:val="18"/>
          <w:szCs w:val="18"/>
        </w:rPr>
        <w:t xml:space="preserve"> would be administratively cumbersome</w:t>
      </w:r>
      <w:r>
        <w:rPr>
          <w:rFonts w:asciiTheme="minorHAnsi" w:hAnsiTheme="minorHAnsi"/>
          <w:sz w:val="18"/>
          <w:szCs w:val="18"/>
        </w:rPr>
        <w:t xml:space="preserve"> and would </w:t>
      </w:r>
      <w:r w:rsidRPr="005F6A5C">
        <w:rPr>
          <w:rFonts w:asciiTheme="minorHAnsi" w:hAnsiTheme="minorHAnsi"/>
          <w:sz w:val="18"/>
          <w:szCs w:val="18"/>
        </w:rPr>
        <w:t>defeat the purpose of the proposed change to the Form EIA-861 frame, which is to reduce the cost of managing the survey</w:t>
      </w:r>
      <w:r>
        <w:rPr>
          <w:rFonts w:asciiTheme="minorHAnsi" w:hAnsiTheme="minorHAnsi"/>
          <w:sz w:val="18"/>
          <w:szCs w:val="18"/>
        </w:rPr>
        <w:t xml:space="preserve"> for both EIA and respondents</w:t>
      </w:r>
      <w:r w:rsidRPr="005F6A5C">
        <w:rPr>
          <w:rFonts w:asciiTheme="minorHAnsi" w:hAnsiTheme="minorHAnsi"/>
          <w:sz w:val="18"/>
          <w:szCs w:val="18"/>
        </w:rPr>
        <w:t>.</w:t>
      </w:r>
    </w:p>
  </w:footnote>
  <w:footnote w:id="6">
    <w:p w:rsidR="00532022" w:rsidRDefault="00532022">
      <w:pPr>
        <w:pStyle w:val="FootnoteText"/>
      </w:pPr>
      <w:r>
        <w:rPr>
          <w:rStyle w:val="FootnoteReference"/>
        </w:rPr>
        <w:footnoteRef/>
      </w:r>
      <w:r>
        <w:t xml:space="preserve"> </w:t>
      </w:r>
      <w:r w:rsidRPr="00DA6EE9">
        <w:rPr>
          <w:rFonts w:asciiTheme="minorHAnsi" w:hAnsiTheme="minorHAnsi"/>
          <w:sz w:val="18"/>
          <w:szCs w:val="18"/>
        </w:rPr>
        <w:t>The data collected varies somewhat by fuel type.  For example, ash content is not collected for natural gas as it contains no ash.</w:t>
      </w:r>
    </w:p>
  </w:footnote>
  <w:footnote w:id="7">
    <w:p w:rsidR="00532022" w:rsidRPr="00300CB7" w:rsidRDefault="00532022" w:rsidP="00584D27">
      <w:pPr>
        <w:pStyle w:val="FootnoteText"/>
        <w:jc w:val="both"/>
        <w:rPr>
          <w:rFonts w:asciiTheme="minorHAnsi" w:hAnsiTheme="minorHAnsi"/>
          <w:sz w:val="18"/>
          <w:szCs w:val="18"/>
        </w:rPr>
      </w:pPr>
      <w:r w:rsidRPr="00300CB7">
        <w:rPr>
          <w:rStyle w:val="FootnoteReference"/>
          <w:rFonts w:asciiTheme="minorHAnsi" w:hAnsiTheme="minorHAnsi"/>
          <w:sz w:val="18"/>
          <w:szCs w:val="18"/>
        </w:rPr>
        <w:footnoteRef/>
      </w:r>
      <w:r w:rsidRPr="00300CB7">
        <w:rPr>
          <w:rFonts w:asciiTheme="minorHAnsi" w:hAnsiTheme="minorHAnsi"/>
          <w:sz w:val="18"/>
          <w:szCs w:val="18"/>
        </w:rPr>
        <w:t xml:space="preserve"> The most detailed data is collected for the consumption of fuel on a boiler</w:t>
      </w:r>
      <w:r>
        <w:rPr>
          <w:rFonts w:asciiTheme="minorHAnsi" w:hAnsiTheme="minorHAnsi"/>
          <w:sz w:val="18"/>
          <w:szCs w:val="18"/>
        </w:rPr>
        <w:t>-</w:t>
      </w:r>
      <w:r w:rsidRPr="00300CB7">
        <w:rPr>
          <w:rFonts w:asciiTheme="minorHAnsi" w:hAnsiTheme="minorHAnsi"/>
          <w:sz w:val="18"/>
          <w:szCs w:val="18"/>
        </w:rPr>
        <w:t>by</w:t>
      </w:r>
      <w:r>
        <w:rPr>
          <w:rFonts w:asciiTheme="minorHAnsi" w:hAnsiTheme="minorHAnsi"/>
          <w:sz w:val="18"/>
          <w:szCs w:val="18"/>
        </w:rPr>
        <w:t>-</w:t>
      </w:r>
      <w:r w:rsidRPr="00300CB7">
        <w:rPr>
          <w:rFonts w:asciiTheme="minorHAnsi" w:hAnsiTheme="minorHAnsi"/>
          <w:sz w:val="18"/>
          <w:szCs w:val="18"/>
        </w:rPr>
        <w:t xml:space="preserve">boiler basis for steam electric generating plants with a capacity of 100 MW or greater.  See Form EIA-923, Schedule 3, Parts A and B, a copy of which </w:t>
      </w:r>
      <w:r>
        <w:rPr>
          <w:rFonts w:asciiTheme="minorHAnsi" w:hAnsiTheme="minorHAnsi"/>
          <w:sz w:val="18"/>
          <w:szCs w:val="18"/>
        </w:rPr>
        <w:t>accompanies this supporting statement</w:t>
      </w:r>
      <w:r w:rsidRPr="00300CB7">
        <w:rPr>
          <w:rFonts w:asciiTheme="minorHAnsi" w:hAnsiTheme="minorHAnsi"/>
          <w:sz w:val="18"/>
          <w:szCs w:val="18"/>
        </w:rPr>
        <w:t>.</w:t>
      </w:r>
    </w:p>
  </w:footnote>
  <w:footnote w:id="8">
    <w:p w:rsidR="00532022" w:rsidRPr="00A15BB4" w:rsidRDefault="00532022" w:rsidP="0002449A">
      <w:pPr>
        <w:pStyle w:val="FootnoteText"/>
        <w:rPr>
          <w:rFonts w:asciiTheme="minorHAnsi" w:hAnsiTheme="minorHAnsi"/>
        </w:rPr>
      </w:pPr>
      <w:r w:rsidRPr="00A15BB4">
        <w:rPr>
          <w:rStyle w:val="FootnoteReference"/>
          <w:rFonts w:asciiTheme="minorHAnsi" w:hAnsiTheme="minorHAnsi"/>
        </w:rPr>
        <w:footnoteRef/>
      </w:r>
      <w:r w:rsidRPr="00A15BB4">
        <w:rPr>
          <w:rFonts w:asciiTheme="minorHAnsi" w:hAnsiTheme="minorHAnsi"/>
        </w:rPr>
        <w:t xml:space="preserve"> Pick-lists are sometimes referred to as “drop-down” lists because of the typical appearance of the list in a software application.</w:t>
      </w:r>
    </w:p>
  </w:footnote>
  <w:footnote w:id="9">
    <w:p w:rsidR="00532022" w:rsidRPr="00FD427A" w:rsidRDefault="00532022">
      <w:pPr>
        <w:pStyle w:val="FootnoteText"/>
        <w:rPr>
          <w:rFonts w:asciiTheme="minorHAnsi" w:hAnsiTheme="minorHAnsi"/>
        </w:rPr>
      </w:pPr>
      <w:r w:rsidRPr="00FD427A">
        <w:rPr>
          <w:rStyle w:val="FootnoteReference"/>
          <w:rFonts w:asciiTheme="minorHAnsi" w:hAnsiTheme="minorHAnsi"/>
        </w:rPr>
        <w:footnoteRef/>
      </w:r>
      <w:r w:rsidRPr="00FD427A">
        <w:rPr>
          <w:rFonts w:asciiTheme="minorHAnsi" w:hAnsiTheme="minorHAnsi"/>
        </w:rPr>
        <w:t xml:space="preserve"> Cut-off sampling is a statistical technique that limits a survey sample to a larger tier of respondents and excludes smaller entities.  This technique has two benefits for reducing respondent burden.  First, as with any sampling method</w:t>
      </w:r>
      <w:r>
        <w:rPr>
          <w:rFonts w:asciiTheme="minorHAnsi" w:hAnsiTheme="minorHAnsi"/>
        </w:rPr>
        <w:t>,</w:t>
      </w:r>
      <w:r w:rsidRPr="00FD427A">
        <w:rPr>
          <w:rFonts w:asciiTheme="minorHAnsi" w:hAnsiTheme="minorHAnsi"/>
        </w:rPr>
        <w:t xml:space="preserve"> the total group of respondents is limited to the sample rather than the full universe of entities.  Second, smaller respondents with fewer resources often have the most difficulty providing correct and complete answers to survey questions. </w:t>
      </w:r>
      <w:r>
        <w:rPr>
          <w:rFonts w:asciiTheme="minorHAnsi" w:hAnsiTheme="minorHAnsi"/>
        </w:rPr>
        <w:t xml:space="preserve"> </w:t>
      </w:r>
      <w:r w:rsidRPr="00FD427A">
        <w:rPr>
          <w:rFonts w:asciiTheme="minorHAnsi" w:hAnsiTheme="minorHAnsi"/>
        </w:rPr>
        <w:t xml:space="preserve">It can therefore be beneficial to both smaller respondents and EIA to remove smaller entities from monthly surveys.  The sampling methodology is discussed further in Part B of this </w:t>
      </w:r>
      <w:r>
        <w:rPr>
          <w:rFonts w:asciiTheme="minorHAnsi" w:hAnsiTheme="minorHAnsi"/>
        </w:rPr>
        <w:t>S</w:t>
      </w:r>
      <w:r w:rsidRPr="00FD427A">
        <w:rPr>
          <w:rFonts w:asciiTheme="minorHAnsi" w:hAnsiTheme="minorHAnsi"/>
        </w:rPr>
        <w:t xml:space="preserve">upporting </w:t>
      </w:r>
      <w:r>
        <w:rPr>
          <w:rFonts w:asciiTheme="minorHAnsi" w:hAnsiTheme="minorHAnsi"/>
        </w:rPr>
        <w:t>S</w:t>
      </w:r>
      <w:r w:rsidRPr="00FD427A">
        <w:rPr>
          <w:rFonts w:asciiTheme="minorHAnsi" w:hAnsiTheme="minorHAnsi"/>
        </w:rPr>
        <w:t>tatement.</w:t>
      </w:r>
    </w:p>
  </w:footnote>
  <w:footnote w:id="10">
    <w:p w:rsidR="00532022" w:rsidRPr="007A7EE3" w:rsidRDefault="00532022">
      <w:pPr>
        <w:pStyle w:val="FootnoteText"/>
        <w:rPr>
          <w:rFonts w:asciiTheme="minorHAnsi" w:hAnsiTheme="minorHAnsi"/>
        </w:rPr>
      </w:pPr>
      <w:r>
        <w:rPr>
          <w:rStyle w:val="FootnoteReference"/>
        </w:rPr>
        <w:footnoteRef/>
      </w:r>
      <w:r>
        <w:t xml:space="preserve"> </w:t>
      </w:r>
      <w:r w:rsidRPr="007A7EE3">
        <w:rPr>
          <w:rFonts w:asciiTheme="minorHAnsi" w:hAnsiTheme="minorHAnsi"/>
        </w:rPr>
        <w:t>As discussed above in Section A.2.3, the reporting threshold is raised from 50 megawatts (MW) of nameplate capacity for all plants to 200 MW for all plants other than coal-fired stations.  In addition, reporting is eliminated altogether for minor fuels (e.g., kerosene and propane) and for waste fuels (e.g., blast furnace gas).  Note that all of the entities included in the survey are believed to be significant business or public enterprises; therefore the change in reporting requirement is not expected to affect any small business</w:t>
      </w:r>
      <w:r>
        <w:rPr>
          <w:rFonts w:asciiTheme="minorHAnsi" w:hAnsiTheme="minorHAnsi"/>
        </w:rPr>
        <w:t>,</w:t>
      </w:r>
      <w:r w:rsidRPr="007A7EE3">
        <w:rPr>
          <w:rFonts w:asciiTheme="minorHAnsi" w:hAnsiTheme="minorHAnsi"/>
        </w:rPr>
        <w:t xml:space="preserve"> as none are believed to be in the survey frame.</w:t>
      </w:r>
    </w:p>
  </w:footnote>
  <w:footnote w:id="11">
    <w:p w:rsidR="00532022" w:rsidRPr="001C5700" w:rsidRDefault="00532022">
      <w:pPr>
        <w:pStyle w:val="FootnoteText"/>
        <w:rPr>
          <w:rFonts w:ascii="Calibri" w:eastAsia="Calibri" w:hAnsi="Calibri"/>
          <w:sz w:val="18"/>
          <w:szCs w:val="18"/>
        </w:rPr>
      </w:pPr>
      <w:r>
        <w:rPr>
          <w:rStyle w:val="FootnoteReference"/>
        </w:rPr>
        <w:footnoteRef/>
      </w:r>
      <w:r>
        <w:t xml:space="preserve"> </w:t>
      </w:r>
      <w:r w:rsidRPr="001C5700">
        <w:rPr>
          <w:rFonts w:ascii="Calibri" w:eastAsia="Calibri" w:hAnsi="Calibri"/>
          <w:sz w:val="18"/>
          <w:szCs w:val="18"/>
        </w:rPr>
        <w:t>For background on coal retirement</w:t>
      </w:r>
      <w:r>
        <w:rPr>
          <w:rFonts w:ascii="Calibri" w:eastAsia="Calibri" w:hAnsi="Calibri"/>
          <w:sz w:val="18"/>
          <w:szCs w:val="18"/>
        </w:rPr>
        <w:t>s</w:t>
      </w:r>
      <w:r w:rsidRPr="001C5700">
        <w:rPr>
          <w:rFonts w:ascii="Calibri" w:eastAsia="Calibri" w:hAnsi="Calibri"/>
          <w:sz w:val="18"/>
          <w:szCs w:val="18"/>
        </w:rPr>
        <w:t xml:space="preserve"> see</w:t>
      </w:r>
      <w:r>
        <w:rPr>
          <w:rFonts w:ascii="Calibri" w:eastAsia="Calibri" w:hAnsi="Calibri"/>
          <w:sz w:val="18"/>
          <w:szCs w:val="18"/>
        </w:rPr>
        <w:t xml:space="preserve"> the EIA discussion at: h</w:t>
      </w:r>
      <w:r w:rsidRPr="001C5700">
        <w:rPr>
          <w:rFonts w:ascii="Calibri" w:eastAsia="Calibri" w:hAnsi="Calibri"/>
          <w:sz w:val="18"/>
          <w:szCs w:val="18"/>
        </w:rPr>
        <w:t>ttp://www.eia.gov/todayinenergy/detail.cfm?id=7330</w:t>
      </w:r>
      <w:r>
        <w:rPr>
          <w:rFonts w:ascii="Calibri" w:eastAsia="Calibri" w:hAnsi="Calibri"/>
          <w:sz w:val="18"/>
          <w:szCs w:val="18"/>
        </w:rPr>
        <w:t xml:space="preserve">. </w:t>
      </w:r>
      <w:r w:rsidRPr="001C5700">
        <w:rPr>
          <w:rFonts w:ascii="Calibri" w:eastAsia="Calibri" w:hAnsi="Calibri"/>
          <w:sz w:val="18"/>
          <w:szCs w:val="18"/>
        </w:rPr>
        <w:t xml:space="preserve"> </w:t>
      </w:r>
    </w:p>
  </w:footnote>
  <w:footnote w:id="12">
    <w:p w:rsidR="00532022" w:rsidRDefault="00532022">
      <w:pPr>
        <w:pStyle w:val="FootnoteText"/>
      </w:pPr>
      <w:r w:rsidRPr="001D1739">
        <w:rPr>
          <w:rStyle w:val="FootnoteReference"/>
          <w:rFonts w:asciiTheme="minorHAnsi" w:hAnsiTheme="minorHAnsi" w:cstheme="minorHAnsi"/>
        </w:rPr>
        <w:footnoteRef/>
      </w:r>
      <w:r w:rsidRPr="001D1739">
        <w:rPr>
          <w:rFonts w:asciiTheme="minorHAnsi" w:hAnsiTheme="minorHAnsi" w:cstheme="minorHAnsi"/>
        </w:rPr>
        <w:t xml:space="preserve"> </w:t>
      </w:r>
      <w:r w:rsidRPr="008B1F61">
        <w:rPr>
          <w:rFonts w:asciiTheme="minorHAnsi" w:hAnsiTheme="minorHAnsi" w:cstheme="minorHAnsi"/>
        </w:rPr>
        <w:t>Financial data on the investor-owned utility and cooperative utility sectors of the power industry are collected by, respectively, the Federal Energy Regulatory Commission and the Rural Utility Service of USDA.  Also see Table 1, above.</w:t>
      </w:r>
    </w:p>
  </w:footnote>
  <w:footnote w:id="13">
    <w:p w:rsidR="00532022" w:rsidRPr="00E83F15" w:rsidRDefault="00532022" w:rsidP="00E83F15">
      <w:pPr>
        <w:pStyle w:val="FootnoteText"/>
        <w:rPr>
          <w:rFonts w:asciiTheme="minorHAnsi" w:hAnsiTheme="minorHAnsi" w:cstheme="minorHAnsi"/>
          <w:sz w:val="18"/>
          <w:szCs w:val="18"/>
        </w:rPr>
      </w:pPr>
      <w:r>
        <w:rPr>
          <w:rStyle w:val="FootnoteReference"/>
        </w:rPr>
        <w:footnoteRef/>
      </w:r>
      <w:r>
        <w:t xml:space="preserve"> </w:t>
      </w:r>
      <w:r w:rsidRPr="00E83F15">
        <w:rPr>
          <w:rFonts w:asciiTheme="minorHAnsi" w:hAnsiTheme="minorHAnsi" w:cstheme="minorHAnsi"/>
          <w:sz w:val="18"/>
          <w:szCs w:val="18"/>
        </w:rPr>
        <w:t>In brief, EIA’s proposal is to reduce the frame for the Form EIA-861 survey from a universe of about 3,300 respondents (mainly electric utility companies) to a sample of 2,200 larger entities.  A new short form, the Form EIA-861S, would collect a limited set of data from the remaining 1,100 small utilities.  EIA is proposing this change because these small utilities, which account for about 1 percent of national electricity sales, generally have the most difficulty accurately completing the Form EIA-861 and consume a disproportionate share of EIA’s data review time and effort.  Moreover, the bulk of the Form EIA-861 requests information on activities which these small entities do not have (e.g., Demand Response programs); nonetheless, the small utilities may still review these questions and submit spurious responses.  Even basic reporting requirements, such as allocating electricity sales to end-use sectors, has been challenging for these small utility respondents.</w:t>
      </w:r>
    </w:p>
    <w:p w:rsidR="00532022" w:rsidRDefault="00532022" w:rsidP="00E83F15">
      <w:pPr>
        <w:pStyle w:val="FootnoteText"/>
      </w:pPr>
      <w:r w:rsidRPr="00E83F15">
        <w:rPr>
          <w:rFonts w:asciiTheme="minorHAnsi" w:hAnsiTheme="minorHAnsi" w:cstheme="minorHAnsi"/>
          <w:sz w:val="18"/>
          <w:szCs w:val="18"/>
        </w:rPr>
        <w:t>As originally proposed, the Form EIA-861S would have collected data on total electricity sales; the revenue from these sales and customer counts would have been imputed.  Upon review of comments from APPA and NRECA submitted in response to the 60-day Federal Register Notice, EIA modified the proposal to collect total revenues and customer counts in addition to total sales.  The breakdown by end use sector would still be statistically imputed. Note that the Form EIA-861S respondents will be required to complete the full Form EIA-861 survey every fifth year, largely to verify and update the imputation methodology.</w:t>
      </w:r>
    </w:p>
  </w:footnote>
  <w:footnote w:id="14">
    <w:p w:rsidR="00532022" w:rsidRDefault="00532022" w:rsidP="00E83F15">
      <w:pPr>
        <w:pStyle w:val="FootnoteText"/>
      </w:pPr>
      <w:r>
        <w:rPr>
          <w:rStyle w:val="FootnoteReference"/>
        </w:rPr>
        <w:footnoteRef/>
      </w:r>
      <w:r>
        <w:t xml:space="preserve"> </w:t>
      </w:r>
      <w:r w:rsidRPr="00E83F15">
        <w:rPr>
          <w:rFonts w:asciiTheme="minorHAnsi" w:hAnsiTheme="minorHAnsi" w:cstheme="minorHAnsi"/>
          <w:sz w:val="18"/>
          <w:szCs w:val="18"/>
        </w:rPr>
        <w:t>In brief, this proposal affects only Schedule 2, “Cost and Quality of Fuel Purchases – Plant-Level,” which collects information on the cost, quality, and volume of combustible fuel receipts.  Currently, plants must report these data if the plant meets a minimum capacity threshold of 50 megawatts (MW) of nameplate capacity or greater.  EIA’s original proposal was to (1) raise the Schedule 2 reporting threshold to 200 MW of nameplate capacity for plants fueled by coal, natural gas, petroleum coke, distillate fuel oil, and residual fuel oil; and (2) remove the reporting requirement for minor fuels (e.g., blast furnace gas).  The objective is to reduce respondent and EIA workload by reducing the reporting frame generally and in particular for small entities, and to eliminate reporting of minor fuels with irregular cost and quality that are difficult to verify.</w:t>
      </w:r>
    </w:p>
    <w:p w:rsidR="00532022" w:rsidRPr="00E83F15" w:rsidRDefault="00532022" w:rsidP="00E83F15">
      <w:pPr>
        <w:pStyle w:val="FootnoteText"/>
        <w:rPr>
          <w:rFonts w:asciiTheme="minorHAnsi" w:hAnsiTheme="minorHAnsi" w:cstheme="minorHAnsi"/>
          <w:sz w:val="18"/>
          <w:szCs w:val="18"/>
        </w:rPr>
      </w:pPr>
      <w:r w:rsidRPr="00E83F15">
        <w:rPr>
          <w:rFonts w:asciiTheme="minorHAnsi" w:hAnsiTheme="minorHAnsi" w:cstheme="minorHAnsi"/>
          <w:sz w:val="18"/>
          <w:szCs w:val="18"/>
        </w:rPr>
        <w:t>In response to comments received during the 60-day notice period, EIA adjusted the proposal to leave the reporting threshold for coal plants at 50 MW.  This reflects the current interest in the economic viability of coal-fired plants and the wide regional and plant-level variations in coal quality and pricing. (Also see the discussion in Appendix A-1.)</w:t>
      </w:r>
    </w:p>
  </w:footnote>
  <w:footnote w:id="15">
    <w:p w:rsidR="00532022" w:rsidRDefault="00532022" w:rsidP="00E83F15">
      <w:pPr>
        <w:pStyle w:val="FootnoteText"/>
      </w:pPr>
      <w:r>
        <w:rPr>
          <w:rStyle w:val="FootnoteReference"/>
        </w:rPr>
        <w:footnoteRef/>
      </w:r>
      <w:r>
        <w:t xml:space="preserve"> </w:t>
      </w:r>
      <w:r w:rsidRPr="00E83F15">
        <w:rPr>
          <w:rFonts w:asciiTheme="minorHAnsi" w:hAnsiTheme="minorHAnsi" w:cstheme="minorHAnsi"/>
          <w:sz w:val="18"/>
          <w:szCs w:val="18"/>
        </w:rPr>
        <w:t xml:space="preserve">Although Messrs. </w:t>
      </w:r>
      <w:proofErr w:type="spellStart"/>
      <w:r w:rsidRPr="00E83F15">
        <w:rPr>
          <w:rFonts w:asciiTheme="minorHAnsi" w:hAnsiTheme="minorHAnsi" w:cstheme="minorHAnsi"/>
          <w:sz w:val="18"/>
          <w:szCs w:val="18"/>
        </w:rPr>
        <w:t>Schmalzer</w:t>
      </w:r>
      <w:proofErr w:type="spellEnd"/>
      <w:r w:rsidRPr="00E83F15">
        <w:rPr>
          <w:rFonts w:asciiTheme="minorHAnsi" w:hAnsiTheme="minorHAnsi" w:cstheme="minorHAnsi"/>
          <w:sz w:val="18"/>
          <w:szCs w:val="18"/>
        </w:rPr>
        <w:t xml:space="preserve"> and Hanson are associated with Argonne their comments are not the official comments of that institution.  The September 17, 2012 letter sent by </w:t>
      </w:r>
      <w:proofErr w:type="spellStart"/>
      <w:r w:rsidRPr="00E83F15">
        <w:rPr>
          <w:rFonts w:asciiTheme="minorHAnsi" w:hAnsiTheme="minorHAnsi" w:cstheme="minorHAnsi"/>
          <w:sz w:val="18"/>
          <w:szCs w:val="18"/>
        </w:rPr>
        <w:t>Schmalzer</w:t>
      </w:r>
      <w:proofErr w:type="spellEnd"/>
      <w:r w:rsidRPr="00E83F15">
        <w:rPr>
          <w:rFonts w:asciiTheme="minorHAnsi" w:hAnsiTheme="minorHAnsi" w:cstheme="minorHAnsi"/>
          <w:sz w:val="18"/>
          <w:szCs w:val="18"/>
        </w:rPr>
        <w:t xml:space="preserve"> and Hanson states that “These comments do not necessarily represent the views of Argonne National Laboratory, the University of Chicago, the Department of Energy, or any other element of the federal government.”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022" w:rsidRDefault="00532022" w:rsidP="00955EC2">
    <w:pPr>
      <w:pStyle w:val="Header"/>
      <w:jc w:val="right"/>
    </w:pPr>
    <w:r>
      <w:t>Supporting Statement, Part 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022" w:rsidRDefault="00532022" w:rsidP="00995E34">
    <w:pPr>
      <w:pStyle w:val="Header"/>
      <w:jc w:val="right"/>
    </w:pPr>
    <w:r>
      <w:t>SUPPORTING STATEMENT, PART 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3699A8D"/>
    <w:multiLevelType w:val="hybridMultilevel"/>
    <w:tmpl w:val="2EF1B9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240A53"/>
    <w:multiLevelType w:val="hybridMultilevel"/>
    <w:tmpl w:val="878212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350BA"/>
    <w:multiLevelType w:val="hybridMultilevel"/>
    <w:tmpl w:val="5C102632"/>
    <w:lvl w:ilvl="0" w:tplc="04090011">
      <w:start w:val="1"/>
      <w:numFmt w:val="decimal"/>
      <w:lvlText w:val="%1)"/>
      <w:lvlJc w:val="left"/>
      <w:pPr>
        <w:tabs>
          <w:tab w:val="num" w:pos="1080"/>
        </w:tabs>
        <w:ind w:left="1080" w:hanging="360"/>
      </w:pPr>
    </w:lvl>
    <w:lvl w:ilvl="1" w:tplc="C116EB2C">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058621B2"/>
    <w:multiLevelType w:val="hybridMultilevel"/>
    <w:tmpl w:val="22EC0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5DD151B"/>
    <w:multiLevelType w:val="hybridMultilevel"/>
    <w:tmpl w:val="CAFCB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A31CF8"/>
    <w:multiLevelType w:val="hybridMultilevel"/>
    <w:tmpl w:val="07025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92A68"/>
    <w:multiLevelType w:val="hybridMultilevel"/>
    <w:tmpl w:val="349473B0"/>
    <w:lvl w:ilvl="0" w:tplc="04090001">
      <w:start w:val="1"/>
      <w:numFmt w:val="bullet"/>
      <w:lvlText w:val=""/>
      <w:lvlJc w:val="left"/>
      <w:pPr>
        <w:tabs>
          <w:tab w:val="num" w:pos="1080"/>
        </w:tabs>
        <w:ind w:left="1080" w:hanging="360"/>
      </w:pPr>
      <w:rPr>
        <w:rFonts w:ascii="Symbol" w:hAnsi="Symbol" w:hint="default"/>
      </w:rPr>
    </w:lvl>
    <w:lvl w:ilvl="1" w:tplc="D966C384">
      <w:start w:val="1"/>
      <w:numFmt w:val="lowerLetter"/>
      <w:lvlText w:val="(%2)"/>
      <w:lvlJc w:val="left"/>
      <w:pPr>
        <w:tabs>
          <w:tab w:val="num" w:pos="1830"/>
        </w:tabs>
        <w:ind w:left="1830" w:hanging="39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0B7B181E"/>
    <w:multiLevelType w:val="hybridMultilevel"/>
    <w:tmpl w:val="46EE68E4"/>
    <w:lvl w:ilvl="0" w:tplc="835274E2">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795F10"/>
    <w:multiLevelType w:val="hybridMultilevel"/>
    <w:tmpl w:val="FFD0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FD87925"/>
    <w:multiLevelType w:val="hybridMultilevel"/>
    <w:tmpl w:val="3D2C4930"/>
    <w:lvl w:ilvl="0" w:tplc="0409000F">
      <w:start w:val="1"/>
      <w:numFmt w:val="decimal"/>
      <w:lvlText w:val="%1."/>
      <w:lvlJc w:val="left"/>
      <w:pPr>
        <w:ind w:left="720" w:hanging="360"/>
      </w:pPr>
    </w:lvl>
    <w:lvl w:ilvl="1" w:tplc="E8E074CC">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1116409"/>
    <w:multiLevelType w:val="hybridMultilevel"/>
    <w:tmpl w:val="CD1C3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4163A0"/>
    <w:multiLevelType w:val="hybridMultilevel"/>
    <w:tmpl w:val="570AAC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3A54D5D"/>
    <w:multiLevelType w:val="hybridMultilevel"/>
    <w:tmpl w:val="6DBA139E"/>
    <w:lvl w:ilvl="0" w:tplc="04090001">
      <w:start w:val="1"/>
      <w:numFmt w:val="bullet"/>
      <w:lvlText w:val=""/>
      <w:lvlJc w:val="left"/>
      <w:pPr>
        <w:tabs>
          <w:tab w:val="num" w:pos="1368"/>
        </w:tabs>
        <w:ind w:left="1368"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4F002D4"/>
    <w:multiLevelType w:val="hybridMultilevel"/>
    <w:tmpl w:val="5144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F262475"/>
    <w:multiLevelType w:val="hybridMultilevel"/>
    <w:tmpl w:val="939A124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76304E"/>
    <w:multiLevelType w:val="hybridMultilevel"/>
    <w:tmpl w:val="D6A4F5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F631E56"/>
    <w:multiLevelType w:val="hybridMultilevel"/>
    <w:tmpl w:val="0DDAB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0D1D67"/>
    <w:multiLevelType w:val="hybridMultilevel"/>
    <w:tmpl w:val="7472A7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38E7A8D"/>
    <w:multiLevelType w:val="hybridMultilevel"/>
    <w:tmpl w:val="ABCC26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583246E"/>
    <w:multiLevelType w:val="hybridMultilevel"/>
    <w:tmpl w:val="B3C28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20">
    <w:nsid w:val="38FC596C"/>
    <w:multiLevelType w:val="hybridMultilevel"/>
    <w:tmpl w:val="D85E41F8"/>
    <w:lvl w:ilvl="0" w:tplc="04090001">
      <w:start w:val="1"/>
      <w:numFmt w:val="bullet"/>
      <w:lvlText w:val=""/>
      <w:lvlJc w:val="left"/>
      <w:pPr>
        <w:ind w:left="720" w:hanging="360"/>
      </w:pPr>
      <w:rPr>
        <w:rFonts w:ascii="Symbol" w:hAnsi="Symbol" w:hint="default"/>
      </w:rPr>
    </w:lvl>
    <w:lvl w:ilvl="1" w:tplc="E1A03BD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8F6A71"/>
    <w:multiLevelType w:val="hybridMultilevel"/>
    <w:tmpl w:val="7C646B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A50971"/>
    <w:multiLevelType w:val="hybridMultilevel"/>
    <w:tmpl w:val="CE8457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1662E5D"/>
    <w:multiLevelType w:val="hybridMultilevel"/>
    <w:tmpl w:val="CF464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1C57004"/>
    <w:multiLevelType w:val="hybridMultilevel"/>
    <w:tmpl w:val="54F48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439112B"/>
    <w:multiLevelType w:val="hybridMultilevel"/>
    <w:tmpl w:val="8EF49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499559B"/>
    <w:multiLevelType w:val="hybridMultilevel"/>
    <w:tmpl w:val="B5146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56E3E55"/>
    <w:multiLevelType w:val="hybridMultilevel"/>
    <w:tmpl w:val="1AEC2D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104C69"/>
    <w:multiLevelType w:val="hybridMultilevel"/>
    <w:tmpl w:val="53A67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3E6981"/>
    <w:multiLevelType w:val="hybridMultilevel"/>
    <w:tmpl w:val="A198AD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B704B64"/>
    <w:multiLevelType w:val="hybridMultilevel"/>
    <w:tmpl w:val="E2488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CDE22EB"/>
    <w:multiLevelType w:val="hybridMultilevel"/>
    <w:tmpl w:val="B2A01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CFE0276"/>
    <w:multiLevelType w:val="hybridMultilevel"/>
    <w:tmpl w:val="21401314"/>
    <w:lvl w:ilvl="0" w:tplc="04090001">
      <w:start w:val="1"/>
      <w:numFmt w:val="bullet"/>
      <w:lvlText w:val=""/>
      <w:lvlJc w:val="left"/>
      <w:pPr>
        <w:ind w:left="1080" w:hanging="360"/>
      </w:pPr>
      <w:rPr>
        <w:rFonts w:ascii="Symbol" w:hAnsi="Symbol" w:hint="default"/>
      </w:rPr>
    </w:lvl>
    <w:lvl w:ilvl="1" w:tplc="E8E074CC">
      <w:start w:val="1"/>
      <w:numFmt w:val="lowerRoman"/>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E2514E2"/>
    <w:multiLevelType w:val="hybridMultilevel"/>
    <w:tmpl w:val="CA607D2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2E14081"/>
    <w:multiLevelType w:val="hybridMultilevel"/>
    <w:tmpl w:val="9BC67C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52FB2C41"/>
    <w:multiLevelType w:val="hybridMultilevel"/>
    <w:tmpl w:val="EBB87B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510E7B"/>
    <w:multiLevelType w:val="hybridMultilevel"/>
    <w:tmpl w:val="7C486C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CAD1EBC"/>
    <w:multiLevelType w:val="hybridMultilevel"/>
    <w:tmpl w:val="703AF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D79232D"/>
    <w:multiLevelType w:val="hybridMultilevel"/>
    <w:tmpl w:val="3A52D770"/>
    <w:lvl w:ilvl="0" w:tplc="FB06C14E">
      <w:start w:val="1"/>
      <w:numFmt w:val="bullet"/>
      <w:lvlText w:val=""/>
      <w:lvlJc w:val="left"/>
      <w:pPr>
        <w:tabs>
          <w:tab w:val="num" w:pos="720"/>
        </w:tabs>
        <w:ind w:left="720" w:hanging="360"/>
      </w:pPr>
      <w:rPr>
        <w:rFonts w:ascii="Symbol" w:hAnsi="Symbol" w:hint="default"/>
        <w:color w:val="00000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9">
    <w:nsid w:val="5FB56B21"/>
    <w:multiLevelType w:val="hybridMultilevel"/>
    <w:tmpl w:val="38743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FFB5FFC"/>
    <w:multiLevelType w:val="hybridMultilevel"/>
    <w:tmpl w:val="0088D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1677C65"/>
    <w:multiLevelType w:val="hybridMultilevel"/>
    <w:tmpl w:val="18C0F5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1717D0F"/>
    <w:multiLevelType w:val="hybridMultilevel"/>
    <w:tmpl w:val="DA2C6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6825E0F"/>
    <w:multiLevelType w:val="hybridMultilevel"/>
    <w:tmpl w:val="85A20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7C41B98"/>
    <w:multiLevelType w:val="hybridMultilevel"/>
    <w:tmpl w:val="BA862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0F12F93"/>
    <w:multiLevelType w:val="hybridMultilevel"/>
    <w:tmpl w:val="397CA7B4"/>
    <w:lvl w:ilvl="0" w:tplc="11B6DB9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8C7486"/>
    <w:multiLevelType w:val="hybridMultilevel"/>
    <w:tmpl w:val="22380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56E52E7"/>
    <w:multiLevelType w:val="hybridMultilevel"/>
    <w:tmpl w:val="80A8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E055D12"/>
    <w:multiLevelType w:val="hybridMultilevel"/>
    <w:tmpl w:val="A16E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F5E7CE5"/>
    <w:multiLevelType w:val="hybridMultilevel"/>
    <w:tmpl w:val="44EC84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8"/>
  </w:num>
  <w:num w:numId="2">
    <w:abstractNumId w:val="40"/>
  </w:num>
  <w:num w:numId="3">
    <w:abstractNumId w:val="11"/>
  </w:num>
  <w:num w:numId="4">
    <w:abstractNumId w:val="35"/>
  </w:num>
  <w:num w:numId="5">
    <w:abstractNumId w:val="14"/>
  </w:num>
  <w:num w:numId="6">
    <w:abstractNumId w:val="23"/>
  </w:num>
  <w:num w:numId="7">
    <w:abstractNumId w:val="30"/>
  </w:num>
  <w:num w:numId="8">
    <w:abstractNumId w:val="31"/>
  </w:num>
  <w:num w:numId="9">
    <w:abstractNumId w:val="25"/>
  </w:num>
  <w:num w:numId="10">
    <w:abstractNumId w:val="5"/>
  </w:num>
  <w:num w:numId="11">
    <w:abstractNumId w:val="19"/>
  </w:num>
  <w:num w:numId="12">
    <w:abstractNumId w:val="43"/>
  </w:num>
  <w:num w:numId="13">
    <w:abstractNumId w:val="20"/>
  </w:num>
  <w:num w:numId="14">
    <w:abstractNumId w:val="3"/>
  </w:num>
  <w:num w:numId="15">
    <w:abstractNumId w:val="10"/>
  </w:num>
  <w:num w:numId="16">
    <w:abstractNumId w:val="26"/>
  </w:num>
  <w:num w:numId="17">
    <w:abstractNumId w:val="44"/>
  </w:num>
  <w:num w:numId="18">
    <w:abstractNumId w:val="37"/>
  </w:num>
  <w:num w:numId="19">
    <w:abstractNumId w:val="29"/>
  </w:num>
  <w:num w:numId="20">
    <w:abstractNumId w:val="48"/>
  </w:num>
  <w:num w:numId="21">
    <w:abstractNumId w:val="17"/>
  </w:num>
  <w:num w:numId="22">
    <w:abstractNumId w:val="15"/>
  </w:num>
  <w:num w:numId="23">
    <w:abstractNumId w:val="2"/>
  </w:num>
  <w:num w:numId="24">
    <w:abstractNumId w:val="22"/>
  </w:num>
  <w:num w:numId="25">
    <w:abstractNumId w:val="49"/>
  </w:num>
  <w:num w:numId="26">
    <w:abstractNumId w:val="12"/>
  </w:num>
  <w:num w:numId="27">
    <w:abstractNumId w:val="42"/>
  </w:num>
  <w:num w:numId="28">
    <w:abstractNumId w:val="9"/>
  </w:num>
  <w:num w:numId="29">
    <w:abstractNumId w:val="34"/>
  </w:num>
  <w:num w:numId="30">
    <w:abstractNumId w:val="6"/>
  </w:num>
  <w:num w:numId="31">
    <w:abstractNumId w:val="33"/>
  </w:num>
  <w:num w:numId="32">
    <w:abstractNumId w:val="18"/>
  </w:num>
  <w:num w:numId="33">
    <w:abstractNumId w:val="36"/>
  </w:num>
  <w:num w:numId="34">
    <w:abstractNumId w:val="32"/>
  </w:num>
  <w:num w:numId="35">
    <w:abstractNumId w:val="47"/>
  </w:num>
  <w:num w:numId="36">
    <w:abstractNumId w:val="1"/>
  </w:num>
  <w:num w:numId="37">
    <w:abstractNumId w:val="27"/>
  </w:num>
  <w:num w:numId="38">
    <w:abstractNumId w:val="21"/>
  </w:num>
  <w:num w:numId="39">
    <w:abstractNumId w:val="45"/>
  </w:num>
  <w:num w:numId="40">
    <w:abstractNumId w:val="4"/>
  </w:num>
  <w:num w:numId="41">
    <w:abstractNumId w:val="46"/>
  </w:num>
  <w:num w:numId="42">
    <w:abstractNumId w:val="28"/>
  </w:num>
  <w:num w:numId="43">
    <w:abstractNumId w:val="7"/>
  </w:num>
  <w:num w:numId="44">
    <w:abstractNumId w:val="41"/>
  </w:num>
  <w:num w:numId="45">
    <w:abstractNumId w:val="0"/>
  </w:num>
  <w:num w:numId="46">
    <w:abstractNumId w:val="24"/>
  </w:num>
  <w:num w:numId="47">
    <w:abstractNumId w:val="39"/>
  </w:num>
  <w:num w:numId="48">
    <w:abstractNumId w:val="13"/>
  </w:num>
  <w:num w:numId="49">
    <w:abstractNumId w:val="8"/>
  </w:num>
  <w:num w:numId="50">
    <w:abstractNumId w:val="16"/>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rsids>
    <w:rsidRoot w:val="00071AAF"/>
    <w:rsid w:val="00000EFA"/>
    <w:rsid w:val="0000338F"/>
    <w:rsid w:val="000059AE"/>
    <w:rsid w:val="000103A8"/>
    <w:rsid w:val="0001588F"/>
    <w:rsid w:val="00020033"/>
    <w:rsid w:val="00020A34"/>
    <w:rsid w:val="00020AAD"/>
    <w:rsid w:val="0002449A"/>
    <w:rsid w:val="00032ED1"/>
    <w:rsid w:val="0003460B"/>
    <w:rsid w:val="00047032"/>
    <w:rsid w:val="000531D5"/>
    <w:rsid w:val="00054A0B"/>
    <w:rsid w:val="00054C53"/>
    <w:rsid w:val="0005734F"/>
    <w:rsid w:val="0006123B"/>
    <w:rsid w:val="000625CE"/>
    <w:rsid w:val="00063289"/>
    <w:rsid w:val="00066FFA"/>
    <w:rsid w:val="00067904"/>
    <w:rsid w:val="00071AAF"/>
    <w:rsid w:val="00075057"/>
    <w:rsid w:val="00077D3C"/>
    <w:rsid w:val="00077E68"/>
    <w:rsid w:val="00080AA7"/>
    <w:rsid w:val="0008424A"/>
    <w:rsid w:val="000875AD"/>
    <w:rsid w:val="00087991"/>
    <w:rsid w:val="000906EB"/>
    <w:rsid w:val="000937D9"/>
    <w:rsid w:val="00093BD1"/>
    <w:rsid w:val="00095C3A"/>
    <w:rsid w:val="00095FA1"/>
    <w:rsid w:val="00096588"/>
    <w:rsid w:val="0009773C"/>
    <w:rsid w:val="000A1E0F"/>
    <w:rsid w:val="000A202B"/>
    <w:rsid w:val="000A294A"/>
    <w:rsid w:val="000A47ED"/>
    <w:rsid w:val="000A66C8"/>
    <w:rsid w:val="000B124B"/>
    <w:rsid w:val="000B4E33"/>
    <w:rsid w:val="000B5EE0"/>
    <w:rsid w:val="000C0908"/>
    <w:rsid w:val="000C16E7"/>
    <w:rsid w:val="000C1B8B"/>
    <w:rsid w:val="000C26A4"/>
    <w:rsid w:val="000C4AAE"/>
    <w:rsid w:val="000C77AD"/>
    <w:rsid w:val="000D5F36"/>
    <w:rsid w:val="000D6A2A"/>
    <w:rsid w:val="000E0DE8"/>
    <w:rsid w:val="000E100A"/>
    <w:rsid w:val="000E4B8C"/>
    <w:rsid w:val="000E60F9"/>
    <w:rsid w:val="000F5B16"/>
    <w:rsid w:val="0010095D"/>
    <w:rsid w:val="00103890"/>
    <w:rsid w:val="00104B3D"/>
    <w:rsid w:val="00105A3A"/>
    <w:rsid w:val="0010739C"/>
    <w:rsid w:val="00111BEC"/>
    <w:rsid w:val="00112270"/>
    <w:rsid w:val="00115BF9"/>
    <w:rsid w:val="00122A48"/>
    <w:rsid w:val="00125A0C"/>
    <w:rsid w:val="00126268"/>
    <w:rsid w:val="00127389"/>
    <w:rsid w:val="00130A03"/>
    <w:rsid w:val="00131194"/>
    <w:rsid w:val="001576F8"/>
    <w:rsid w:val="001651A6"/>
    <w:rsid w:val="0017074D"/>
    <w:rsid w:val="0017196F"/>
    <w:rsid w:val="00174195"/>
    <w:rsid w:val="00174AD6"/>
    <w:rsid w:val="001775CD"/>
    <w:rsid w:val="00181F12"/>
    <w:rsid w:val="00190B96"/>
    <w:rsid w:val="001951D4"/>
    <w:rsid w:val="0019702A"/>
    <w:rsid w:val="001A3879"/>
    <w:rsid w:val="001A5794"/>
    <w:rsid w:val="001A64CC"/>
    <w:rsid w:val="001A76A7"/>
    <w:rsid w:val="001B7B5E"/>
    <w:rsid w:val="001C17AC"/>
    <w:rsid w:val="001C302D"/>
    <w:rsid w:val="001C5700"/>
    <w:rsid w:val="001C5EED"/>
    <w:rsid w:val="001D1739"/>
    <w:rsid w:val="001E6862"/>
    <w:rsid w:val="001F05B7"/>
    <w:rsid w:val="001F7CA3"/>
    <w:rsid w:val="0020151A"/>
    <w:rsid w:val="00204414"/>
    <w:rsid w:val="00206513"/>
    <w:rsid w:val="00211680"/>
    <w:rsid w:val="002132D4"/>
    <w:rsid w:val="00213433"/>
    <w:rsid w:val="0021386F"/>
    <w:rsid w:val="00213A35"/>
    <w:rsid w:val="00214A00"/>
    <w:rsid w:val="002157F2"/>
    <w:rsid w:val="002176EB"/>
    <w:rsid w:val="00217B99"/>
    <w:rsid w:val="0022013E"/>
    <w:rsid w:val="00221581"/>
    <w:rsid w:val="00222A51"/>
    <w:rsid w:val="00224776"/>
    <w:rsid w:val="0022790E"/>
    <w:rsid w:val="002312A8"/>
    <w:rsid w:val="00231625"/>
    <w:rsid w:val="0023619F"/>
    <w:rsid w:val="002414ED"/>
    <w:rsid w:val="00252188"/>
    <w:rsid w:val="00257D23"/>
    <w:rsid w:val="002607DB"/>
    <w:rsid w:val="00261000"/>
    <w:rsid w:val="00263ACE"/>
    <w:rsid w:val="00263D64"/>
    <w:rsid w:val="002645D2"/>
    <w:rsid w:val="00267110"/>
    <w:rsid w:val="00267D47"/>
    <w:rsid w:val="00267E5C"/>
    <w:rsid w:val="0027227E"/>
    <w:rsid w:val="0028088F"/>
    <w:rsid w:val="00286070"/>
    <w:rsid w:val="002940A9"/>
    <w:rsid w:val="00296EFB"/>
    <w:rsid w:val="002A0FBE"/>
    <w:rsid w:val="002A55E3"/>
    <w:rsid w:val="002A635F"/>
    <w:rsid w:val="002B06B3"/>
    <w:rsid w:val="002B286F"/>
    <w:rsid w:val="002B5485"/>
    <w:rsid w:val="002B6D65"/>
    <w:rsid w:val="002C56E2"/>
    <w:rsid w:val="002C5D61"/>
    <w:rsid w:val="002C665B"/>
    <w:rsid w:val="002C6FE6"/>
    <w:rsid w:val="002C72D9"/>
    <w:rsid w:val="002D074B"/>
    <w:rsid w:val="002D6038"/>
    <w:rsid w:val="002D789A"/>
    <w:rsid w:val="002E3E6C"/>
    <w:rsid w:val="002E5432"/>
    <w:rsid w:val="002E60F2"/>
    <w:rsid w:val="002F17D2"/>
    <w:rsid w:val="002F48B7"/>
    <w:rsid w:val="002F5BA3"/>
    <w:rsid w:val="002F5F44"/>
    <w:rsid w:val="00300CB7"/>
    <w:rsid w:val="0030233A"/>
    <w:rsid w:val="003145FC"/>
    <w:rsid w:val="0032034C"/>
    <w:rsid w:val="003218DF"/>
    <w:rsid w:val="003238CA"/>
    <w:rsid w:val="00326575"/>
    <w:rsid w:val="0032664A"/>
    <w:rsid w:val="0035705F"/>
    <w:rsid w:val="00370D0A"/>
    <w:rsid w:val="003750FF"/>
    <w:rsid w:val="00376D46"/>
    <w:rsid w:val="003806C8"/>
    <w:rsid w:val="0038447D"/>
    <w:rsid w:val="00390E23"/>
    <w:rsid w:val="003A0EFD"/>
    <w:rsid w:val="003A46A2"/>
    <w:rsid w:val="003A65DA"/>
    <w:rsid w:val="003B0478"/>
    <w:rsid w:val="003B2F5D"/>
    <w:rsid w:val="003B4BC6"/>
    <w:rsid w:val="003B6958"/>
    <w:rsid w:val="003B7EDC"/>
    <w:rsid w:val="003C0653"/>
    <w:rsid w:val="003C0D72"/>
    <w:rsid w:val="003C12C7"/>
    <w:rsid w:val="003C2EA4"/>
    <w:rsid w:val="003C5B85"/>
    <w:rsid w:val="003C757B"/>
    <w:rsid w:val="003D0C43"/>
    <w:rsid w:val="003D260D"/>
    <w:rsid w:val="003D4637"/>
    <w:rsid w:val="003D6F7D"/>
    <w:rsid w:val="003E0FF9"/>
    <w:rsid w:val="003E26D0"/>
    <w:rsid w:val="003E7917"/>
    <w:rsid w:val="003F103A"/>
    <w:rsid w:val="003F34F2"/>
    <w:rsid w:val="003F5C57"/>
    <w:rsid w:val="004009A5"/>
    <w:rsid w:val="004030E9"/>
    <w:rsid w:val="00403C47"/>
    <w:rsid w:val="00416D41"/>
    <w:rsid w:val="00417F6C"/>
    <w:rsid w:val="00423C3B"/>
    <w:rsid w:val="0042552E"/>
    <w:rsid w:val="0042691E"/>
    <w:rsid w:val="00426DF1"/>
    <w:rsid w:val="00434449"/>
    <w:rsid w:val="0043780E"/>
    <w:rsid w:val="00443E82"/>
    <w:rsid w:val="004440CF"/>
    <w:rsid w:val="004479A3"/>
    <w:rsid w:val="0045011F"/>
    <w:rsid w:val="00450297"/>
    <w:rsid w:val="00450A71"/>
    <w:rsid w:val="00452485"/>
    <w:rsid w:val="0045557A"/>
    <w:rsid w:val="00456EA1"/>
    <w:rsid w:val="00467FCA"/>
    <w:rsid w:val="00473B76"/>
    <w:rsid w:val="00477737"/>
    <w:rsid w:val="0048528F"/>
    <w:rsid w:val="004A67A2"/>
    <w:rsid w:val="004A7021"/>
    <w:rsid w:val="004B05AF"/>
    <w:rsid w:val="004B0CD4"/>
    <w:rsid w:val="004B14BA"/>
    <w:rsid w:val="004D0AA1"/>
    <w:rsid w:val="004D4468"/>
    <w:rsid w:val="004D6C9B"/>
    <w:rsid w:val="004D7A59"/>
    <w:rsid w:val="004E1353"/>
    <w:rsid w:val="004E1964"/>
    <w:rsid w:val="004E3908"/>
    <w:rsid w:val="004F071E"/>
    <w:rsid w:val="004F7E8F"/>
    <w:rsid w:val="005006D5"/>
    <w:rsid w:val="005022AE"/>
    <w:rsid w:val="00504B5F"/>
    <w:rsid w:val="00506A0B"/>
    <w:rsid w:val="0050780E"/>
    <w:rsid w:val="005119EA"/>
    <w:rsid w:val="00512146"/>
    <w:rsid w:val="005146F9"/>
    <w:rsid w:val="005211AD"/>
    <w:rsid w:val="00523D19"/>
    <w:rsid w:val="0052484E"/>
    <w:rsid w:val="00525BC9"/>
    <w:rsid w:val="00530D1B"/>
    <w:rsid w:val="00532022"/>
    <w:rsid w:val="005370BE"/>
    <w:rsid w:val="00537B2C"/>
    <w:rsid w:val="00537FF8"/>
    <w:rsid w:val="00540E1F"/>
    <w:rsid w:val="00542227"/>
    <w:rsid w:val="00556864"/>
    <w:rsid w:val="005612F5"/>
    <w:rsid w:val="005624EB"/>
    <w:rsid w:val="00566AD4"/>
    <w:rsid w:val="00571484"/>
    <w:rsid w:val="0057565C"/>
    <w:rsid w:val="00576E87"/>
    <w:rsid w:val="00584D27"/>
    <w:rsid w:val="0059391B"/>
    <w:rsid w:val="00594F1F"/>
    <w:rsid w:val="0059602F"/>
    <w:rsid w:val="005A16EF"/>
    <w:rsid w:val="005A288C"/>
    <w:rsid w:val="005A2901"/>
    <w:rsid w:val="005A2DDA"/>
    <w:rsid w:val="005A48BF"/>
    <w:rsid w:val="005A6D16"/>
    <w:rsid w:val="005B0185"/>
    <w:rsid w:val="005C08EC"/>
    <w:rsid w:val="005D1FE1"/>
    <w:rsid w:val="005D257D"/>
    <w:rsid w:val="005E7BDC"/>
    <w:rsid w:val="005F6A5C"/>
    <w:rsid w:val="005F6D08"/>
    <w:rsid w:val="0060034B"/>
    <w:rsid w:val="006146EB"/>
    <w:rsid w:val="006153E2"/>
    <w:rsid w:val="00615516"/>
    <w:rsid w:val="0061552C"/>
    <w:rsid w:val="00620F85"/>
    <w:rsid w:val="00625540"/>
    <w:rsid w:val="006258FB"/>
    <w:rsid w:val="00631A36"/>
    <w:rsid w:val="00632D4B"/>
    <w:rsid w:val="00634A3A"/>
    <w:rsid w:val="006438B3"/>
    <w:rsid w:val="00643E14"/>
    <w:rsid w:val="00643E4E"/>
    <w:rsid w:val="006454E6"/>
    <w:rsid w:val="006625AF"/>
    <w:rsid w:val="006706F4"/>
    <w:rsid w:val="00671860"/>
    <w:rsid w:val="006733FD"/>
    <w:rsid w:val="006740A7"/>
    <w:rsid w:val="00680C32"/>
    <w:rsid w:val="006911E8"/>
    <w:rsid w:val="006976D8"/>
    <w:rsid w:val="006A1420"/>
    <w:rsid w:val="006A5A4A"/>
    <w:rsid w:val="006A6267"/>
    <w:rsid w:val="006A6E9C"/>
    <w:rsid w:val="006B203B"/>
    <w:rsid w:val="006B2905"/>
    <w:rsid w:val="006B3D01"/>
    <w:rsid w:val="006C52E7"/>
    <w:rsid w:val="006C6062"/>
    <w:rsid w:val="006D0C95"/>
    <w:rsid w:val="006D5F7B"/>
    <w:rsid w:val="006D7E60"/>
    <w:rsid w:val="006E16F1"/>
    <w:rsid w:val="006E3040"/>
    <w:rsid w:val="006E405D"/>
    <w:rsid w:val="006E477C"/>
    <w:rsid w:val="006E4825"/>
    <w:rsid w:val="006E7BDF"/>
    <w:rsid w:val="006F07F5"/>
    <w:rsid w:val="006F5A79"/>
    <w:rsid w:val="00702360"/>
    <w:rsid w:val="00704809"/>
    <w:rsid w:val="00705965"/>
    <w:rsid w:val="00711276"/>
    <w:rsid w:val="00711BA4"/>
    <w:rsid w:val="00712204"/>
    <w:rsid w:val="007122EA"/>
    <w:rsid w:val="00717364"/>
    <w:rsid w:val="0072299E"/>
    <w:rsid w:val="0072611A"/>
    <w:rsid w:val="007350F8"/>
    <w:rsid w:val="00740C47"/>
    <w:rsid w:val="00756BB9"/>
    <w:rsid w:val="007625C7"/>
    <w:rsid w:val="00764A23"/>
    <w:rsid w:val="0077340D"/>
    <w:rsid w:val="00773785"/>
    <w:rsid w:val="00783F9A"/>
    <w:rsid w:val="0078463C"/>
    <w:rsid w:val="0078718D"/>
    <w:rsid w:val="007A5B5D"/>
    <w:rsid w:val="007A5DDC"/>
    <w:rsid w:val="007A6A03"/>
    <w:rsid w:val="007A7EE3"/>
    <w:rsid w:val="007A7FA2"/>
    <w:rsid w:val="007B2324"/>
    <w:rsid w:val="007C5762"/>
    <w:rsid w:val="007D487A"/>
    <w:rsid w:val="007D4DD9"/>
    <w:rsid w:val="007D7534"/>
    <w:rsid w:val="007E00F8"/>
    <w:rsid w:val="007E2D64"/>
    <w:rsid w:val="007E3C42"/>
    <w:rsid w:val="007E5356"/>
    <w:rsid w:val="007E60C6"/>
    <w:rsid w:val="007F0312"/>
    <w:rsid w:val="007F23B7"/>
    <w:rsid w:val="007F2C1F"/>
    <w:rsid w:val="007F7A32"/>
    <w:rsid w:val="0080172F"/>
    <w:rsid w:val="00804F61"/>
    <w:rsid w:val="00805A50"/>
    <w:rsid w:val="0081144D"/>
    <w:rsid w:val="0082352C"/>
    <w:rsid w:val="00823616"/>
    <w:rsid w:val="0082535E"/>
    <w:rsid w:val="00827120"/>
    <w:rsid w:val="00830A19"/>
    <w:rsid w:val="00832DA7"/>
    <w:rsid w:val="00842AC2"/>
    <w:rsid w:val="008479BA"/>
    <w:rsid w:val="00847F5E"/>
    <w:rsid w:val="00847FA1"/>
    <w:rsid w:val="0085371A"/>
    <w:rsid w:val="008543FD"/>
    <w:rsid w:val="00856DE7"/>
    <w:rsid w:val="00860937"/>
    <w:rsid w:val="00860A98"/>
    <w:rsid w:val="0086217A"/>
    <w:rsid w:val="0086221A"/>
    <w:rsid w:val="0086224F"/>
    <w:rsid w:val="00863332"/>
    <w:rsid w:val="0086393A"/>
    <w:rsid w:val="0086606E"/>
    <w:rsid w:val="00870CE3"/>
    <w:rsid w:val="0087598C"/>
    <w:rsid w:val="0088056B"/>
    <w:rsid w:val="00880DDA"/>
    <w:rsid w:val="00887D3A"/>
    <w:rsid w:val="00892AC6"/>
    <w:rsid w:val="008A0D12"/>
    <w:rsid w:val="008A11C4"/>
    <w:rsid w:val="008A12C6"/>
    <w:rsid w:val="008A4DE3"/>
    <w:rsid w:val="008B0F4F"/>
    <w:rsid w:val="008B1F61"/>
    <w:rsid w:val="008B5156"/>
    <w:rsid w:val="008B54F1"/>
    <w:rsid w:val="008C6DBD"/>
    <w:rsid w:val="008D14B9"/>
    <w:rsid w:val="008D30B9"/>
    <w:rsid w:val="008D4003"/>
    <w:rsid w:val="008D4334"/>
    <w:rsid w:val="008D5B4A"/>
    <w:rsid w:val="008E05E9"/>
    <w:rsid w:val="008E0E5B"/>
    <w:rsid w:val="008E1E61"/>
    <w:rsid w:val="008F1CEA"/>
    <w:rsid w:val="008F5866"/>
    <w:rsid w:val="008F7EB4"/>
    <w:rsid w:val="0090383E"/>
    <w:rsid w:val="009075DC"/>
    <w:rsid w:val="00912931"/>
    <w:rsid w:val="009152B2"/>
    <w:rsid w:val="00916E86"/>
    <w:rsid w:val="00936F57"/>
    <w:rsid w:val="0093717D"/>
    <w:rsid w:val="009420AF"/>
    <w:rsid w:val="00942CAF"/>
    <w:rsid w:val="00953020"/>
    <w:rsid w:val="00955EC2"/>
    <w:rsid w:val="0095645F"/>
    <w:rsid w:val="0095684D"/>
    <w:rsid w:val="00957615"/>
    <w:rsid w:val="00961491"/>
    <w:rsid w:val="009702EC"/>
    <w:rsid w:val="009709E1"/>
    <w:rsid w:val="00970DC9"/>
    <w:rsid w:val="00976846"/>
    <w:rsid w:val="009777B0"/>
    <w:rsid w:val="00980FD8"/>
    <w:rsid w:val="00982A2D"/>
    <w:rsid w:val="00985589"/>
    <w:rsid w:val="0099399D"/>
    <w:rsid w:val="00995158"/>
    <w:rsid w:val="009951C2"/>
    <w:rsid w:val="00995E34"/>
    <w:rsid w:val="00996002"/>
    <w:rsid w:val="0099613C"/>
    <w:rsid w:val="00997235"/>
    <w:rsid w:val="009A0C0F"/>
    <w:rsid w:val="009A0D0E"/>
    <w:rsid w:val="009A0D41"/>
    <w:rsid w:val="009A0FB6"/>
    <w:rsid w:val="009B2371"/>
    <w:rsid w:val="009B7EB4"/>
    <w:rsid w:val="009D27B2"/>
    <w:rsid w:val="009D2A64"/>
    <w:rsid w:val="009D339A"/>
    <w:rsid w:val="009E2442"/>
    <w:rsid w:val="009E3464"/>
    <w:rsid w:val="009F1693"/>
    <w:rsid w:val="00A02646"/>
    <w:rsid w:val="00A0311B"/>
    <w:rsid w:val="00A06EF6"/>
    <w:rsid w:val="00A07DB9"/>
    <w:rsid w:val="00A1416F"/>
    <w:rsid w:val="00A1795A"/>
    <w:rsid w:val="00A23A69"/>
    <w:rsid w:val="00A27FD3"/>
    <w:rsid w:val="00A36F0C"/>
    <w:rsid w:val="00A36FD3"/>
    <w:rsid w:val="00A432C2"/>
    <w:rsid w:val="00A46004"/>
    <w:rsid w:val="00A50D5C"/>
    <w:rsid w:val="00A57C90"/>
    <w:rsid w:val="00A62D30"/>
    <w:rsid w:val="00A66F05"/>
    <w:rsid w:val="00A71BA9"/>
    <w:rsid w:val="00A76D5A"/>
    <w:rsid w:val="00A80843"/>
    <w:rsid w:val="00A8582E"/>
    <w:rsid w:val="00A86EDF"/>
    <w:rsid w:val="00A95FE0"/>
    <w:rsid w:val="00A96A9B"/>
    <w:rsid w:val="00AA4C06"/>
    <w:rsid w:val="00AA648F"/>
    <w:rsid w:val="00AA64DE"/>
    <w:rsid w:val="00AA6EBB"/>
    <w:rsid w:val="00AA734B"/>
    <w:rsid w:val="00AB022C"/>
    <w:rsid w:val="00AB1B3B"/>
    <w:rsid w:val="00AB4933"/>
    <w:rsid w:val="00AB53EF"/>
    <w:rsid w:val="00AB5A0C"/>
    <w:rsid w:val="00AC1BA2"/>
    <w:rsid w:val="00AC4768"/>
    <w:rsid w:val="00AC5115"/>
    <w:rsid w:val="00AC77F5"/>
    <w:rsid w:val="00AD0A3A"/>
    <w:rsid w:val="00AD0C14"/>
    <w:rsid w:val="00AD0D96"/>
    <w:rsid w:val="00AD10ED"/>
    <w:rsid w:val="00AD5CC6"/>
    <w:rsid w:val="00AE4D4E"/>
    <w:rsid w:val="00AF08A7"/>
    <w:rsid w:val="00AF1129"/>
    <w:rsid w:val="00AF1756"/>
    <w:rsid w:val="00AF2674"/>
    <w:rsid w:val="00AF64D8"/>
    <w:rsid w:val="00B022E1"/>
    <w:rsid w:val="00B05E2B"/>
    <w:rsid w:val="00B1103C"/>
    <w:rsid w:val="00B11E32"/>
    <w:rsid w:val="00B13113"/>
    <w:rsid w:val="00B1317E"/>
    <w:rsid w:val="00B13B23"/>
    <w:rsid w:val="00B15553"/>
    <w:rsid w:val="00B15E2B"/>
    <w:rsid w:val="00B16809"/>
    <w:rsid w:val="00B22088"/>
    <w:rsid w:val="00B251D8"/>
    <w:rsid w:val="00B34DC4"/>
    <w:rsid w:val="00B34E75"/>
    <w:rsid w:val="00B37676"/>
    <w:rsid w:val="00B40728"/>
    <w:rsid w:val="00B44BA3"/>
    <w:rsid w:val="00B50FC7"/>
    <w:rsid w:val="00B56D01"/>
    <w:rsid w:val="00B57B1B"/>
    <w:rsid w:val="00B61026"/>
    <w:rsid w:val="00B6230B"/>
    <w:rsid w:val="00B719AC"/>
    <w:rsid w:val="00B726F7"/>
    <w:rsid w:val="00B72CEE"/>
    <w:rsid w:val="00B733A0"/>
    <w:rsid w:val="00B8113F"/>
    <w:rsid w:val="00B833CD"/>
    <w:rsid w:val="00B8399F"/>
    <w:rsid w:val="00B84773"/>
    <w:rsid w:val="00B8677B"/>
    <w:rsid w:val="00B92A24"/>
    <w:rsid w:val="00B92A6B"/>
    <w:rsid w:val="00B93069"/>
    <w:rsid w:val="00B944D4"/>
    <w:rsid w:val="00B95E54"/>
    <w:rsid w:val="00B9614A"/>
    <w:rsid w:val="00BA0157"/>
    <w:rsid w:val="00BA076F"/>
    <w:rsid w:val="00BA24A3"/>
    <w:rsid w:val="00BA3911"/>
    <w:rsid w:val="00BA3C8A"/>
    <w:rsid w:val="00BA4902"/>
    <w:rsid w:val="00BB1532"/>
    <w:rsid w:val="00BB1B4C"/>
    <w:rsid w:val="00BB25DD"/>
    <w:rsid w:val="00BB319C"/>
    <w:rsid w:val="00BB5BBA"/>
    <w:rsid w:val="00BC02C9"/>
    <w:rsid w:val="00BC0656"/>
    <w:rsid w:val="00BC49DE"/>
    <w:rsid w:val="00BD565F"/>
    <w:rsid w:val="00BD5F15"/>
    <w:rsid w:val="00BD61A0"/>
    <w:rsid w:val="00BE4E26"/>
    <w:rsid w:val="00BE5F2E"/>
    <w:rsid w:val="00BF5B95"/>
    <w:rsid w:val="00BF6C09"/>
    <w:rsid w:val="00C02BED"/>
    <w:rsid w:val="00C04BA8"/>
    <w:rsid w:val="00C06F26"/>
    <w:rsid w:val="00C1149C"/>
    <w:rsid w:val="00C214CA"/>
    <w:rsid w:val="00C22207"/>
    <w:rsid w:val="00C2252D"/>
    <w:rsid w:val="00C30A9F"/>
    <w:rsid w:val="00C379EA"/>
    <w:rsid w:val="00C43658"/>
    <w:rsid w:val="00C54D13"/>
    <w:rsid w:val="00C6117A"/>
    <w:rsid w:val="00C6173F"/>
    <w:rsid w:val="00C62A0C"/>
    <w:rsid w:val="00C6544A"/>
    <w:rsid w:val="00C75C71"/>
    <w:rsid w:val="00C802BA"/>
    <w:rsid w:val="00C81556"/>
    <w:rsid w:val="00C92617"/>
    <w:rsid w:val="00C92809"/>
    <w:rsid w:val="00C9381B"/>
    <w:rsid w:val="00C943E9"/>
    <w:rsid w:val="00CA1406"/>
    <w:rsid w:val="00CA2FC4"/>
    <w:rsid w:val="00CA5CFF"/>
    <w:rsid w:val="00CA787B"/>
    <w:rsid w:val="00CB0C60"/>
    <w:rsid w:val="00CB1BC4"/>
    <w:rsid w:val="00CB2B87"/>
    <w:rsid w:val="00CB4346"/>
    <w:rsid w:val="00CB491D"/>
    <w:rsid w:val="00CB4C83"/>
    <w:rsid w:val="00CB7194"/>
    <w:rsid w:val="00CB734A"/>
    <w:rsid w:val="00CC00E7"/>
    <w:rsid w:val="00CC09F8"/>
    <w:rsid w:val="00CC500A"/>
    <w:rsid w:val="00CC5F0B"/>
    <w:rsid w:val="00CD4D88"/>
    <w:rsid w:val="00CD6DD8"/>
    <w:rsid w:val="00CD73F5"/>
    <w:rsid w:val="00CE0392"/>
    <w:rsid w:val="00CE2922"/>
    <w:rsid w:val="00CE63F5"/>
    <w:rsid w:val="00CF041E"/>
    <w:rsid w:val="00CF156B"/>
    <w:rsid w:val="00CF4890"/>
    <w:rsid w:val="00D023B9"/>
    <w:rsid w:val="00D2231D"/>
    <w:rsid w:val="00D266AF"/>
    <w:rsid w:val="00D26E64"/>
    <w:rsid w:val="00D3289A"/>
    <w:rsid w:val="00D34FB8"/>
    <w:rsid w:val="00D35D1E"/>
    <w:rsid w:val="00D37F05"/>
    <w:rsid w:val="00D44829"/>
    <w:rsid w:val="00D452AD"/>
    <w:rsid w:val="00D465B3"/>
    <w:rsid w:val="00D511FB"/>
    <w:rsid w:val="00D55904"/>
    <w:rsid w:val="00D56E38"/>
    <w:rsid w:val="00D640D3"/>
    <w:rsid w:val="00D657B9"/>
    <w:rsid w:val="00D65805"/>
    <w:rsid w:val="00D70076"/>
    <w:rsid w:val="00D735C6"/>
    <w:rsid w:val="00D73AD5"/>
    <w:rsid w:val="00D804CB"/>
    <w:rsid w:val="00D91DF0"/>
    <w:rsid w:val="00D9245C"/>
    <w:rsid w:val="00D93C77"/>
    <w:rsid w:val="00DA2DD4"/>
    <w:rsid w:val="00DA6EE9"/>
    <w:rsid w:val="00DB30FE"/>
    <w:rsid w:val="00DB3EEB"/>
    <w:rsid w:val="00DB6D3C"/>
    <w:rsid w:val="00DB7381"/>
    <w:rsid w:val="00DC4745"/>
    <w:rsid w:val="00DC6AB0"/>
    <w:rsid w:val="00DD4A99"/>
    <w:rsid w:val="00DF2B71"/>
    <w:rsid w:val="00E24072"/>
    <w:rsid w:val="00E25119"/>
    <w:rsid w:val="00E30609"/>
    <w:rsid w:val="00E35BDF"/>
    <w:rsid w:val="00E3773A"/>
    <w:rsid w:val="00E424C4"/>
    <w:rsid w:val="00E46C4E"/>
    <w:rsid w:val="00E50086"/>
    <w:rsid w:val="00E502BE"/>
    <w:rsid w:val="00E5044D"/>
    <w:rsid w:val="00E566D4"/>
    <w:rsid w:val="00E62ED4"/>
    <w:rsid w:val="00E631B0"/>
    <w:rsid w:val="00E648AA"/>
    <w:rsid w:val="00E6559B"/>
    <w:rsid w:val="00E65E20"/>
    <w:rsid w:val="00E708DD"/>
    <w:rsid w:val="00E719B5"/>
    <w:rsid w:val="00E72856"/>
    <w:rsid w:val="00E76BDA"/>
    <w:rsid w:val="00E774B9"/>
    <w:rsid w:val="00E806CD"/>
    <w:rsid w:val="00E81E11"/>
    <w:rsid w:val="00E82327"/>
    <w:rsid w:val="00E83F15"/>
    <w:rsid w:val="00E87843"/>
    <w:rsid w:val="00E91505"/>
    <w:rsid w:val="00EA12E1"/>
    <w:rsid w:val="00EA27A6"/>
    <w:rsid w:val="00EA390B"/>
    <w:rsid w:val="00EA4D0E"/>
    <w:rsid w:val="00EA6D27"/>
    <w:rsid w:val="00EB2A34"/>
    <w:rsid w:val="00EB3935"/>
    <w:rsid w:val="00EB6AA7"/>
    <w:rsid w:val="00EB6DAD"/>
    <w:rsid w:val="00EC0FCE"/>
    <w:rsid w:val="00EC30E3"/>
    <w:rsid w:val="00EC5C76"/>
    <w:rsid w:val="00ED23F8"/>
    <w:rsid w:val="00EE19B3"/>
    <w:rsid w:val="00EE2A0F"/>
    <w:rsid w:val="00EE4505"/>
    <w:rsid w:val="00EF4468"/>
    <w:rsid w:val="00EF5A2E"/>
    <w:rsid w:val="00F05B29"/>
    <w:rsid w:val="00F06C92"/>
    <w:rsid w:val="00F100F4"/>
    <w:rsid w:val="00F10378"/>
    <w:rsid w:val="00F11443"/>
    <w:rsid w:val="00F12CAD"/>
    <w:rsid w:val="00F13544"/>
    <w:rsid w:val="00F15186"/>
    <w:rsid w:val="00F17A13"/>
    <w:rsid w:val="00F2082B"/>
    <w:rsid w:val="00F23134"/>
    <w:rsid w:val="00F26962"/>
    <w:rsid w:val="00F27F78"/>
    <w:rsid w:val="00F37871"/>
    <w:rsid w:val="00F41671"/>
    <w:rsid w:val="00F42DD0"/>
    <w:rsid w:val="00F438A8"/>
    <w:rsid w:val="00F5316A"/>
    <w:rsid w:val="00F53338"/>
    <w:rsid w:val="00F54417"/>
    <w:rsid w:val="00F54C74"/>
    <w:rsid w:val="00F55EF5"/>
    <w:rsid w:val="00F57A35"/>
    <w:rsid w:val="00F630A5"/>
    <w:rsid w:val="00F664D9"/>
    <w:rsid w:val="00F73728"/>
    <w:rsid w:val="00F75C77"/>
    <w:rsid w:val="00F75EF3"/>
    <w:rsid w:val="00F77884"/>
    <w:rsid w:val="00F83AFD"/>
    <w:rsid w:val="00F928F0"/>
    <w:rsid w:val="00F9732B"/>
    <w:rsid w:val="00FA356D"/>
    <w:rsid w:val="00FA46E4"/>
    <w:rsid w:val="00FA481C"/>
    <w:rsid w:val="00FA6A7C"/>
    <w:rsid w:val="00FB174C"/>
    <w:rsid w:val="00FB1DA9"/>
    <w:rsid w:val="00FC0B67"/>
    <w:rsid w:val="00FC0F8F"/>
    <w:rsid w:val="00FC1C77"/>
    <w:rsid w:val="00FC4FAD"/>
    <w:rsid w:val="00FC737F"/>
    <w:rsid w:val="00FD19B3"/>
    <w:rsid w:val="00FD427A"/>
    <w:rsid w:val="00FD5FD4"/>
    <w:rsid w:val="00FE4D93"/>
    <w:rsid w:val="00FE55AC"/>
    <w:rsid w:val="00FE6A2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39"/>
    <w:lsdException w:name="toc 9" w:uiPriority="39"/>
    <w:lsdException w:name="footnote text" w:uiPriority="0"/>
    <w:lsdException w:name="caption" w:uiPriority="0"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65"/>
    <w:pPr>
      <w:spacing w:after="200" w:line="276" w:lineRule="auto"/>
    </w:pPr>
    <w:rPr>
      <w:sz w:val="22"/>
      <w:szCs w:val="22"/>
    </w:rPr>
  </w:style>
  <w:style w:type="paragraph" w:styleId="Heading1">
    <w:name w:val="heading 1"/>
    <w:basedOn w:val="Normal"/>
    <w:next w:val="Normal"/>
    <w:link w:val="Heading1Char"/>
    <w:qFormat/>
    <w:rsid w:val="001C5EED"/>
    <w:pPr>
      <w:keepNext/>
      <w:keepLines/>
      <w:spacing w:before="100" w:beforeAutospacing="1" w:after="0"/>
      <w:outlineLvl w:val="0"/>
    </w:pPr>
    <w:rPr>
      <w:rFonts w:ascii="Arial Black" w:eastAsiaTheme="majorEastAsia" w:hAnsi="Arial Black" w:cstheme="majorBidi"/>
      <w:b/>
      <w:bCs/>
      <w:sz w:val="24"/>
      <w:szCs w:val="28"/>
    </w:rPr>
  </w:style>
  <w:style w:type="paragraph" w:styleId="Heading2">
    <w:name w:val="heading 2"/>
    <w:basedOn w:val="Normal"/>
    <w:next w:val="Normal"/>
    <w:link w:val="Heading2Char"/>
    <w:unhideWhenUsed/>
    <w:qFormat/>
    <w:rsid w:val="000A47ED"/>
    <w:pPr>
      <w:keepNext/>
      <w:keepLines/>
      <w:spacing w:before="100" w:beforeAutospacing="1" w:after="0"/>
      <w:outlineLvl w:val="1"/>
    </w:pPr>
    <w:rPr>
      <w:rFonts w:ascii="Arial Black" w:eastAsiaTheme="majorEastAsia" w:hAnsi="Arial Black" w:cstheme="majorBidi"/>
      <w:b/>
      <w:bCs/>
      <w:szCs w:val="26"/>
    </w:rPr>
  </w:style>
  <w:style w:type="paragraph" w:styleId="Heading3">
    <w:name w:val="heading 3"/>
    <w:basedOn w:val="Heading2"/>
    <w:next w:val="Normal"/>
    <w:link w:val="Heading3Char"/>
    <w:unhideWhenUsed/>
    <w:qFormat/>
    <w:rsid w:val="000A47ED"/>
    <w:pPr>
      <w:ind w:left="360"/>
      <w:outlineLvl w:val="2"/>
    </w:pPr>
    <w:rPr>
      <w:rFonts w:eastAsia="Times New Roman"/>
    </w:rPr>
  </w:style>
  <w:style w:type="paragraph" w:styleId="Heading4">
    <w:name w:val="heading 4"/>
    <w:basedOn w:val="Normal"/>
    <w:next w:val="Normal"/>
    <w:link w:val="Heading4Char"/>
    <w:qFormat/>
    <w:rsid w:val="000875AD"/>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outlineLvl w:val="3"/>
    </w:pPr>
    <w:rPr>
      <w:rFonts w:ascii="Times New Roman" w:eastAsia="Times New Roman" w:hAnsi="Times New Roman"/>
      <w:b/>
      <w:bCs/>
      <w:i/>
      <w:sz w:val="24"/>
      <w:szCs w:val="20"/>
    </w:rPr>
  </w:style>
  <w:style w:type="paragraph" w:styleId="Heading5">
    <w:name w:val="heading 5"/>
    <w:basedOn w:val="Normal"/>
    <w:next w:val="Normal"/>
    <w:link w:val="Heading5Char"/>
    <w:unhideWhenUsed/>
    <w:qFormat/>
    <w:rsid w:val="000875AD"/>
    <w:pPr>
      <w:keepNext/>
      <w:keepLines/>
      <w:spacing w:before="240" w:after="240"/>
      <w:outlineLvl w:val="4"/>
    </w:pPr>
    <w:rPr>
      <w:rFonts w:ascii="Arial Black" w:eastAsia="Times New Roman" w:hAnsi="Arial Black"/>
      <w:color w:val="000000"/>
    </w:rPr>
  </w:style>
  <w:style w:type="paragraph" w:styleId="Heading7">
    <w:name w:val="heading 7"/>
    <w:basedOn w:val="Normal"/>
    <w:next w:val="Normal"/>
    <w:link w:val="Heading7Char"/>
    <w:qFormat/>
    <w:rsid w:val="004E1964"/>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outlineLvl w:val="6"/>
    </w:pPr>
    <w:rPr>
      <w:rFonts w:ascii="Times New Roman" w:eastAsia="Times New Roman" w:hAnsi="Times New Roman"/>
      <w:b/>
      <w:sz w:val="28"/>
      <w:szCs w:val="20"/>
    </w:rPr>
  </w:style>
  <w:style w:type="paragraph" w:styleId="Heading8">
    <w:name w:val="heading 8"/>
    <w:basedOn w:val="Normal"/>
    <w:next w:val="Normal"/>
    <w:link w:val="Heading8Char"/>
    <w:unhideWhenUsed/>
    <w:qFormat/>
    <w:rsid w:val="004E196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EED"/>
    <w:rPr>
      <w:rFonts w:ascii="Arial Black" w:eastAsiaTheme="majorEastAsia" w:hAnsi="Arial Black" w:cstheme="majorBidi"/>
      <w:b/>
      <w:bCs/>
      <w:sz w:val="24"/>
      <w:szCs w:val="28"/>
    </w:rPr>
  </w:style>
  <w:style w:type="character" w:customStyle="1" w:styleId="Heading2Char">
    <w:name w:val="Heading 2 Char"/>
    <w:basedOn w:val="DefaultParagraphFont"/>
    <w:link w:val="Heading2"/>
    <w:uiPriority w:val="9"/>
    <w:rsid w:val="000A47ED"/>
    <w:rPr>
      <w:rFonts w:ascii="Arial Black" w:eastAsiaTheme="majorEastAsia" w:hAnsi="Arial Black" w:cstheme="majorBidi"/>
      <w:b/>
      <w:bCs/>
      <w:sz w:val="22"/>
      <w:szCs w:val="26"/>
    </w:rPr>
  </w:style>
  <w:style w:type="character" w:customStyle="1" w:styleId="Heading3Char">
    <w:name w:val="Heading 3 Char"/>
    <w:basedOn w:val="DefaultParagraphFont"/>
    <w:link w:val="Heading3"/>
    <w:uiPriority w:val="9"/>
    <w:rsid w:val="000A47ED"/>
    <w:rPr>
      <w:rFonts w:ascii="Arial Black" w:eastAsia="Times New Roman" w:hAnsi="Arial Black" w:cstheme="majorBidi"/>
      <w:b/>
      <w:bCs/>
      <w:sz w:val="22"/>
      <w:szCs w:val="26"/>
    </w:rPr>
  </w:style>
  <w:style w:type="character" w:customStyle="1" w:styleId="Heading4Char">
    <w:name w:val="Heading 4 Char"/>
    <w:basedOn w:val="DefaultParagraphFont"/>
    <w:link w:val="Heading4"/>
    <w:rsid w:val="000875AD"/>
    <w:rPr>
      <w:rFonts w:ascii="Times New Roman" w:eastAsia="Times New Roman" w:hAnsi="Times New Roman" w:cs="Times New Roman"/>
      <w:b/>
      <w:bCs/>
      <w:i/>
      <w:sz w:val="24"/>
      <w:szCs w:val="20"/>
    </w:rPr>
  </w:style>
  <w:style w:type="character" w:customStyle="1" w:styleId="Heading5Char">
    <w:name w:val="Heading 5 Char"/>
    <w:basedOn w:val="DefaultParagraphFont"/>
    <w:link w:val="Heading5"/>
    <w:uiPriority w:val="9"/>
    <w:rsid w:val="000875AD"/>
    <w:rPr>
      <w:rFonts w:ascii="Arial Black" w:eastAsia="Times New Roman" w:hAnsi="Arial Black" w:cs="Times New Roman"/>
      <w:color w:val="000000"/>
    </w:rPr>
  </w:style>
  <w:style w:type="character" w:customStyle="1" w:styleId="Heading7Char">
    <w:name w:val="Heading 7 Char"/>
    <w:basedOn w:val="DefaultParagraphFont"/>
    <w:link w:val="Heading7"/>
    <w:rsid w:val="004E1964"/>
    <w:rPr>
      <w:rFonts w:ascii="Times New Roman" w:eastAsia="Times New Roman" w:hAnsi="Times New Roman"/>
      <w:b/>
      <w:sz w:val="28"/>
    </w:rPr>
  </w:style>
  <w:style w:type="character" w:customStyle="1" w:styleId="Heading8Char">
    <w:name w:val="Heading 8 Char"/>
    <w:basedOn w:val="DefaultParagraphFont"/>
    <w:link w:val="Heading8"/>
    <w:uiPriority w:val="9"/>
    <w:semiHidden/>
    <w:rsid w:val="004E1964"/>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0875AD"/>
    <w:pPr>
      <w:spacing w:after="0" w:line="240" w:lineRule="auto"/>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0875AD"/>
    <w:rPr>
      <w:rFonts w:ascii="Times New Roman" w:eastAsia="Times New Roman" w:hAnsi="Times New Roman" w:cs="Times New Roman"/>
      <w:sz w:val="24"/>
      <w:szCs w:val="20"/>
    </w:rPr>
  </w:style>
  <w:style w:type="paragraph" w:styleId="BodyText">
    <w:name w:val="Body Text"/>
    <w:basedOn w:val="Normal"/>
    <w:link w:val="BodyTextChar"/>
    <w:rsid w:val="000875AD"/>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0875AD"/>
    <w:rPr>
      <w:rFonts w:ascii="Times New Roman" w:eastAsia="Times New Roman" w:hAnsi="Times New Roman" w:cs="Times New Roman"/>
      <w:sz w:val="24"/>
      <w:szCs w:val="20"/>
    </w:rPr>
  </w:style>
  <w:style w:type="paragraph" w:styleId="ListParagraph">
    <w:name w:val="List Paragraph"/>
    <w:basedOn w:val="Normal"/>
    <w:uiPriority w:val="34"/>
    <w:qFormat/>
    <w:rsid w:val="000875AD"/>
    <w:pPr>
      <w:ind w:left="720"/>
      <w:contextualSpacing/>
    </w:pPr>
  </w:style>
  <w:style w:type="paragraph" w:styleId="z-TopofForm">
    <w:name w:val="HTML Top of Form"/>
    <w:basedOn w:val="Normal"/>
    <w:link w:val="z-TopofFormChar"/>
    <w:rsid w:val="003806C8"/>
    <w:pPr>
      <w:spacing w:after="0" w:line="240" w:lineRule="auto"/>
    </w:pPr>
    <w:rPr>
      <w:rFonts w:ascii="Times New Roman" w:eastAsia="Times New Roman" w:hAnsi="Times New Roman"/>
      <w:sz w:val="24"/>
      <w:szCs w:val="20"/>
    </w:rPr>
  </w:style>
  <w:style w:type="character" w:customStyle="1" w:styleId="z-TopofFormChar">
    <w:name w:val="z-Top of Form Char"/>
    <w:basedOn w:val="DefaultParagraphFont"/>
    <w:link w:val="z-TopofForm"/>
    <w:rsid w:val="003806C8"/>
    <w:rPr>
      <w:rFonts w:ascii="Times New Roman" w:eastAsia="Times New Roman" w:hAnsi="Times New Roman" w:cs="Times New Roman"/>
      <w:sz w:val="24"/>
      <w:szCs w:val="20"/>
    </w:rPr>
  </w:style>
  <w:style w:type="character" w:styleId="Hyperlink">
    <w:name w:val="Hyperlink"/>
    <w:basedOn w:val="DefaultParagraphFont"/>
    <w:uiPriority w:val="99"/>
    <w:rsid w:val="003806C8"/>
    <w:rPr>
      <w:color w:val="0000FF"/>
      <w:u w:val="single"/>
    </w:rPr>
  </w:style>
  <w:style w:type="paragraph" w:styleId="z-BottomofForm">
    <w:name w:val="HTML Bottom of Form"/>
    <w:basedOn w:val="Normal"/>
    <w:link w:val="z-BottomofFormChar"/>
    <w:rsid w:val="00A95FE0"/>
    <w:pPr>
      <w:spacing w:after="0" w:line="240" w:lineRule="auto"/>
      <w:jc w:val="center"/>
    </w:pPr>
    <w:rPr>
      <w:rFonts w:ascii="Times New Roman" w:eastAsia="Times New Roman" w:hAnsi="Times New Roman"/>
      <w:b/>
      <w:sz w:val="20"/>
      <w:szCs w:val="20"/>
    </w:rPr>
  </w:style>
  <w:style w:type="character" w:customStyle="1" w:styleId="z-BottomofFormChar">
    <w:name w:val="z-Bottom of Form Char"/>
    <w:basedOn w:val="DefaultParagraphFont"/>
    <w:link w:val="z-BottomofForm"/>
    <w:rsid w:val="00A95FE0"/>
    <w:rPr>
      <w:rFonts w:ascii="Times New Roman" w:eastAsia="Times New Roman" w:hAnsi="Times New Roman" w:cs="Times New Roman"/>
      <w:b/>
      <w:sz w:val="20"/>
      <w:szCs w:val="20"/>
    </w:rPr>
  </w:style>
  <w:style w:type="paragraph" w:styleId="Caption">
    <w:name w:val="caption"/>
    <w:basedOn w:val="Normal"/>
    <w:next w:val="Normal"/>
    <w:qFormat/>
    <w:rsid w:val="00A95FE0"/>
    <w:pPr>
      <w:tabs>
        <w:tab w:val="left" w:pos="144"/>
        <w:tab w:val="left" w:pos="1440"/>
        <w:tab w:val="left" w:pos="2304"/>
        <w:tab w:val="left" w:pos="3744"/>
        <w:tab w:val="left" w:pos="5904"/>
        <w:tab w:val="left" w:pos="7056"/>
        <w:tab w:val="left" w:pos="8640"/>
      </w:tabs>
      <w:spacing w:after="0" w:line="240" w:lineRule="auto"/>
    </w:pPr>
    <w:rPr>
      <w:rFonts w:ascii="Times New Roman" w:eastAsia="Times New Roman" w:hAnsi="Times New Roman"/>
      <w:b/>
      <w:sz w:val="24"/>
      <w:szCs w:val="20"/>
    </w:rPr>
  </w:style>
  <w:style w:type="paragraph" w:styleId="Header">
    <w:name w:val="header"/>
    <w:basedOn w:val="Normal"/>
    <w:link w:val="HeaderChar"/>
    <w:uiPriority w:val="99"/>
    <w:unhideWhenUsed/>
    <w:rsid w:val="00B34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E75"/>
  </w:style>
  <w:style w:type="paragraph" w:styleId="Footer">
    <w:name w:val="footer"/>
    <w:basedOn w:val="Normal"/>
    <w:link w:val="FooterChar"/>
    <w:uiPriority w:val="99"/>
    <w:unhideWhenUsed/>
    <w:rsid w:val="00B34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E75"/>
  </w:style>
  <w:style w:type="table" w:styleId="TableGrid">
    <w:name w:val="Table Grid"/>
    <w:basedOn w:val="TableNormal"/>
    <w:uiPriority w:val="59"/>
    <w:rsid w:val="00634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25D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44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BA3"/>
    <w:rPr>
      <w:rFonts w:ascii="Tahoma" w:hAnsi="Tahoma" w:cs="Tahoma"/>
      <w:sz w:val="16"/>
      <w:szCs w:val="16"/>
    </w:rPr>
  </w:style>
  <w:style w:type="paragraph" w:styleId="FootnoteText">
    <w:name w:val="footnote text"/>
    <w:basedOn w:val="Normal"/>
    <w:link w:val="FootnoteTextChar"/>
    <w:rsid w:val="00403C47"/>
    <w:pPr>
      <w:spacing w:before="120" w:after="12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03C47"/>
    <w:rPr>
      <w:rFonts w:ascii="Times New Roman" w:eastAsia="Times New Roman" w:hAnsi="Times New Roman" w:cs="Times New Roman"/>
      <w:sz w:val="20"/>
      <w:szCs w:val="20"/>
    </w:rPr>
  </w:style>
  <w:style w:type="character" w:styleId="FootnoteReference">
    <w:name w:val="footnote reference"/>
    <w:basedOn w:val="DefaultParagraphFont"/>
    <w:semiHidden/>
    <w:rsid w:val="0045011F"/>
    <w:rPr>
      <w:vertAlign w:val="superscript"/>
    </w:rPr>
  </w:style>
  <w:style w:type="character" w:styleId="CommentReference">
    <w:name w:val="annotation reference"/>
    <w:basedOn w:val="DefaultParagraphFont"/>
    <w:uiPriority w:val="99"/>
    <w:semiHidden/>
    <w:unhideWhenUsed/>
    <w:rsid w:val="0045011F"/>
    <w:rPr>
      <w:sz w:val="16"/>
      <w:szCs w:val="16"/>
    </w:rPr>
  </w:style>
  <w:style w:type="paragraph" w:styleId="CommentText">
    <w:name w:val="annotation text"/>
    <w:basedOn w:val="Normal"/>
    <w:link w:val="CommentTextChar"/>
    <w:uiPriority w:val="99"/>
    <w:unhideWhenUsed/>
    <w:rsid w:val="0045011F"/>
    <w:pPr>
      <w:spacing w:line="240" w:lineRule="auto"/>
    </w:pPr>
    <w:rPr>
      <w:sz w:val="20"/>
      <w:szCs w:val="20"/>
    </w:rPr>
  </w:style>
  <w:style w:type="character" w:customStyle="1" w:styleId="CommentTextChar">
    <w:name w:val="Comment Text Char"/>
    <w:basedOn w:val="DefaultParagraphFont"/>
    <w:link w:val="CommentText"/>
    <w:uiPriority w:val="99"/>
    <w:rsid w:val="0045011F"/>
    <w:rPr>
      <w:sz w:val="20"/>
      <w:szCs w:val="20"/>
    </w:rPr>
  </w:style>
  <w:style w:type="paragraph" w:styleId="CommentSubject">
    <w:name w:val="annotation subject"/>
    <w:basedOn w:val="CommentText"/>
    <w:next w:val="CommentText"/>
    <w:link w:val="CommentSubjectChar"/>
    <w:uiPriority w:val="99"/>
    <w:semiHidden/>
    <w:unhideWhenUsed/>
    <w:rsid w:val="0045011F"/>
    <w:rPr>
      <w:b/>
      <w:bCs/>
    </w:rPr>
  </w:style>
  <w:style w:type="character" w:customStyle="1" w:styleId="CommentSubjectChar">
    <w:name w:val="Comment Subject Char"/>
    <w:basedOn w:val="CommentTextChar"/>
    <w:link w:val="CommentSubject"/>
    <w:uiPriority w:val="99"/>
    <w:semiHidden/>
    <w:rsid w:val="0045011F"/>
    <w:rPr>
      <w:b/>
      <w:bCs/>
      <w:sz w:val="20"/>
      <w:szCs w:val="20"/>
    </w:rPr>
  </w:style>
  <w:style w:type="paragraph" w:styleId="BodyText3">
    <w:name w:val="Body Text 3"/>
    <w:basedOn w:val="Normal"/>
    <w:link w:val="BodyText3Char"/>
    <w:unhideWhenUsed/>
    <w:rsid w:val="00E25119"/>
    <w:pPr>
      <w:spacing w:after="120"/>
    </w:pPr>
    <w:rPr>
      <w:sz w:val="16"/>
      <w:szCs w:val="16"/>
    </w:rPr>
  </w:style>
  <w:style w:type="character" w:customStyle="1" w:styleId="BodyText3Char">
    <w:name w:val="Body Text 3 Char"/>
    <w:basedOn w:val="DefaultParagraphFont"/>
    <w:link w:val="BodyText3"/>
    <w:uiPriority w:val="99"/>
    <w:rsid w:val="00E25119"/>
    <w:rPr>
      <w:sz w:val="16"/>
      <w:szCs w:val="16"/>
    </w:rPr>
  </w:style>
  <w:style w:type="paragraph" w:customStyle="1" w:styleId="Technical5">
    <w:name w:val="Technical[5]"/>
    <w:basedOn w:val="Normal"/>
    <w:rsid w:val="00E25119"/>
    <w:pPr>
      <w:spacing w:after="0" w:line="240" w:lineRule="auto"/>
    </w:pPr>
    <w:rPr>
      <w:rFonts w:ascii="Times New Roman" w:eastAsia="Times New Roman" w:hAnsi="Times New Roman"/>
      <w:b/>
      <w:sz w:val="20"/>
      <w:szCs w:val="20"/>
    </w:rPr>
  </w:style>
  <w:style w:type="paragraph" w:customStyle="1" w:styleId="DocInit">
    <w:name w:val="Doc Init"/>
    <w:basedOn w:val="Normal"/>
    <w:rsid w:val="00E25119"/>
    <w:pPr>
      <w:spacing w:after="0" w:line="240" w:lineRule="auto"/>
    </w:pPr>
    <w:rPr>
      <w:rFonts w:ascii="Times New Roman" w:eastAsia="Times New Roman" w:hAnsi="Times New Roman"/>
      <w:sz w:val="20"/>
      <w:szCs w:val="20"/>
    </w:rPr>
  </w:style>
  <w:style w:type="paragraph" w:styleId="BodyTextIndent3">
    <w:name w:val="Body Text Indent 3"/>
    <w:basedOn w:val="Normal"/>
    <w:link w:val="BodyTextIndent3Char"/>
    <w:unhideWhenUsed/>
    <w:rsid w:val="00AC5115"/>
    <w:pPr>
      <w:spacing w:after="120"/>
      <w:ind w:left="360"/>
    </w:pPr>
    <w:rPr>
      <w:sz w:val="16"/>
      <w:szCs w:val="16"/>
    </w:rPr>
  </w:style>
  <w:style w:type="character" w:customStyle="1" w:styleId="BodyTextIndent3Char">
    <w:name w:val="Body Text Indent 3 Char"/>
    <w:basedOn w:val="DefaultParagraphFont"/>
    <w:link w:val="BodyTextIndent3"/>
    <w:uiPriority w:val="99"/>
    <w:rsid w:val="00AC5115"/>
    <w:rPr>
      <w:sz w:val="16"/>
      <w:szCs w:val="16"/>
    </w:rPr>
  </w:style>
  <w:style w:type="paragraph" w:styleId="Revision">
    <w:name w:val="Revision"/>
    <w:hidden/>
    <w:uiPriority w:val="99"/>
    <w:semiHidden/>
    <w:rsid w:val="00EC5C76"/>
    <w:rPr>
      <w:sz w:val="22"/>
      <w:szCs w:val="22"/>
    </w:rPr>
  </w:style>
  <w:style w:type="character" w:customStyle="1" w:styleId="st1">
    <w:name w:val="st1"/>
    <w:basedOn w:val="DefaultParagraphFont"/>
    <w:rsid w:val="00805A50"/>
  </w:style>
  <w:style w:type="paragraph" w:styleId="TOCHeading">
    <w:name w:val="TOC Heading"/>
    <w:basedOn w:val="Heading1"/>
    <w:next w:val="Normal"/>
    <w:uiPriority w:val="39"/>
    <w:semiHidden/>
    <w:unhideWhenUsed/>
    <w:qFormat/>
    <w:rsid w:val="001C5EED"/>
    <w:pPr>
      <w:outlineLvl w:val="9"/>
    </w:pPr>
  </w:style>
  <w:style w:type="paragraph" w:styleId="TOC2">
    <w:name w:val="toc 2"/>
    <w:basedOn w:val="Normal"/>
    <w:next w:val="Normal"/>
    <w:autoRedefine/>
    <w:uiPriority w:val="39"/>
    <w:unhideWhenUsed/>
    <w:qFormat/>
    <w:rsid w:val="00995E34"/>
    <w:pPr>
      <w:tabs>
        <w:tab w:val="right" w:leader="dot" w:pos="9350"/>
      </w:tabs>
      <w:spacing w:after="100"/>
      <w:ind w:left="220"/>
    </w:pPr>
    <w:rPr>
      <w:rFonts w:asciiTheme="minorHAnsi" w:eastAsiaTheme="minorEastAsia" w:hAnsiTheme="minorHAnsi" w:cstheme="minorBidi"/>
    </w:rPr>
  </w:style>
  <w:style w:type="paragraph" w:styleId="TOC1">
    <w:name w:val="toc 1"/>
    <w:basedOn w:val="Normal"/>
    <w:next w:val="Normal"/>
    <w:autoRedefine/>
    <w:uiPriority w:val="39"/>
    <w:unhideWhenUsed/>
    <w:qFormat/>
    <w:rsid w:val="0035705F"/>
    <w:pPr>
      <w:tabs>
        <w:tab w:val="right" w:leader="dot" w:pos="9350"/>
      </w:tabs>
      <w:spacing w:before="40" w:after="40"/>
    </w:pPr>
    <w:rPr>
      <w:rFonts w:asciiTheme="minorHAnsi" w:eastAsiaTheme="minorEastAsia" w:hAnsiTheme="minorHAnsi" w:cstheme="minorBidi"/>
      <w:b/>
      <w:noProof/>
      <w:sz w:val="20"/>
      <w:szCs w:val="20"/>
    </w:rPr>
  </w:style>
  <w:style w:type="paragraph" w:styleId="TOC3">
    <w:name w:val="toc 3"/>
    <w:basedOn w:val="Normal"/>
    <w:next w:val="Normal"/>
    <w:autoRedefine/>
    <w:uiPriority w:val="39"/>
    <w:unhideWhenUsed/>
    <w:qFormat/>
    <w:rsid w:val="001C5EED"/>
    <w:pPr>
      <w:spacing w:after="100"/>
      <w:ind w:left="440"/>
    </w:pPr>
    <w:rPr>
      <w:rFonts w:asciiTheme="minorHAnsi" w:eastAsiaTheme="minorEastAsia" w:hAnsiTheme="minorHAnsi" w:cstheme="minorBidi"/>
    </w:rPr>
  </w:style>
  <w:style w:type="paragraph" w:customStyle="1" w:styleId="Footnote">
    <w:name w:val="Footnote"/>
    <w:basedOn w:val="FootnoteText"/>
    <w:link w:val="FootnoteChar"/>
    <w:qFormat/>
    <w:rsid w:val="0020151A"/>
    <w:rPr>
      <w:rFonts w:ascii="Calibri" w:hAnsi="Calibri"/>
      <w:sz w:val="18"/>
    </w:rPr>
  </w:style>
  <w:style w:type="character" w:customStyle="1" w:styleId="FootnoteChar">
    <w:name w:val="Footnote Char"/>
    <w:basedOn w:val="FootnoteTextChar"/>
    <w:link w:val="Footnote"/>
    <w:rsid w:val="0020151A"/>
    <w:rPr>
      <w:rFonts w:ascii="Times New Roman" w:eastAsia="Times New Roman" w:hAnsi="Times New Roman" w:cs="Times New Roman"/>
      <w:sz w:val="18"/>
      <w:szCs w:val="20"/>
    </w:rPr>
  </w:style>
  <w:style w:type="character" w:styleId="FollowedHyperlink">
    <w:name w:val="FollowedHyperlink"/>
    <w:basedOn w:val="DefaultParagraphFont"/>
    <w:uiPriority w:val="99"/>
    <w:semiHidden/>
    <w:unhideWhenUsed/>
    <w:rsid w:val="00EC30E3"/>
    <w:rPr>
      <w:color w:val="800080" w:themeColor="followedHyperlink"/>
      <w:u w:val="single"/>
    </w:rPr>
  </w:style>
  <w:style w:type="paragraph" w:styleId="EndnoteText">
    <w:name w:val="endnote text"/>
    <w:basedOn w:val="Normal"/>
    <w:link w:val="EndnoteTextChar"/>
    <w:uiPriority w:val="99"/>
    <w:semiHidden/>
    <w:unhideWhenUsed/>
    <w:rsid w:val="008622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221A"/>
  </w:style>
  <w:style w:type="character" w:styleId="EndnoteReference">
    <w:name w:val="endnote reference"/>
    <w:basedOn w:val="DefaultParagraphFont"/>
    <w:uiPriority w:val="99"/>
    <w:semiHidden/>
    <w:unhideWhenUsed/>
    <w:rsid w:val="0086221A"/>
    <w:rPr>
      <w:vertAlign w:val="superscript"/>
    </w:rPr>
  </w:style>
  <w:style w:type="paragraph" w:styleId="PlainText">
    <w:name w:val="Plain Text"/>
    <w:basedOn w:val="Normal"/>
    <w:link w:val="PlainTextChar"/>
    <w:unhideWhenUsed/>
    <w:rsid w:val="0032664A"/>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32664A"/>
    <w:rPr>
      <w:rFonts w:ascii="Consolas" w:eastAsiaTheme="minorHAnsi" w:hAnsi="Consolas"/>
      <w:sz w:val="21"/>
      <w:szCs w:val="21"/>
    </w:rPr>
  </w:style>
  <w:style w:type="paragraph" w:styleId="BodyText2">
    <w:name w:val="Body Text 2"/>
    <w:basedOn w:val="Normal"/>
    <w:link w:val="BodyText2Char"/>
    <w:unhideWhenUsed/>
    <w:rsid w:val="004E1964"/>
    <w:pPr>
      <w:spacing w:after="120" w:line="480" w:lineRule="auto"/>
    </w:pPr>
  </w:style>
  <w:style w:type="character" w:customStyle="1" w:styleId="BodyText2Char">
    <w:name w:val="Body Text 2 Char"/>
    <w:basedOn w:val="DefaultParagraphFont"/>
    <w:link w:val="BodyText2"/>
    <w:uiPriority w:val="99"/>
    <w:semiHidden/>
    <w:rsid w:val="004E1964"/>
    <w:rPr>
      <w:sz w:val="22"/>
      <w:szCs w:val="22"/>
    </w:rPr>
  </w:style>
  <w:style w:type="paragraph" w:styleId="HTMLPreformatted">
    <w:name w:val="HTML Preformatted"/>
    <w:basedOn w:val="Normal"/>
    <w:link w:val="HTMLPreformattedChar"/>
    <w:rsid w:val="004E1964"/>
    <w:pPr>
      <w:spacing w:after="0" w:line="240" w:lineRule="auto"/>
    </w:pPr>
    <w:rPr>
      <w:rFonts w:ascii="Times New Roman" w:eastAsia="Times New Roman" w:hAnsi="Times New Roman"/>
      <w:b/>
      <w:sz w:val="20"/>
      <w:szCs w:val="20"/>
    </w:rPr>
  </w:style>
  <w:style w:type="character" w:customStyle="1" w:styleId="HTMLPreformattedChar">
    <w:name w:val="HTML Preformatted Char"/>
    <w:basedOn w:val="DefaultParagraphFont"/>
    <w:link w:val="HTMLPreformatted"/>
    <w:rsid w:val="004E1964"/>
    <w:rPr>
      <w:rFonts w:ascii="Times New Roman" w:eastAsia="Times New Roman" w:hAnsi="Times New Roman"/>
      <w:b/>
    </w:rPr>
  </w:style>
  <w:style w:type="paragraph" w:styleId="Title">
    <w:name w:val="Title"/>
    <w:basedOn w:val="Normal"/>
    <w:link w:val="TitleChar"/>
    <w:qFormat/>
    <w:rsid w:val="004E1964"/>
    <w:pPr>
      <w:spacing w:after="0" w:line="240" w:lineRule="auto"/>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4E1964"/>
    <w:rPr>
      <w:rFonts w:ascii="Times New Roman" w:eastAsia="Times New Roman" w:hAnsi="Times New Roman"/>
      <w:b/>
      <w:bCs/>
      <w:sz w:val="24"/>
    </w:rPr>
  </w:style>
  <w:style w:type="character" w:styleId="PageNumber">
    <w:name w:val="page number"/>
    <w:basedOn w:val="DefaultParagraphFont"/>
    <w:rsid w:val="004E1964"/>
  </w:style>
  <w:style w:type="paragraph" w:styleId="BlockText">
    <w:name w:val="Block Text"/>
    <w:basedOn w:val="Normal"/>
    <w:rsid w:val="004E1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right="720"/>
    </w:pPr>
    <w:rPr>
      <w:rFonts w:ascii="Times New Roman" w:eastAsia="Times New Roman" w:hAnsi="Times New Roman"/>
      <w:sz w:val="24"/>
      <w:szCs w:val="20"/>
    </w:rPr>
  </w:style>
  <w:style w:type="character" w:customStyle="1" w:styleId="a">
    <w:name w:val="a"/>
    <w:basedOn w:val="DefaultParagraphFont"/>
    <w:rsid w:val="004E19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0"/>
    <w:lsdException w:name="toc 7" w:uiPriority="0"/>
    <w:lsdException w:name="toc 8" w:uiPriority="39"/>
    <w:lsdException w:name="toc 9" w:uiPriority="39"/>
    <w:lsdException w:name="footnote text" w:uiPriority="0"/>
    <w:lsdException w:name="caption" w:uiPriority="0"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HTML Top of Form" w:uiPriority="0"/>
    <w:lsdException w:name="HTML Bottom of Form" w:uiPriority="0"/>
    <w:lsdException w:name="HTML Preformatted"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5965"/>
    <w:pPr>
      <w:spacing w:after="200" w:line="276" w:lineRule="auto"/>
    </w:pPr>
    <w:rPr>
      <w:sz w:val="22"/>
      <w:szCs w:val="22"/>
    </w:rPr>
  </w:style>
  <w:style w:type="paragraph" w:styleId="Heading1">
    <w:name w:val="heading 1"/>
    <w:basedOn w:val="Normal"/>
    <w:next w:val="Normal"/>
    <w:link w:val="Heading1Char"/>
    <w:qFormat/>
    <w:rsid w:val="001C5EED"/>
    <w:pPr>
      <w:keepNext/>
      <w:keepLines/>
      <w:spacing w:before="100" w:beforeAutospacing="1" w:after="0"/>
      <w:outlineLvl w:val="0"/>
    </w:pPr>
    <w:rPr>
      <w:rFonts w:ascii="Arial Black" w:eastAsiaTheme="majorEastAsia" w:hAnsi="Arial Black" w:cstheme="majorBidi"/>
      <w:b/>
      <w:bCs/>
      <w:sz w:val="24"/>
      <w:szCs w:val="28"/>
    </w:rPr>
  </w:style>
  <w:style w:type="paragraph" w:styleId="Heading2">
    <w:name w:val="heading 2"/>
    <w:basedOn w:val="Normal"/>
    <w:next w:val="Normal"/>
    <w:link w:val="Heading2Char"/>
    <w:unhideWhenUsed/>
    <w:qFormat/>
    <w:rsid w:val="000A47ED"/>
    <w:pPr>
      <w:keepNext/>
      <w:keepLines/>
      <w:spacing w:before="100" w:beforeAutospacing="1" w:after="0"/>
      <w:outlineLvl w:val="1"/>
    </w:pPr>
    <w:rPr>
      <w:rFonts w:ascii="Arial Black" w:eastAsiaTheme="majorEastAsia" w:hAnsi="Arial Black" w:cstheme="majorBidi"/>
      <w:b/>
      <w:bCs/>
      <w:szCs w:val="26"/>
    </w:rPr>
  </w:style>
  <w:style w:type="paragraph" w:styleId="Heading3">
    <w:name w:val="heading 3"/>
    <w:basedOn w:val="Heading2"/>
    <w:next w:val="Normal"/>
    <w:link w:val="Heading3Char"/>
    <w:unhideWhenUsed/>
    <w:qFormat/>
    <w:rsid w:val="000A47ED"/>
    <w:pPr>
      <w:ind w:left="360"/>
      <w:outlineLvl w:val="2"/>
    </w:pPr>
    <w:rPr>
      <w:rFonts w:eastAsia="Times New Roman"/>
    </w:rPr>
  </w:style>
  <w:style w:type="paragraph" w:styleId="Heading4">
    <w:name w:val="heading 4"/>
    <w:basedOn w:val="Normal"/>
    <w:next w:val="Normal"/>
    <w:link w:val="Heading4Char"/>
    <w:qFormat/>
    <w:rsid w:val="000875AD"/>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outlineLvl w:val="3"/>
    </w:pPr>
    <w:rPr>
      <w:rFonts w:ascii="Times New Roman" w:eastAsia="Times New Roman" w:hAnsi="Times New Roman"/>
      <w:b/>
      <w:bCs/>
      <w:i/>
      <w:sz w:val="24"/>
      <w:szCs w:val="20"/>
    </w:rPr>
  </w:style>
  <w:style w:type="paragraph" w:styleId="Heading5">
    <w:name w:val="heading 5"/>
    <w:basedOn w:val="Normal"/>
    <w:next w:val="Normal"/>
    <w:link w:val="Heading5Char"/>
    <w:unhideWhenUsed/>
    <w:qFormat/>
    <w:rsid w:val="000875AD"/>
    <w:pPr>
      <w:keepNext/>
      <w:keepLines/>
      <w:spacing w:before="240" w:after="240"/>
      <w:outlineLvl w:val="4"/>
    </w:pPr>
    <w:rPr>
      <w:rFonts w:ascii="Arial Black" w:eastAsia="Times New Roman" w:hAnsi="Arial Black"/>
      <w:color w:val="000000"/>
    </w:rPr>
  </w:style>
  <w:style w:type="paragraph" w:styleId="Heading7">
    <w:name w:val="heading 7"/>
    <w:basedOn w:val="Normal"/>
    <w:next w:val="Normal"/>
    <w:link w:val="Heading7Char"/>
    <w:qFormat/>
    <w:rsid w:val="004E1964"/>
    <w:pPr>
      <w:keepNext/>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after="0" w:line="240" w:lineRule="auto"/>
      <w:outlineLvl w:val="6"/>
    </w:pPr>
    <w:rPr>
      <w:rFonts w:ascii="Times New Roman" w:eastAsia="Times New Roman" w:hAnsi="Times New Roman"/>
      <w:b/>
      <w:sz w:val="28"/>
      <w:szCs w:val="20"/>
    </w:rPr>
  </w:style>
  <w:style w:type="paragraph" w:styleId="Heading8">
    <w:name w:val="heading 8"/>
    <w:basedOn w:val="Normal"/>
    <w:next w:val="Normal"/>
    <w:link w:val="Heading8Char"/>
    <w:unhideWhenUsed/>
    <w:qFormat/>
    <w:rsid w:val="004E1964"/>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5EED"/>
    <w:rPr>
      <w:rFonts w:ascii="Arial Black" w:eastAsiaTheme="majorEastAsia" w:hAnsi="Arial Black" w:cstheme="majorBidi"/>
      <w:b/>
      <w:bCs/>
      <w:sz w:val="24"/>
      <w:szCs w:val="28"/>
    </w:rPr>
  </w:style>
  <w:style w:type="character" w:customStyle="1" w:styleId="Heading2Char">
    <w:name w:val="Heading 2 Char"/>
    <w:basedOn w:val="DefaultParagraphFont"/>
    <w:link w:val="Heading2"/>
    <w:uiPriority w:val="9"/>
    <w:rsid w:val="000A47ED"/>
    <w:rPr>
      <w:rFonts w:ascii="Arial Black" w:eastAsiaTheme="majorEastAsia" w:hAnsi="Arial Black" w:cstheme="majorBidi"/>
      <w:b/>
      <w:bCs/>
      <w:sz w:val="22"/>
      <w:szCs w:val="26"/>
    </w:rPr>
  </w:style>
  <w:style w:type="character" w:customStyle="1" w:styleId="Heading3Char">
    <w:name w:val="Heading 3 Char"/>
    <w:basedOn w:val="DefaultParagraphFont"/>
    <w:link w:val="Heading3"/>
    <w:uiPriority w:val="9"/>
    <w:rsid w:val="000A47ED"/>
    <w:rPr>
      <w:rFonts w:ascii="Arial Black" w:eastAsia="Times New Roman" w:hAnsi="Arial Black" w:cstheme="majorBidi"/>
      <w:b/>
      <w:bCs/>
      <w:sz w:val="22"/>
      <w:szCs w:val="26"/>
    </w:rPr>
  </w:style>
  <w:style w:type="character" w:customStyle="1" w:styleId="Heading4Char">
    <w:name w:val="Heading 4 Char"/>
    <w:basedOn w:val="DefaultParagraphFont"/>
    <w:link w:val="Heading4"/>
    <w:rsid w:val="000875AD"/>
    <w:rPr>
      <w:rFonts w:ascii="Times New Roman" w:eastAsia="Times New Roman" w:hAnsi="Times New Roman" w:cs="Times New Roman"/>
      <w:b/>
      <w:bCs/>
      <w:i/>
      <w:sz w:val="24"/>
      <w:szCs w:val="20"/>
    </w:rPr>
  </w:style>
  <w:style w:type="character" w:customStyle="1" w:styleId="Heading5Char">
    <w:name w:val="Heading 5 Char"/>
    <w:basedOn w:val="DefaultParagraphFont"/>
    <w:link w:val="Heading5"/>
    <w:uiPriority w:val="9"/>
    <w:rsid w:val="000875AD"/>
    <w:rPr>
      <w:rFonts w:ascii="Arial Black" w:eastAsia="Times New Roman" w:hAnsi="Arial Black" w:cs="Times New Roman"/>
      <w:color w:val="000000"/>
    </w:rPr>
  </w:style>
  <w:style w:type="character" w:customStyle="1" w:styleId="Heading7Char">
    <w:name w:val="Heading 7 Char"/>
    <w:basedOn w:val="DefaultParagraphFont"/>
    <w:link w:val="Heading7"/>
    <w:rsid w:val="004E1964"/>
    <w:rPr>
      <w:rFonts w:ascii="Times New Roman" w:eastAsia="Times New Roman" w:hAnsi="Times New Roman"/>
      <w:b/>
      <w:sz w:val="28"/>
    </w:rPr>
  </w:style>
  <w:style w:type="character" w:customStyle="1" w:styleId="Heading8Char">
    <w:name w:val="Heading 8 Char"/>
    <w:basedOn w:val="DefaultParagraphFont"/>
    <w:link w:val="Heading8"/>
    <w:uiPriority w:val="9"/>
    <w:semiHidden/>
    <w:rsid w:val="004E1964"/>
    <w:rPr>
      <w:rFonts w:asciiTheme="majorHAnsi" w:eastAsiaTheme="majorEastAsia" w:hAnsiTheme="majorHAnsi" w:cstheme="majorBidi"/>
      <w:color w:val="404040" w:themeColor="text1" w:themeTint="BF"/>
    </w:rPr>
  </w:style>
  <w:style w:type="paragraph" w:styleId="BodyTextIndent">
    <w:name w:val="Body Text Indent"/>
    <w:basedOn w:val="Normal"/>
    <w:link w:val="BodyTextIndentChar"/>
    <w:rsid w:val="000875AD"/>
    <w:pPr>
      <w:spacing w:after="0" w:line="240" w:lineRule="auto"/>
      <w:ind w:left="720"/>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0875AD"/>
    <w:rPr>
      <w:rFonts w:ascii="Times New Roman" w:eastAsia="Times New Roman" w:hAnsi="Times New Roman" w:cs="Times New Roman"/>
      <w:sz w:val="24"/>
      <w:szCs w:val="20"/>
    </w:rPr>
  </w:style>
  <w:style w:type="paragraph" w:styleId="BodyText">
    <w:name w:val="Body Text"/>
    <w:basedOn w:val="Normal"/>
    <w:link w:val="BodyTextChar"/>
    <w:rsid w:val="000875AD"/>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0875AD"/>
    <w:rPr>
      <w:rFonts w:ascii="Times New Roman" w:eastAsia="Times New Roman" w:hAnsi="Times New Roman" w:cs="Times New Roman"/>
      <w:sz w:val="24"/>
      <w:szCs w:val="20"/>
    </w:rPr>
  </w:style>
  <w:style w:type="paragraph" w:styleId="ListParagraph">
    <w:name w:val="List Paragraph"/>
    <w:basedOn w:val="Normal"/>
    <w:uiPriority w:val="34"/>
    <w:qFormat/>
    <w:rsid w:val="000875AD"/>
    <w:pPr>
      <w:ind w:left="720"/>
      <w:contextualSpacing/>
    </w:pPr>
  </w:style>
  <w:style w:type="paragraph" w:styleId="z-TopofForm">
    <w:name w:val="HTML Top of Form"/>
    <w:basedOn w:val="Normal"/>
    <w:link w:val="z-TopofFormChar"/>
    <w:rsid w:val="003806C8"/>
    <w:pPr>
      <w:spacing w:after="0" w:line="240" w:lineRule="auto"/>
    </w:pPr>
    <w:rPr>
      <w:rFonts w:ascii="Times New Roman" w:eastAsia="Times New Roman" w:hAnsi="Times New Roman"/>
      <w:sz w:val="24"/>
      <w:szCs w:val="20"/>
    </w:rPr>
  </w:style>
  <w:style w:type="character" w:customStyle="1" w:styleId="z-TopofFormChar">
    <w:name w:val="z-Top of Form Char"/>
    <w:basedOn w:val="DefaultParagraphFont"/>
    <w:link w:val="z-TopofForm"/>
    <w:rsid w:val="003806C8"/>
    <w:rPr>
      <w:rFonts w:ascii="Times New Roman" w:eastAsia="Times New Roman" w:hAnsi="Times New Roman" w:cs="Times New Roman"/>
      <w:sz w:val="24"/>
      <w:szCs w:val="20"/>
    </w:rPr>
  </w:style>
  <w:style w:type="character" w:styleId="Hyperlink">
    <w:name w:val="Hyperlink"/>
    <w:basedOn w:val="DefaultParagraphFont"/>
    <w:uiPriority w:val="99"/>
    <w:rsid w:val="003806C8"/>
    <w:rPr>
      <w:color w:val="0000FF"/>
      <w:u w:val="single"/>
    </w:rPr>
  </w:style>
  <w:style w:type="paragraph" w:styleId="z-BottomofForm">
    <w:name w:val="HTML Bottom of Form"/>
    <w:basedOn w:val="Normal"/>
    <w:link w:val="z-BottomofFormChar"/>
    <w:rsid w:val="00A95FE0"/>
    <w:pPr>
      <w:spacing w:after="0" w:line="240" w:lineRule="auto"/>
      <w:jc w:val="center"/>
    </w:pPr>
    <w:rPr>
      <w:rFonts w:ascii="Times New Roman" w:eastAsia="Times New Roman" w:hAnsi="Times New Roman"/>
      <w:b/>
      <w:sz w:val="20"/>
      <w:szCs w:val="20"/>
    </w:rPr>
  </w:style>
  <w:style w:type="character" w:customStyle="1" w:styleId="z-BottomofFormChar">
    <w:name w:val="z-Bottom of Form Char"/>
    <w:basedOn w:val="DefaultParagraphFont"/>
    <w:link w:val="z-BottomofForm"/>
    <w:rsid w:val="00A95FE0"/>
    <w:rPr>
      <w:rFonts w:ascii="Times New Roman" w:eastAsia="Times New Roman" w:hAnsi="Times New Roman" w:cs="Times New Roman"/>
      <w:b/>
      <w:sz w:val="20"/>
      <w:szCs w:val="20"/>
    </w:rPr>
  </w:style>
  <w:style w:type="paragraph" w:styleId="Caption">
    <w:name w:val="caption"/>
    <w:basedOn w:val="Normal"/>
    <w:next w:val="Normal"/>
    <w:qFormat/>
    <w:rsid w:val="00A95FE0"/>
    <w:pPr>
      <w:tabs>
        <w:tab w:val="left" w:pos="144"/>
        <w:tab w:val="left" w:pos="1440"/>
        <w:tab w:val="left" w:pos="2304"/>
        <w:tab w:val="left" w:pos="3744"/>
        <w:tab w:val="left" w:pos="5904"/>
        <w:tab w:val="left" w:pos="7056"/>
        <w:tab w:val="left" w:pos="8640"/>
      </w:tabs>
      <w:spacing w:after="0" w:line="240" w:lineRule="auto"/>
    </w:pPr>
    <w:rPr>
      <w:rFonts w:ascii="Times New Roman" w:eastAsia="Times New Roman" w:hAnsi="Times New Roman"/>
      <w:b/>
      <w:sz w:val="24"/>
      <w:szCs w:val="20"/>
    </w:rPr>
  </w:style>
  <w:style w:type="paragraph" w:styleId="Header">
    <w:name w:val="header"/>
    <w:basedOn w:val="Normal"/>
    <w:link w:val="HeaderChar"/>
    <w:uiPriority w:val="99"/>
    <w:unhideWhenUsed/>
    <w:rsid w:val="00B34E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E75"/>
  </w:style>
  <w:style w:type="paragraph" w:styleId="Footer">
    <w:name w:val="footer"/>
    <w:basedOn w:val="Normal"/>
    <w:link w:val="FooterChar"/>
    <w:uiPriority w:val="99"/>
    <w:unhideWhenUsed/>
    <w:rsid w:val="00B34E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E75"/>
  </w:style>
  <w:style w:type="table" w:styleId="TableGrid">
    <w:name w:val="Table Grid"/>
    <w:basedOn w:val="TableNormal"/>
    <w:uiPriority w:val="59"/>
    <w:rsid w:val="00634A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BB25DD"/>
    <w:pPr>
      <w:autoSpaceDE w:val="0"/>
      <w:autoSpaceDN w:val="0"/>
      <w:adjustRightInd w:val="0"/>
    </w:pPr>
    <w:rPr>
      <w:rFonts w:ascii="Times New Roman" w:hAnsi="Times New Roman"/>
      <w:color w:val="000000"/>
      <w:sz w:val="24"/>
      <w:szCs w:val="24"/>
    </w:rPr>
  </w:style>
  <w:style w:type="paragraph" w:styleId="BalloonText">
    <w:name w:val="Balloon Text"/>
    <w:basedOn w:val="Normal"/>
    <w:link w:val="BalloonTextChar"/>
    <w:uiPriority w:val="99"/>
    <w:semiHidden/>
    <w:unhideWhenUsed/>
    <w:rsid w:val="00B44B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BA3"/>
    <w:rPr>
      <w:rFonts w:ascii="Tahoma" w:hAnsi="Tahoma" w:cs="Tahoma"/>
      <w:sz w:val="16"/>
      <w:szCs w:val="16"/>
    </w:rPr>
  </w:style>
  <w:style w:type="paragraph" w:styleId="FootnoteText">
    <w:name w:val="footnote text"/>
    <w:basedOn w:val="Normal"/>
    <w:link w:val="FootnoteTextChar"/>
    <w:rsid w:val="00403C47"/>
    <w:pPr>
      <w:spacing w:before="120" w:after="12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03C47"/>
    <w:rPr>
      <w:rFonts w:ascii="Times New Roman" w:eastAsia="Times New Roman" w:hAnsi="Times New Roman" w:cs="Times New Roman"/>
      <w:sz w:val="20"/>
      <w:szCs w:val="20"/>
    </w:rPr>
  </w:style>
  <w:style w:type="character" w:styleId="FootnoteReference">
    <w:name w:val="footnote reference"/>
    <w:basedOn w:val="DefaultParagraphFont"/>
    <w:semiHidden/>
    <w:rsid w:val="0045011F"/>
    <w:rPr>
      <w:vertAlign w:val="superscript"/>
    </w:rPr>
  </w:style>
  <w:style w:type="character" w:styleId="CommentReference">
    <w:name w:val="annotation reference"/>
    <w:basedOn w:val="DefaultParagraphFont"/>
    <w:uiPriority w:val="99"/>
    <w:semiHidden/>
    <w:unhideWhenUsed/>
    <w:rsid w:val="0045011F"/>
    <w:rPr>
      <w:sz w:val="16"/>
      <w:szCs w:val="16"/>
    </w:rPr>
  </w:style>
  <w:style w:type="paragraph" w:styleId="CommentText">
    <w:name w:val="annotation text"/>
    <w:basedOn w:val="Normal"/>
    <w:link w:val="CommentTextChar"/>
    <w:uiPriority w:val="99"/>
    <w:unhideWhenUsed/>
    <w:rsid w:val="0045011F"/>
    <w:pPr>
      <w:spacing w:line="240" w:lineRule="auto"/>
    </w:pPr>
    <w:rPr>
      <w:sz w:val="20"/>
      <w:szCs w:val="20"/>
    </w:rPr>
  </w:style>
  <w:style w:type="character" w:customStyle="1" w:styleId="CommentTextChar">
    <w:name w:val="Comment Text Char"/>
    <w:basedOn w:val="DefaultParagraphFont"/>
    <w:link w:val="CommentText"/>
    <w:uiPriority w:val="99"/>
    <w:rsid w:val="0045011F"/>
    <w:rPr>
      <w:sz w:val="20"/>
      <w:szCs w:val="20"/>
    </w:rPr>
  </w:style>
  <w:style w:type="paragraph" w:styleId="CommentSubject">
    <w:name w:val="annotation subject"/>
    <w:basedOn w:val="CommentText"/>
    <w:next w:val="CommentText"/>
    <w:link w:val="CommentSubjectChar"/>
    <w:uiPriority w:val="99"/>
    <w:semiHidden/>
    <w:unhideWhenUsed/>
    <w:rsid w:val="0045011F"/>
    <w:rPr>
      <w:b/>
      <w:bCs/>
    </w:rPr>
  </w:style>
  <w:style w:type="character" w:customStyle="1" w:styleId="CommentSubjectChar">
    <w:name w:val="Comment Subject Char"/>
    <w:basedOn w:val="CommentTextChar"/>
    <w:link w:val="CommentSubject"/>
    <w:uiPriority w:val="99"/>
    <w:semiHidden/>
    <w:rsid w:val="0045011F"/>
    <w:rPr>
      <w:b/>
      <w:bCs/>
      <w:sz w:val="20"/>
      <w:szCs w:val="20"/>
    </w:rPr>
  </w:style>
  <w:style w:type="paragraph" w:styleId="BodyText3">
    <w:name w:val="Body Text 3"/>
    <w:basedOn w:val="Normal"/>
    <w:link w:val="BodyText3Char"/>
    <w:unhideWhenUsed/>
    <w:rsid w:val="00E25119"/>
    <w:pPr>
      <w:spacing w:after="120"/>
    </w:pPr>
    <w:rPr>
      <w:sz w:val="16"/>
      <w:szCs w:val="16"/>
    </w:rPr>
  </w:style>
  <w:style w:type="character" w:customStyle="1" w:styleId="BodyText3Char">
    <w:name w:val="Body Text 3 Char"/>
    <w:basedOn w:val="DefaultParagraphFont"/>
    <w:link w:val="BodyText3"/>
    <w:uiPriority w:val="99"/>
    <w:rsid w:val="00E25119"/>
    <w:rPr>
      <w:sz w:val="16"/>
      <w:szCs w:val="16"/>
    </w:rPr>
  </w:style>
  <w:style w:type="paragraph" w:customStyle="1" w:styleId="Technical5">
    <w:name w:val="Technical[5]"/>
    <w:basedOn w:val="Normal"/>
    <w:rsid w:val="00E25119"/>
    <w:pPr>
      <w:spacing w:after="0" w:line="240" w:lineRule="auto"/>
    </w:pPr>
    <w:rPr>
      <w:rFonts w:ascii="Times New Roman" w:eastAsia="Times New Roman" w:hAnsi="Times New Roman"/>
      <w:b/>
      <w:sz w:val="20"/>
      <w:szCs w:val="20"/>
    </w:rPr>
  </w:style>
  <w:style w:type="paragraph" w:customStyle="1" w:styleId="DocInit">
    <w:name w:val="Doc Init"/>
    <w:basedOn w:val="Normal"/>
    <w:rsid w:val="00E25119"/>
    <w:pPr>
      <w:spacing w:after="0" w:line="240" w:lineRule="auto"/>
    </w:pPr>
    <w:rPr>
      <w:rFonts w:ascii="Times New Roman" w:eastAsia="Times New Roman" w:hAnsi="Times New Roman"/>
      <w:sz w:val="20"/>
      <w:szCs w:val="20"/>
    </w:rPr>
  </w:style>
  <w:style w:type="paragraph" w:styleId="BodyTextIndent3">
    <w:name w:val="Body Text Indent 3"/>
    <w:basedOn w:val="Normal"/>
    <w:link w:val="BodyTextIndent3Char"/>
    <w:unhideWhenUsed/>
    <w:rsid w:val="00AC5115"/>
    <w:pPr>
      <w:spacing w:after="120"/>
      <w:ind w:left="360"/>
    </w:pPr>
    <w:rPr>
      <w:sz w:val="16"/>
      <w:szCs w:val="16"/>
    </w:rPr>
  </w:style>
  <w:style w:type="character" w:customStyle="1" w:styleId="BodyTextIndent3Char">
    <w:name w:val="Body Text Indent 3 Char"/>
    <w:basedOn w:val="DefaultParagraphFont"/>
    <w:link w:val="BodyTextIndent3"/>
    <w:uiPriority w:val="99"/>
    <w:rsid w:val="00AC5115"/>
    <w:rPr>
      <w:sz w:val="16"/>
      <w:szCs w:val="16"/>
    </w:rPr>
  </w:style>
  <w:style w:type="paragraph" w:styleId="Revision">
    <w:name w:val="Revision"/>
    <w:hidden/>
    <w:uiPriority w:val="99"/>
    <w:semiHidden/>
    <w:rsid w:val="00EC5C76"/>
    <w:rPr>
      <w:sz w:val="22"/>
      <w:szCs w:val="22"/>
    </w:rPr>
  </w:style>
  <w:style w:type="character" w:customStyle="1" w:styleId="st1">
    <w:name w:val="st1"/>
    <w:basedOn w:val="DefaultParagraphFont"/>
    <w:rsid w:val="00805A50"/>
  </w:style>
  <w:style w:type="paragraph" w:styleId="TOCHeading">
    <w:name w:val="TOC Heading"/>
    <w:basedOn w:val="Heading1"/>
    <w:next w:val="Normal"/>
    <w:uiPriority w:val="39"/>
    <w:semiHidden/>
    <w:unhideWhenUsed/>
    <w:qFormat/>
    <w:rsid w:val="001C5EED"/>
    <w:pPr>
      <w:outlineLvl w:val="9"/>
    </w:pPr>
  </w:style>
  <w:style w:type="paragraph" w:styleId="TOC2">
    <w:name w:val="toc 2"/>
    <w:basedOn w:val="Normal"/>
    <w:next w:val="Normal"/>
    <w:autoRedefine/>
    <w:uiPriority w:val="39"/>
    <w:unhideWhenUsed/>
    <w:qFormat/>
    <w:rsid w:val="00995E34"/>
    <w:pPr>
      <w:tabs>
        <w:tab w:val="right" w:leader="dot" w:pos="9350"/>
      </w:tabs>
      <w:spacing w:after="100"/>
      <w:ind w:left="220"/>
    </w:pPr>
    <w:rPr>
      <w:rFonts w:asciiTheme="minorHAnsi" w:eastAsiaTheme="minorEastAsia" w:hAnsiTheme="minorHAnsi" w:cstheme="minorBidi"/>
    </w:rPr>
  </w:style>
  <w:style w:type="paragraph" w:styleId="TOC1">
    <w:name w:val="toc 1"/>
    <w:basedOn w:val="Normal"/>
    <w:next w:val="Normal"/>
    <w:autoRedefine/>
    <w:uiPriority w:val="39"/>
    <w:unhideWhenUsed/>
    <w:qFormat/>
    <w:rsid w:val="007E3C42"/>
    <w:pPr>
      <w:tabs>
        <w:tab w:val="right" w:leader="dot" w:pos="9350"/>
      </w:tabs>
      <w:spacing w:after="100"/>
    </w:pPr>
    <w:rPr>
      <w:rFonts w:asciiTheme="minorHAnsi" w:eastAsiaTheme="minorEastAsia" w:hAnsiTheme="minorHAnsi" w:cstheme="minorBidi"/>
      <w:b/>
      <w:noProof/>
    </w:rPr>
  </w:style>
  <w:style w:type="paragraph" w:styleId="TOC3">
    <w:name w:val="toc 3"/>
    <w:basedOn w:val="Normal"/>
    <w:next w:val="Normal"/>
    <w:autoRedefine/>
    <w:uiPriority w:val="39"/>
    <w:unhideWhenUsed/>
    <w:qFormat/>
    <w:rsid w:val="001C5EED"/>
    <w:pPr>
      <w:spacing w:after="100"/>
      <w:ind w:left="440"/>
    </w:pPr>
    <w:rPr>
      <w:rFonts w:asciiTheme="minorHAnsi" w:eastAsiaTheme="minorEastAsia" w:hAnsiTheme="minorHAnsi" w:cstheme="minorBidi"/>
    </w:rPr>
  </w:style>
  <w:style w:type="paragraph" w:customStyle="1" w:styleId="Footnote">
    <w:name w:val="Footnote"/>
    <w:basedOn w:val="FootnoteText"/>
    <w:link w:val="FootnoteChar"/>
    <w:qFormat/>
    <w:rsid w:val="0020151A"/>
    <w:rPr>
      <w:rFonts w:ascii="Calibri" w:hAnsi="Calibri"/>
      <w:sz w:val="18"/>
    </w:rPr>
  </w:style>
  <w:style w:type="character" w:customStyle="1" w:styleId="FootnoteChar">
    <w:name w:val="Footnote Char"/>
    <w:basedOn w:val="FootnoteTextChar"/>
    <w:link w:val="Footnote"/>
    <w:rsid w:val="0020151A"/>
    <w:rPr>
      <w:rFonts w:ascii="Times New Roman" w:eastAsia="Times New Roman" w:hAnsi="Times New Roman" w:cs="Times New Roman"/>
      <w:sz w:val="18"/>
      <w:szCs w:val="20"/>
    </w:rPr>
  </w:style>
  <w:style w:type="character" w:styleId="FollowedHyperlink">
    <w:name w:val="FollowedHyperlink"/>
    <w:basedOn w:val="DefaultParagraphFont"/>
    <w:uiPriority w:val="99"/>
    <w:semiHidden/>
    <w:unhideWhenUsed/>
    <w:rsid w:val="00EC30E3"/>
    <w:rPr>
      <w:color w:val="800080" w:themeColor="followedHyperlink"/>
      <w:u w:val="single"/>
    </w:rPr>
  </w:style>
  <w:style w:type="paragraph" w:styleId="EndnoteText">
    <w:name w:val="endnote text"/>
    <w:basedOn w:val="Normal"/>
    <w:link w:val="EndnoteTextChar"/>
    <w:uiPriority w:val="99"/>
    <w:semiHidden/>
    <w:unhideWhenUsed/>
    <w:rsid w:val="0086221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6221A"/>
  </w:style>
  <w:style w:type="character" w:styleId="EndnoteReference">
    <w:name w:val="endnote reference"/>
    <w:basedOn w:val="DefaultParagraphFont"/>
    <w:uiPriority w:val="99"/>
    <w:semiHidden/>
    <w:unhideWhenUsed/>
    <w:rsid w:val="0086221A"/>
    <w:rPr>
      <w:vertAlign w:val="superscript"/>
    </w:rPr>
  </w:style>
  <w:style w:type="paragraph" w:styleId="PlainText">
    <w:name w:val="Plain Text"/>
    <w:basedOn w:val="Normal"/>
    <w:link w:val="PlainTextChar"/>
    <w:unhideWhenUsed/>
    <w:rsid w:val="0032664A"/>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semiHidden/>
    <w:rsid w:val="0032664A"/>
    <w:rPr>
      <w:rFonts w:ascii="Consolas" w:eastAsiaTheme="minorHAnsi" w:hAnsi="Consolas"/>
      <w:sz w:val="21"/>
      <w:szCs w:val="21"/>
    </w:rPr>
  </w:style>
  <w:style w:type="paragraph" w:styleId="BodyText2">
    <w:name w:val="Body Text 2"/>
    <w:basedOn w:val="Normal"/>
    <w:link w:val="BodyText2Char"/>
    <w:unhideWhenUsed/>
    <w:rsid w:val="004E1964"/>
    <w:pPr>
      <w:spacing w:after="120" w:line="480" w:lineRule="auto"/>
    </w:pPr>
  </w:style>
  <w:style w:type="character" w:customStyle="1" w:styleId="BodyText2Char">
    <w:name w:val="Body Text 2 Char"/>
    <w:basedOn w:val="DefaultParagraphFont"/>
    <w:link w:val="BodyText2"/>
    <w:uiPriority w:val="99"/>
    <w:semiHidden/>
    <w:rsid w:val="004E1964"/>
    <w:rPr>
      <w:sz w:val="22"/>
      <w:szCs w:val="22"/>
    </w:rPr>
  </w:style>
  <w:style w:type="paragraph" w:styleId="HTMLPreformatted">
    <w:name w:val="HTML Preformatted"/>
    <w:basedOn w:val="Normal"/>
    <w:link w:val="HTMLPreformattedChar"/>
    <w:rsid w:val="004E1964"/>
    <w:pPr>
      <w:spacing w:after="0" w:line="240" w:lineRule="auto"/>
    </w:pPr>
    <w:rPr>
      <w:rFonts w:ascii="Times New Roman" w:eastAsia="Times New Roman" w:hAnsi="Times New Roman"/>
      <w:b/>
      <w:sz w:val="20"/>
      <w:szCs w:val="20"/>
    </w:rPr>
  </w:style>
  <w:style w:type="character" w:customStyle="1" w:styleId="HTMLPreformattedChar">
    <w:name w:val="HTML Preformatted Char"/>
    <w:basedOn w:val="DefaultParagraphFont"/>
    <w:link w:val="HTMLPreformatted"/>
    <w:rsid w:val="004E1964"/>
    <w:rPr>
      <w:rFonts w:ascii="Times New Roman" w:eastAsia="Times New Roman" w:hAnsi="Times New Roman"/>
      <w:b/>
    </w:rPr>
  </w:style>
  <w:style w:type="paragraph" w:styleId="Title">
    <w:name w:val="Title"/>
    <w:basedOn w:val="Normal"/>
    <w:link w:val="TitleChar"/>
    <w:qFormat/>
    <w:rsid w:val="004E1964"/>
    <w:pPr>
      <w:spacing w:after="0" w:line="240" w:lineRule="auto"/>
      <w:jc w:val="center"/>
    </w:pPr>
    <w:rPr>
      <w:rFonts w:ascii="Times New Roman" w:eastAsia="Times New Roman" w:hAnsi="Times New Roman"/>
      <w:b/>
      <w:bCs/>
      <w:sz w:val="24"/>
      <w:szCs w:val="20"/>
    </w:rPr>
  </w:style>
  <w:style w:type="character" w:customStyle="1" w:styleId="TitleChar">
    <w:name w:val="Title Char"/>
    <w:basedOn w:val="DefaultParagraphFont"/>
    <w:link w:val="Title"/>
    <w:rsid w:val="004E1964"/>
    <w:rPr>
      <w:rFonts w:ascii="Times New Roman" w:eastAsia="Times New Roman" w:hAnsi="Times New Roman"/>
      <w:b/>
      <w:bCs/>
      <w:sz w:val="24"/>
    </w:rPr>
  </w:style>
  <w:style w:type="character" w:styleId="PageNumber">
    <w:name w:val="page number"/>
    <w:basedOn w:val="DefaultParagraphFont"/>
    <w:rsid w:val="004E1964"/>
  </w:style>
  <w:style w:type="paragraph" w:styleId="BlockText">
    <w:name w:val="Block Text"/>
    <w:basedOn w:val="Normal"/>
    <w:rsid w:val="004E196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after="0" w:line="240" w:lineRule="auto"/>
      <w:ind w:left="720" w:right="720"/>
    </w:pPr>
    <w:rPr>
      <w:rFonts w:ascii="Times New Roman" w:eastAsia="Times New Roman" w:hAnsi="Times New Roman"/>
      <w:sz w:val="24"/>
      <w:szCs w:val="20"/>
    </w:rPr>
  </w:style>
  <w:style w:type="character" w:customStyle="1" w:styleId="a">
    <w:name w:val="a"/>
    <w:basedOn w:val="DefaultParagraphFont"/>
    <w:rsid w:val="004E1964"/>
  </w:style>
</w:styles>
</file>

<file path=word/webSettings.xml><?xml version="1.0" encoding="utf-8"?>
<w:webSettings xmlns:r="http://schemas.openxmlformats.org/officeDocument/2006/relationships" xmlns:w="http://schemas.openxmlformats.org/wordprocessingml/2006/main">
  <w:divs>
    <w:div w:id="233662838">
      <w:bodyDiv w:val="1"/>
      <w:marLeft w:val="0"/>
      <w:marRight w:val="0"/>
      <w:marTop w:val="0"/>
      <w:marBottom w:val="0"/>
      <w:divBdr>
        <w:top w:val="none" w:sz="0" w:space="0" w:color="auto"/>
        <w:left w:val="none" w:sz="0" w:space="0" w:color="auto"/>
        <w:bottom w:val="none" w:sz="0" w:space="0" w:color="auto"/>
        <w:right w:val="none" w:sz="0" w:space="0" w:color="auto"/>
      </w:divBdr>
    </w:div>
    <w:div w:id="504366516">
      <w:bodyDiv w:val="1"/>
      <w:marLeft w:val="0"/>
      <w:marRight w:val="0"/>
      <w:marTop w:val="0"/>
      <w:marBottom w:val="0"/>
      <w:divBdr>
        <w:top w:val="none" w:sz="0" w:space="0" w:color="auto"/>
        <w:left w:val="none" w:sz="0" w:space="0" w:color="auto"/>
        <w:bottom w:val="none" w:sz="0" w:space="0" w:color="auto"/>
        <w:right w:val="none" w:sz="0" w:space="0" w:color="auto"/>
      </w:divBdr>
    </w:div>
    <w:div w:id="544489410">
      <w:bodyDiv w:val="1"/>
      <w:marLeft w:val="0"/>
      <w:marRight w:val="0"/>
      <w:marTop w:val="0"/>
      <w:marBottom w:val="0"/>
      <w:divBdr>
        <w:top w:val="none" w:sz="0" w:space="0" w:color="auto"/>
        <w:left w:val="none" w:sz="0" w:space="0" w:color="auto"/>
        <w:bottom w:val="none" w:sz="0" w:space="0" w:color="auto"/>
        <w:right w:val="none" w:sz="0" w:space="0" w:color="auto"/>
      </w:divBdr>
      <w:divsChild>
        <w:div w:id="1601837232">
          <w:marLeft w:val="0"/>
          <w:marRight w:val="0"/>
          <w:marTop w:val="0"/>
          <w:marBottom w:val="0"/>
          <w:divBdr>
            <w:top w:val="none" w:sz="0" w:space="0" w:color="auto"/>
            <w:left w:val="none" w:sz="0" w:space="0" w:color="auto"/>
            <w:bottom w:val="none" w:sz="0" w:space="0" w:color="auto"/>
            <w:right w:val="none" w:sz="0" w:space="0" w:color="auto"/>
          </w:divBdr>
          <w:divsChild>
            <w:div w:id="1018508271">
              <w:marLeft w:val="0"/>
              <w:marRight w:val="0"/>
              <w:marTop w:val="0"/>
              <w:marBottom w:val="0"/>
              <w:divBdr>
                <w:top w:val="none" w:sz="0" w:space="0" w:color="auto"/>
                <w:left w:val="none" w:sz="0" w:space="0" w:color="auto"/>
                <w:bottom w:val="none" w:sz="0" w:space="0" w:color="auto"/>
                <w:right w:val="none" w:sz="0" w:space="0" w:color="auto"/>
              </w:divBdr>
              <w:divsChild>
                <w:div w:id="100227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657003">
      <w:bodyDiv w:val="1"/>
      <w:marLeft w:val="0"/>
      <w:marRight w:val="0"/>
      <w:marTop w:val="0"/>
      <w:marBottom w:val="0"/>
      <w:divBdr>
        <w:top w:val="none" w:sz="0" w:space="0" w:color="auto"/>
        <w:left w:val="none" w:sz="0" w:space="0" w:color="auto"/>
        <w:bottom w:val="none" w:sz="0" w:space="0" w:color="auto"/>
        <w:right w:val="none" w:sz="0" w:space="0" w:color="auto"/>
      </w:divBdr>
    </w:div>
    <w:div w:id="642732209">
      <w:bodyDiv w:val="1"/>
      <w:marLeft w:val="0"/>
      <w:marRight w:val="0"/>
      <w:marTop w:val="0"/>
      <w:marBottom w:val="0"/>
      <w:divBdr>
        <w:top w:val="none" w:sz="0" w:space="0" w:color="auto"/>
        <w:left w:val="none" w:sz="0" w:space="0" w:color="auto"/>
        <w:bottom w:val="none" w:sz="0" w:space="0" w:color="auto"/>
        <w:right w:val="none" w:sz="0" w:space="0" w:color="auto"/>
      </w:divBdr>
    </w:div>
    <w:div w:id="667172987">
      <w:bodyDiv w:val="1"/>
      <w:marLeft w:val="0"/>
      <w:marRight w:val="0"/>
      <w:marTop w:val="0"/>
      <w:marBottom w:val="0"/>
      <w:divBdr>
        <w:top w:val="none" w:sz="0" w:space="0" w:color="auto"/>
        <w:left w:val="none" w:sz="0" w:space="0" w:color="auto"/>
        <w:bottom w:val="none" w:sz="0" w:space="0" w:color="auto"/>
        <w:right w:val="none" w:sz="0" w:space="0" w:color="auto"/>
      </w:divBdr>
      <w:divsChild>
        <w:div w:id="179853182">
          <w:marLeft w:val="0"/>
          <w:marRight w:val="0"/>
          <w:marTop w:val="0"/>
          <w:marBottom w:val="0"/>
          <w:divBdr>
            <w:top w:val="none" w:sz="0" w:space="0" w:color="auto"/>
            <w:left w:val="none" w:sz="0" w:space="0" w:color="auto"/>
            <w:bottom w:val="none" w:sz="0" w:space="0" w:color="auto"/>
            <w:right w:val="none" w:sz="0" w:space="0" w:color="auto"/>
          </w:divBdr>
          <w:divsChild>
            <w:div w:id="1737631360">
              <w:marLeft w:val="0"/>
              <w:marRight w:val="0"/>
              <w:marTop w:val="0"/>
              <w:marBottom w:val="0"/>
              <w:divBdr>
                <w:top w:val="none" w:sz="0" w:space="0" w:color="auto"/>
                <w:left w:val="none" w:sz="0" w:space="0" w:color="auto"/>
                <w:bottom w:val="none" w:sz="0" w:space="0" w:color="auto"/>
                <w:right w:val="none" w:sz="0" w:space="0" w:color="auto"/>
              </w:divBdr>
              <w:divsChild>
                <w:div w:id="284426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654390">
      <w:bodyDiv w:val="1"/>
      <w:marLeft w:val="0"/>
      <w:marRight w:val="0"/>
      <w:marTop w:val="0"/>
      <w:marBottom w:val="0"/>
      <w:divBdr>
        <w:top w:val="none" w:sz="0" w:space="0" w:color="auto"/>
        <w:left w:val="none" w:sz="0" w:space="0" w:color="auto"/>
        <w:bottom w:val="none" w:sz="0" w:space="0" w:color="auto"/>
        <w:right w:val="none" w:sz="0" w:space="0" w:color="auto"/>
      </w:divBdr>
    </w:div>
    <w:div w:id="792869967">
      <w:bodyDiv w:val="1"/>
      <w:marLeft w:val="0"/>
      <w:marRight w:val="0"/>
      <w:marTop w:val="0"/>
      <w:marBottom w:val="0"/>
      <w:divBdr>
        <w:top w:val="none" w:sz="0" w:space="0" w:color="auto"/>
        <w:left w:val="none" w:sz="0" w:space="0" w:color="auto"/>
        <w:bottom w:val="none" w:sz="0" w:space="0" w:color="auto"/>
        <w:right w:val="none" w:sz="0" w:space="0" w:color="auto"/>
      </w:divBdr>
    </w:div>
    <w:div w:id="805001692">
      <w:bodyDiv w:val="1"/>
      <w:marLeft w:val="0"/>
      <w:marRight w:val="0"/>
      <w:marTop w:val="0"/>
      <w:marBottom w:val="0"/>
      <w:divBdr>
        <w:top w:val="none" w:sz="0" w:space="0" w:color="auto"/>
        <w:left w:val="none" w:sz="0" w:space="0" w:color="auto"/>
        <w:bottom w:val="none" w:sz="0" w:space="0" w:color="auto"/>
        <w:right w:val="none" w:sz="0" w:space="0" w:color="auto"/>
      </w:divBdr>
    </w:div>
    <w:div w:id="1254557620">
      <w:bodyDiv w:val="1"/>
      <w:marLeft w:val="0"/>
      <w:marRight w:val="0"/>
      <w:marTop w:val="0"/>
      <w:marBottom w:val="0"/>
      <w:divBdr>
        <w:top w:val="none" w:sz="0" w:space="0" w:color="auto"/>
        <w:left w:val="none" w:sz="0" w:space="0" w:color="auto"/>
        <w:bottom w:val="none" w:sz="0" w:space="0" w:color="auto"/>
        <w:right w:val="none" w:sz="0" w:space="0" w:color="auto"/>
      </w:divBdr>
    </w:div>
    <w:div w:id="1788349833">
      <w:bodyDiv w:val="1"/>
      <w:marLeft w:val="0"/>
      <w:marRight w:val="0"/>
      <w:marTop w:val="0"/>
      <w:marBottom w:val="0"/>
      <w:divBdr>
        <w:top w:val="none" w:sz="0" w:space="0" w:color="auto"/>
        <w:left w:val="none" w:sz="0" w:space="0" w:color="auto"/>
        <w:bottom w:val="none" w:sz="0" w:space="0" w:color="auto"/>
        <w:right w:val="none" w:sz="0" w:space="0" w:color="auto"/>
      </w:divBdr>
    </w:div>
    <w:div w:id="1822113772">
      <w:bodyDiv w:val="1"/>
      <w:marLeft w:val="0"/>
      <w:marRight w:val="0"/>
      <w:marTop w:val="0"/>
      <w:marBottom w:val="0"/>
      <w:divBdr>
        <w:top w:val="none" w:sz="0" w:space="0" w:color="auto"/>
        <w:left w:val="none" w:sz="0" w:space="0" w:color="auto"/>
        <w:bottom w:val="none" w:sz="0" w:space="0" w:color="auto"/>
        <w:right w:val="none" w:sz="0" w:space="0" w:color="auto"/>
      </w:divBdr>
    </w:div>
    <w:div w:id="1915117588">
      <w:bodyDiv w:val="1"/>
      <w:marLeft w:val="0"/>
      <w:marRight w:val="0"/>
      <w:marTop w:val="0"/>
      <w:marBottom w:val="0"/>
      <w:divBdr>
        <w:top w:val="none" w:sz="0" w:space="0" w:color="auto"/>
        <w:left w:val="none" w:sz="0" w:space="0" w:color="auto"/>
        <w:bottom w:val="none" w:sz="0" w:space="0" w:color="auto"/>
        <w:right w:val="none" w:sz="0" w:space="0" w:color="auto"/>
      </w:divBdr>
    </w:div>
    <w:div w:id="1955093899">
      <w:bodyDiv w:val="1"/>
      <w:marLeft w:val="0"/>
      <w:marRight w:val="0"/>
      <w:marTop w:val="0"/>
      <w:marBottom w:val="0"/>
      <w:divBdr>
        <w:top w:val="none" w:sz="0" w:space="0" w:color="auto"/>
        <w:left w:val="none" w:sz="0" w:space="0" w:color="auto"/>
        <w:bottom w:val="none" w:sz="0" w:space="0" w:color="auto"/>
        <w:right w:val="none" w:sz="0" w:space="0" w:color="auto"/>
      </w:divBdr>
    </w:div>
    <w:div w:id="208267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ww.eia.gov/cneaf/electricity/page/data.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eia.gov/reports/" TargetMode="External"/><Relationship Id="rId2" Type="http://schemas.openxmlformats.org/officeDocument/2006/relationships/numbering" Target="numbering.xml"/><Relationship Id="rId16" Type="http://schemas.openxmlformats.org/officeDocument/2006/relationships/hyperlink" Target="http://www.oe.netl.doe.gov/oe417.aspx"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32"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www.eia.gov/forecasts/aeo/er/"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en.wikipedia.org/wiki/Nitrogen_dioxid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E85A0-A335-4F8C-85D2-C76DBB3B2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11394</Words>
  <Characters>64948</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OMB Supporting Statement Part A, Forms EIA-861, EIA-861S, EIA-923</vt:lpstr>
    </vt:vector>
  </TitlesOfParts>
  <Company>Toshiba</Company>
  <LinksUpToDate>false</LinksUpToDate>
  <CharactersWithSpaces>76190</CharactersWithSpaces>
  <SharedDoc>false</SharedDoc>
  <HLinks>
    <vt:vector size="114" baseType="variant">
      <vt:variant>
        <vt:i4>7209084</vt:i4>
      </vt:variant>
      <vt:variant>
        <vt:i4>60</vt:i4>
      </vt:variant>
      <vt:variant>
        <vt:i4>0</vt:i4>
      </vt:variant>
      <vt:variant>
        <vt:i4>5</vt:i4>
      </vt:variant>
      <vt:variant>
        <vt:lpwstr>http://www.eia.gov/cneaf/electricity/page/data.html</vt:lpwstr>
      </vt:variant>
      <vt:variant>
        <vt:lpwstr/>
      </vt:variant>
      <vt:variant>
        <vt:i4>852063</vt:i4>
      </vt:variant>
      <vt:variant>
        <vt:i4>57</vt:i4>
      </vt:variant>
      <vt:variant>
        <vt:i4>0</vt:i4>
      </vt:variant>
      <vt:variant>
        <vt:i4>5</vt:i4>
      </vt:variant>
      <vt:variant>
        <vt:lpwstr>http://www.eia.gov/forecasts/aeo/er/</vt:lpwstr>
      </vt:variant>
      <vt:variant>
        <vt:lpwstr/>
      </vt:variant>
      <vt:variant>
        <vt:i4>2424948</vt:i4>
      </vt:variant>
      <vt:variant>
        <vt:i4>48</vt:i4>
      </vt:variant>
      <vt:variant>
        <vt:i4>0</vt:i4>
      </vt:variant>
      <vt:variant>
        <vt:i4>5</vt:i4>
      </vt:variant>
      <vt:variant>
        <vt:lpwstr>http://pbaupws.nrc.gov/</vt:lpwstr>
      </vt:variant>
      <vt:variant>
        <vt:lpwstr/>
      </vt:variant>
      <vt:variant>
        <vt:i4>655381</vt:i4>
      </vt:variant>
      <vt:variant>
        <vt:i4>45</vt:i4>
      </vt:variant>
      <vt:variant>
        <vt:i4>0</vt:i4>
      </vt:variant>
      <vt:variant>
        <vt:i4>5</vt:i4>
      </vt:variant>
      <vt:variant>
        <vt:lpwstr>http://www.nerc.com/filez/tadswg.html</vt:lpwstr>
      </vt:variant>
      <vt:variant>
        <vt:lpwstr/>
      </vt:variant>
      <vt:variant>
        <vt:i4>7864357</vt:i4>
      </vt:variant>
      <vt:variant>
        <vt:i4>42</vt:i4>
      </vt:variant>
      <vt:variant>
        <vt:i4>0</vt:i4>
      </vt:variant>
      <vt:variant>
        <vt:i4>5</vt:i4>
      </vt:variant>
      <vt:variant>
        <vt:lpwstr>http://elibrary.ferc.gov/idmws/search/fercgensearch.asp</vt:lpwstr>
      </vt:variant>
      <vt:variant>
        <vt:lpwstr/>
      </vt:variant>
      <vt:variant>
        <vt:i4>7864357</vt:i4>
      </vt:variant>
      <vt:variant>
        <vt:i4>39</vt:i4>
      </vt:variant>
      <vt:variant>
        <vt:i4>0</vt:i4>
      </vt:variant>
      <vt:variant>
        <vt:i4>5</vt:i4>
      </vt:variant>
      <vt:variant>
        <vt:lpwstr>http://elibrary.ferc.gov/idmws/search/fercgensearch.asp</vt:lpwstr>
      </vt:variant>
      <vt:variant>
        <vt:lpwstr/>
      </vt:variant>
      <vt:variant>
        <vt:i4>7864357</vt:i4>
      </vt:variant>
      <vt:variant>
        <vt:i4>36</vt:i4>
      </vt:variant>
      <vt:variant>
        <vt:i4>0</vt:i4>
      </vt:variant>
      <vt:variant>
        <vt:i4>5</vt:i4>
      </vt:variant>
      <vt:variant>
        <vt:lpwstr>http://elibrary.ferc.gov/idmws/search/fercgensearch.asp</vt:lpwstr>
      </vt:variant>
      <vt:variant>
        <vt:lpwstr/>
      </vt:variant>
      <vt:variant>
        <vt:i4>7864357</vt:i4>
      </vt:variant>
      <vt:variant>
        <vt:i4>33</vt:i4>
      </vt:variant>
      <vt:variant>
        <vt:i4>0</vt:i4>
      </vt:variant>
      <vt:variant>
        <vt:i4>5</vt:i4>
      </vt:variant>
      <vt:variant>
        <vt:lpwstr>http://elibrary.ferc.gov/idmws/search/fercgensearch.asp</vt:lpwstr>
      </vt:variant>
      <vt:variant>
        <vt:lpwstr/>
      </vt:variant>
      <vt:variant>
        <vt:i4>7864357</vt:i4>
      </vt:variant>
      <vt:variant>
        <vt:i4>30</vt:i4>
      </vt:variant>
      <vt:variant>
        <vt:i4>0</vt:i4>
      </vt:variant>
      <vt:variant>
        <vt:i4>5</vt:i4>
      </vt:variant>
      <vt:variant>
        <vt:lpwstr>http://elibrary.ferc.gov/idmws/search/fercgensearch.asp</vt:lpwstr>
      </vt:variant>
      <vt:variant>
        <vt:lpwstr/>
      </vt:variant>
      <vt:variant>
        <vt:i4>7864357</vt:i4>
      </vt:variant>
      <vt:variant>
        <vt:i4>27</vt:i4>
      </vt:variant>
      <vt:variant>
        <vt:i4>0</vt:i4>
      </vt:variant>
      <vt:variant>
        <vt:i4>5</vt:i4>
      </vt:variant>
      <vt:variant>
        <vt:lpwstr>http://elibrary.ferc.gov/idmws/search/fercgensearch.asp</vt:lpwstr>
      </vt:variant>
      <vt:variant>
        <vt:lpwstr/>
      </vt:variant>
      <vt:variant>
        <vt:i4>7864357</vt:i4>
      </vt:variant>
      <vt:variant>
        <vt:i4>24</vt:i4>
      </vt:variant>
      <vt:variant>
        <vt:i4>0</vt:i4>
      </vt:variant>
      <vt:variant>
        <vt:i4>5</vt:i4>
      </vt:variant>
      <vt:variant>
        <vt:lpwstr>http://elibrary.ferc.gov/idmws/search/fercgensearch.asp</vt:lpwstr>
      </vt:variant>
      <vt:variant>
        <vt:lpwstr/>
      </vt:variant>
      <vt:variant>
        <vt:i4>7864357</vt:i4>
      </vt:variant>
      <vt:variant>
        <vt:i4>21</vt:i4>
      </vt:variant>
      <vt:variant>
        <vt:i4>0</vt:i4>
      </vt:variant>
      <vt:variant>
        <vt:i4>5</vt:i4>
      </vt:variant>
      <vt:variant>
        <vt:lpwstr>http://elibrary.ferc.gov/idmws/search/fercgensearch.asp</vt:lpwstr>
      </vt:variant>
      <vt:variant>
        <vt:lpwstr/>
      </vt:variant>
      <vt:variant>
        <vt:i4>7864357</vt:i4>
      </vt:variant>
      <vt:variant>
        <vt:i4>18</vt:i4>
      </vt:variant>
      <vt:variant>
        <vt:i4>0</vt:i4>
      </vt:variant>
      <vt:variant>
        <vt:i4>5</vt:i4>
      </vt:variant>
      <vt:variant>
        <vt:lpwstr>http://elibrary.ferc.gov/idmws/search/fercgensearch.asp</vt:lpwstr>
      </vt:variant>
      <vt:variant>
        <vt:lpwstr/>
      </vt:variant>
      <vt:variant>
        <vt:i4>5570586</vt:i4>
      </vt:variant>
      <vt:variant>
        <vt:i4>15</vt:i4>
      </vt:variant>
      <vt:variant>
        <vt:i4>0</vt:i4>
      </vt:variant>
      <vt:variant>
        <vt:i4>5</vt:i4>
      </vt:variant>
      <vt:variant>
        <vt:lpwstr>http://www.ferc.gov/docs-filing/forms/form-1/data.asp</vt:lpwstr>
      </vt:variant>
      <vt:variant>
        <vt:lpwstr/>
      </vt:variant>
      <vt:variant>
        <vt:i4>917513</vt:i4>
      </vt:variant>
      <vt:variant>
        <vt:i4>12</vt:i4>
      </vt:variant>
      <vt:variant>
        <vt:i4>0</vt:i4>
      </vt:variant>
      <vt:variant>
        <vt:i4>5</vt:i4>
      </vt:variant>
      <vt:variant>
        <vt:lpwstr>http://www.oe.netl.doe.gov/oe417.aspx</vt:lpwstr>
      </vt:variant>
      <vt:variant>
        <vt:lpwstr/>
      </vt:variant>
      <vt:variant>
        <vt:i4>7929934</vt:i4>
      </vt:variant>
      <vt:variant>
        <vt:i4>9</vt:i4>
      </vt:variant>
      <vt:variant>
        <vt:i4>0</vt:i4>
      </vt:variant>
      <vt:variant>
        <vt:i4>5</vt:i4>
      </vt:variant>
      <vt:variant>
        <vt:lpwstr>mailto:psuggs@eei.org</vt:lpwstr>
      </vt:variant>
      <vt:variant>
        <vt:lpwstr/>
      </vt:variant>
      <vt:variant>
        <vt:i4>917548</vt:i4>
      </vt:variant>
      <vt:variant>
        <vt:i4>6</vt:i4>
      </vt:variant>
      <vt:variant>
        <vt:i4>0</vt:i4>
      </vt:variant>
      <vt:variant>
        <vt:i4>5</vt:i4>
      </vt:variant>
      <vt:variant>
        <vt:lpwstr>mailto:cbielksi@eei.org</vt:lpwstr>
      </vt:variant>
      <vt:variant>
        <vt:lpwstr/>
      </vt:variant>
      <vt:variant>
        <vt:i4>4784201</vt:i4>
      </vt:variant>
      <vt:variant>
        <vt:i4>3</vt:i4>
      </vt:variant>
      <vt:variant>
        <vt:i4>0</vt:i4>
      </vt:variant>
      <vt:variant>
        <vt:i4>5</vt:i4>
      </vt:variant>
      <vt:variant>
        <vt:lpwstr>http://www.appa.org/</vt:lpwstr>
      </vt:variant>
      <vt:variant>
        <vt:lpwstr/>
      </vt:variant>
      <vt:variant>
        <vt:i4>852063</vt:i4>
      </vt:variant>
      <vt:variant>
        <vt:i4>0</vt:i4>
      </vt:variant>
      <vt:variant>
        <vt:i4>0</vt:i4>
      </vt:variant>
      <vt:variant>
        <vt:i4>5</vt:i4>
      </vt:variant>
      <vt:variant>
        <vt:lpwstr>http://www.eia.gov/forecasts/aeo/er/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Part A, Forms EIA-861, EIA-861S, EIA-923</dc:title>
  <dc:subject>OMB Clearance with Changes</dc:subject>
  <dc:creator>Kaplan, Stan</dc:creator>
  <dc:description>SDT and Forms Clearance Officer review, completed 07/18/12, of Program Office 07/15/12 version which revised the 07/13/12 version that was also reviewed by SDT and also EIA's Confidentiality Officer.</dc:description>
  <cp:lastModifiedBy>EP4</cp:lastModifiedBy>
  <cp:revision>2</cp:revision>
  <cp:lastPrinted>2012-10-17T12:24:00Z</cp:lastPrinted>
  <dcterms:created xsi:type="dcterms:W3CDTF">2012-12-20T19:59:00Z</dcterms:created>
  <dcterms:modified xsi:type="dcterms:W3CDTF">2012-12-20T19:59:00Z</dcterms:modified>
</cp:coreProperties>
</file>