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2F" w:rsidRDefault="00CB012F">
      <w:pPr>
        <w:pStyle w:val="Title"/>
      </w:pPr>
      <w:r>
        <w:t>SUPPORTING STATEMENT</w:t>
      </w:r>
    </w:p>
    <w:p w:rsidR="00CB012F" w:rsidRDefault="00CB012F">
      <w:pPr>
        <w:pStyle w:val="Heading1"/>
        <w:rPr>
          <w:rFonts w:ascii="Arial" w:hAnsi="Arial" w:cs="Arial"/>
          <w:sz w:val="24"/>
        </w:rPr>
      </w:pPr>
    </w:p>
    <w:p w:rsidR="00CB012F" w:rsidRDefault="00CB012F">
      <w:pPr>
        <w:pStyle w:val="Heading1"/>
        <w:rPr>
          <w:rFonts w:ascii="Arial" w:hAnsi="Arial" w:cs="Arial"/>
          <w:sz w:val="24"/>
        </w:rPr>
      </w:pPr>
      <w:r>
        <w:rPr>
          <w:rFonts w:ascii="Arial" w:hAnsi="Arial" w:cs="Arial"/>
          <w:sz w:val="24"/>
        </w:rPr>
        <w:t>Arrival and Departure Record</w:t>
      </w:r>
    </w:p>
    <w:p w:rsidR="00CB012F" w:rsidRDefault="00CB012F">
      <w:pPr>
        <w:jc w:val="center"/>
        <w:rPr>
          <w:rFonts w:ascii="Arial" w:hAnsi="Arial" w:cs="Arial"/>
          <w:b/>
          <w:sz w:val="24"/>
        </w:rPr>
      </w:pPr>
      <w:r>
        <w:rPr>
          <w:rFonts w:ascii="Arial" w:hAnsi="Arial" w:cs="Arial"/>
          <w:b/>
          <w:sz w:val="24"/>
        </w:rPr>
        <w:t>(Forms I-94, I-94W)</w:t>
      </w:r>
    </w:p>
    <w:p w:rsidR="00CB012F" w:rsidRDefault="00CB012F">
      <w:pPr>
        <w:jc w:val="center"/>
        <w:rPr>
          <w:rFonts w:ascii="Arial" w:hAnsi="Arial" w:cs="Arial"/>
          <w:b/>
          <w:sz w:val="24"/>
        </w:rPr>
      </w:pPr>
      <w:r>
        <w:rPr>
          <w:rFonts w:ascii="Arial" w:hAnsi="Arial" w:cs="Arial"/>
          <w:b/>
          <w:sz w:val="24"/>
        </w:rPr>
        <w:t>and</w:t>
      </w:r>
    </w:p>
    <w:p w:rsidR="00CB012F" w:rsidRDefault="00CB012F">
      <w:pPr>
        <w:jc w:val="center"/>
        <w:rPr>
          <w:rFonts w:ascii="Arial" w:hAnsi="Arial" w:cs="Arial"/>
          <w:b/>
          <w:sz w:val="24"/>
        </w:rPr>
      </w:pPr>
      <w:r>
        <w:rPr>
          <w:rFonts w:ascii="Arial" w:hAnsi="Arial" w:cs="Arial"/>
          <w:b/>
          <w:sz w:val="24"/>
        </w:rPr>
        <w:t>Electronic System for Travel Authorization-ESTA</w:t>
      </w:r>
    </w:p>
    <w:p w:rsidR="00CB012F" w:rsidRDefault="00CB012F">
      <w:pPr>
        <w:jc w:val="center"/>
        <w:rPr>
          <w:rFonts w:ascii="Arial" w:hAnsi="Arial" w:cs="Arial"/>
          <w:b/>
          <w:sz w:val="24"/>
        </w:rPr>
      </w:pPr>
      <w:r>
        <w:rPr>
          <w:rFonts w:ascii="Arial" w:hAnsi="Arial" w:cs="Arial"/>
          <w:b/>
          <w:sz w:val="24"/>
        </w:rPr>
        <w:t>OMB No. 1651-0111</w:t>
      </w:r>
    </w:p>
    <w:p w:rsidR="00CB012F" w:rsidRDefault="00CB012F">
      <w:pPr>
        <w:jc w:val="both"/>
        <w:rPr>
          <w:rFonts w:ascii="Arial" w:hAnsi="Arial" w:cs="Arial"/>
          <w:b/>
          <w:sz w:val="24"/>
        </w:rPr>
      </w:pPr>
    </w:p>
    <w:p w:rsidR="00CB012F" w:rsidRPr="003C627E" w:rsidRDefault="00CB012F"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CB012F" w:rsidRPr="003C627E" w:rsidRDefault="00CB012F" w:rsidP="003C627E">
      <w:pPr>
        <w:rPr>
          <w:rFonts w:ascii="Arial" w:hAnsi="Arial" w:cs="Arial"/>
          <w:sz w:val="24"/>
          <w:szCs w:val="24"/>
        </w:rPr>
      </w:pPr>
    </w:p>
    <w:p w:rsidR="00CB012F" w:rsidRPr="003C627E" w:rsidRDefault="00CB012F"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statue and regulation mandating or authorizing the collection of information.</w:t>
      </w:r>
    </w:p>
    <w:p w:rsidR="00CB012F" w:rsidRDefault="00CB012F" w:rsidP="003C627E">
      <w:pPr>
        <w:tabs>
          <w:tab w:val="left" w:pos="-1440"/>
        </w:tabs>
        <w:ind w:left="720" w:hanging="720"/>
        <w:rPr>
          <w:rFonts w:ascii="Arial" w:hAnsi="Arial" w:cs="Arial"/>
          <w:sz w:val="24"/>
          <w:szCs w:val="24"/>
        </w:rPr>
      </w:pPr>
    </w:p>
    <w:p w:rsidR="00CB012F" w:rsidRDefault="00CB012F" w:rsidP="00230C9E">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and are required to be prepared by aliens while en route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presented upon arrival at a sea or air port of entry within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w:t>
      </w:r>
      <w:smartTag w:uri="urn:schemas-microsoft-com:office:smarttags" w:element="country-region">
        <w:r w:rsidRPr="00C31E16">
          <w:rPr>
            <w:rFonts w:ascii="Arial" w:hAnsi="Arial" w:cs="Arial"/>
            <w:sz w:val="24"/>
            <w:szCs w:val="24"/>
          </w:rPr>
          <w:t>U.S.</w:t>
        </w:r>
      </w:smartTag>
      <w:r w:rsidRPr="00C31E16">
        <w:rPr>
          <w:rFonts w:ascii="Arial" w:hAnsi="Arial" w:cs="Arial"/>
          <w:sz w:val="24"/>
          <w:szCs w:val="24"/>
        </w:rPr>
        <w:t xml:space="preserve"> citizens, lawful permanent resident aliens of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aliens seeking to immigrate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w:t>
      </w:r>
    </w:p>
    <w:p w:rsidR="00CB012F" w:rsidRDefault="00CB012F" w:rsidP="00230C9E">
      <w:pPr>
        <w:ind w:left="720"/>
        <w:rPr>
          <w:rFonts w:ascii="Arial" w:hAnsi="Arial" w:cs="Arial"/>
          <w:sz w:val="24"/>
          <w:szCs w:val="24"/>
        </w:rPr>
      </w:pPr>
    </w:p>
    <w:p w:rsidR="00CB012F" w:rsidRDefault="00CB012F" w:rsidP="00230C9E">
      <w:pPr>
        <w:ind w:left="720"/>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CBP Form I-94W, as a condition of admission pursuant to 8 C.F.R. § 217.2(b)(1). However, so long as these travelers are traveling in the air or sea environment and have a travel authorization obtained through the Electronic System for Travel Authorization (ESTA), they may forgo completing the paper form I-94W form. ESTA is not available for VWP travelers at land border crossings, though it should be noted that the overwhelming majority of VWP travelers (approximately 99 percent) arrive into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in the air environment.  </w:t>
      </w:r>
    </w:p>
    <w:p w:rsidR="00CB012F" w:rsidRDefault="00CB012F" w:rsidP="00230C9E">
      <w:pPr>
        <w:ind w:left="720"/>
        <w:rPr>
          <w:rFonts w:ascii="Arial" w:hAnsi="Arial" w:cs="Arial"/>
          <w:sz w:val="24"/>
          <w:szCs w:val="24"/>
        </w:rPr>
      </w:pPr>
    </w:p>
    <w:p w:rsidR="00CB012F" w:rsidRDefault="00CB012F" w:rsidP="00230C9E">
      <w:pPr>
        <w:ind w:left="720"/>
        <w:rPr>
          <w:rFonts w:ascii="Arial" w:hAnsi="Arial" w:cs="Arial"/>
          <w:sz w:val="24"/>
          <w:szCs w:val="24"/>
        </w:rPr>
      </w:pPr>
      <w:r>
        <w:rPr>
          <w:rFonts w:ascii="Arial" w:hAnsi="Arial" w:cs="Arial"/>
          <w:sz w:val="24"/>
          <w:szCs w:val="24"/>
        </w:rPr>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rFonts w:ascii="Arial" w:hAnsi="Arial" w:cs="Arial"/>
          <w:sz w:val="24"/>
          <w:szCs w:val="24"/>
        </w:rPr>
        <w:t xml:space="preserve"> </w:t>
      </w:r>
    </w:p>
    <w:p w:rsidR="00CB012F" w:rsidRDefault="00CB012F" w:rsidP="00230C9E">
      <w:pPr>
        <w:ind w:left="720"/>
        <w:rPr>
          <w:rFonts w:ascii="Arial" w:hAnsi="Arial" w:cs="Arial"/>
          <w:sz w:val="24"/>
          <w:szCs w:val="24"/>
        </w:rPr>
      </w:pPr>
    </w:p>
    <w:p w:rsidR="00CB012F" w:rsidRDefault="00CB012F" w:rsidP="00290C6F">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at all airports and large seaports, rather than collecting the paper I-94W from travelers as they undergo the admission process. Very few passengers will continue filling out CBP Form I-94W, but it cannot be eliminated completely at this time. As noted previously, ESTA is not available in the land environment. Additionally, travelers will occasionally have to complete an I-94W if there is an outage either at the port or with ESTA. </w:t>
      </w:r>
    </w:p>
    <w:p w:rsidR="00CB012F" w:rsidRDefault="00CB012F" w:rsidP="00290C6F">
      <w:pPr>
        <w:ind w:left="720"/>
        <w:rPr>
          <w:rFonts w:ascii="Arial" w:hAnsi="Arial" w:cs="Arial"/>
          <w:sz w:val="24"/>
          <w:szCs w:val="24"/>
        </w:rPr>
      </w:pPr>
    </w:p>
    <w:p w:rsidR="00CB012F" w:rsidRDefault="00CB012F" w:rsidP="00290C6F">
      <w:pPr>
        <w:ind w:left="720"/>
        <w:rPr>
          <w:rFonts w:ascii="Arial" w:hAnsi="Arial" w:cs="Arial"/>
          <w:sz w:val="24"/>
          <w:szCs w:val="24"/>
        </w:rPr>
      </w:pPr>
      <w:r w:rsidRPr="00254D4F">
        <w:rPr>
          <w:rFonts w:ascii="Arial" w:hAnsi="Arial" w:cs="Arial"/>
          <w:sz w:val="24"/>
          <w:szCs w:val="24"/>
        </w:rPr>
        <w:t xml:space="preserve">In order to </w:t>
      </w:r>
      <w:r>
        <w:rPr>
          <w:rFonts w:ascii="Arial" w:hAnsi="Arial" w:cs="Arial"/>
          <w:sz w:val="24"/>
          <w:szCs w:val="24"/>
        </w:rPr>
        <w:t xml:space="preserve">expedite the </w:t>
      </w:r>
      <w:r w:rsidRPr="00254D4F">
        <w:rPr>
          <w:rFonts w:ascii="Arial" w:hAnsi="Arial" w:cs="Arial"/>
          <w:sz w:val="24"/>
          <w:szCs w:val="24"/>
        </w:rPr>
        <w:t>vetting process, reduce the number of potential mismatches for systems lookouts, and facilitate the travel of bona fide visitors</w:t>
      </w:r>
      <w:r>
        <w:rPr>
          <w:rFonts w:ascii="Arial" w:hAnsi="Arial" w:cs="Arial"/>
          <w:sz w:val="24"/>
          <w:szCs w:val="24"/>
        </w:rPr>
        <w:t>, CBP is proposing to add a data field for “Country of Birth” to ESTA and to CBP Form I-94W</w:t>
      </w:r>
      <w:r w:rsidRPr="00254D4F">
        <w:rPr>
          <w:rFonts w:ascii="Arial" w:hAnsi="Arial" w:cs="Arial"/>
          <w:sz w:val="24"/>
          <w:szCs w:val="24"/>
        </w:rPr>
        <w:t>.</w:t>
      </w:r>
    </w:p>
    <w:p w:rsidR="00CB012F" w:rsidRDefault="00CB012F" w:rsidP="00290C6F">
      <w:pPr>
        <w:ind w:left="720"/>
        <w:rPr>
          <w:rFonts w:ascii="Arial" w:hAnsi="Arial" w:cs="Arial"/>
          <w:sz w:val="24"/>
          <w:szCs w:val="24"/>
        </w:rPr>
      </w:pPr>
    </w:p>
    <w:p w:rsidR="00CB012F" w:rsidRPr="00254D4F" w:rsidRDefault="00CB012F" w:rsidP="00290C6F">
      <w:pPr>
        <w:ind w:left="720"/>
        <w:rPr>
          <w:rFonts w:ascii="Arial" w:hAnsi="Arial" w:cs="Arial"/>
          <w:sz w:val="24"/>
          <w:szCs w:val="24"/>
        </w:rPr>
      </w:pPr>
      <w:r>
        <w:rPr>
          <w:rFonts w:ascii="Arial" w:hAnsi="Arial" w:cs="Arial"/>
          <w:sz w:val="24"/>
          <w:szCs w:val="24"/>
        </w:rPr>
        <w:t xml:space="preserve">DHS proposes to amend the ESTA information collection to reflect the addition of </w:t>
      </w:r>
      <w:smartTag w:uri="urn:schemas-microsoft-com:office:smarttags" w:element="place">
        <w:smartTag w:uri="urn:schemas-microsoft-com:office:smarttags" w:element="country-region">
          <w:r>
            <w:rPr>
              <w:rFonts w:ascii="Arial" w:hAnsi="Arial" w:cs="Arial"/>
              <w:sz w:val="24"/>
              <w:szCs w:val="24"/>
            </w:rPr>
            <w:t>Taiwan</w:t>
          </w:r>
        </w:smartTag>
      </w:smartTag>
      <w:r>
        <w:rPr>
          <w:rFonts w:ascii="Arial" w:hAnsi="Arial" w:cs="Arial"/>
          <w:sz w:val="24"/>
          <w:szCs w:val="24"/>
        </w:rPr>
        <w:t xml:space="preserve"> to the Visa Waiver Program.</w:t>
      </w:r>
    </w:p>
    <w:p w:rsidR="00CB012F" w:rsidRDefault="00CB012F" w:rsidP="00F6351B">
      <w:pPr>
        <w:rPr>
          <w:rFonts w:ascii="Arial" w:hAnsi="Arial" w:cs="Arial"/>
          <w:b/>
          <w:bCs/>
          <w:sz w:val="24"/>
          <w:szCs w:val="24"/>
        </w:rPr>
      </w:pPr>
    </w:p>
    <w:p w:rsidR="00CB012F" w:rsidRPr="00CF3DC6" w:rsidRDefault="00CB012F"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CB012F" w:rsidRPr="00CF3DC6" w:rsidRDefault="00CB012F" w:rsidP="003C627E">
      <w:pPr>
        <w:jc w:val="both"/>
        <w:rPr>
          <w:rFonts w:ascii="Arial" w:hAnsi="Arial" w:cs="Arial"/>
          <w:sz w:val="24"/>
          <w:szCs w:val="24"/>
        </w:rPr>
      </w:pPr>
    </w:p>
    <w:p w:rsidR="00CB012F" w:rsidRDefault="00CB012F" w:rsidP="00F6351B">
      <w:pPr>
        <w:ind w:left="720"/>
        <w:rPr>
          <w:rFonts w:ascii="Arial" w:hAnsi="Arial" w:cs="Arial"/>
          <w:sz w:val="24"/>
          <w:szCs w:val="24"/>
        </w:rPr>
      </w:pPr>
      <w:r w:rsidRPr="00C31E16">
        <w:rPr>
          <w:rFonts w:ascii="Arial" w:hAnsi="Arial" w:cs="Arial"/>
          <w:sz w:val="24"/>
          <w:szCs w:val="24"/>
        </w:rPr>
        <w:t xml:space="preserve">The data collected on </w:t>
      </w:r>
      <w:r>
        <w:rPr>
          <w:rFonts w:ascii="Arial" w:hAnsi="Arial" w:cs="Arial"/>
          <w:sz w:val="24"/>
          <w:szCs w:val="24"/>
        </w:rPr>
        <w:t xml:space="preserve">CBP </w:t>
      </w:r>
      <w:r w:rsidRPr="00C31E16">
        <w:rPr>
          <w:rFonts w:ascii="Arial" w:hAnsi="Arial" w:cs="Arial"/>
          <w:sz w:val="24"/>
          <w:szCs w:val="24"/>
        </w:rPr>
        <w:t xml:space="preserve">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w:t>
      </w:r>
      <w:smartTag w:uri="urn:schemas-microsoft-com:office:smarttags" w:element="country-region">
        <w:r w:rsidRPr="00C31E16">
          <w:rPr>
            <w:rFonts w:ascii="Arial" w:hAnsi="Arial" w:cs="Arial"/>
            <w:sz w:val="24"/>
            <w:szCs w:val="24"/>
          </w:rPr>
          <w:t>United States</w:t>
        </w:r>
      </w:smartTag>
      <w:r>
        <w:rPr>
          <w:rFonts w:ascii="Arial" w:hAnsi="Arial" w:cs="Arial"/>
          <w:sz w:val="24"/>
          <w:szCs w:val="24"/>
        </w:rPr>
        <w:t>. Specifically, the information collected is used to</w:t>
      </w:r>
      <w:r w:rsidRPr="00C31E16">
        <w:rPr>
          <w:rFonts w:ascii="Arial" w:hAnsi="Arial" w:cs="Arial"/>
          <w:sz w:val="24"/>
          <w:szCs w:val="24"/>
        </w:rPr>
        <w:t xml:space="preserve"> </w:t>
      </w:r>
      <w:r>
        <w:rPr>
          <w:rFonts w:ascii="Arial" w:hAnsi="Arial" w:cs="Arial"/>
          <w:sz w:val="24"/>
          <w:szCs w:val="24"/>
        </w:rPr>
        <w:t>assess potent</w:t>
      </w:r>
      <w:r w:rsidRPr="00C31E16">
        <w:rPr>
          <w:rFonts w:ascii="Arial" w:hAnsi="Arial" w:cs="Arial"/>
          <w:sz w:val="24"/>
          <w:szCs w:val="24"/>
        </w:rPr>
        <w:t>ial law enforcement and national security risk</w:t>
      </w:r>
      <w:r>
        <w:rPr>
          <w:rFonts w:ascii="Arial" w:hAnsi="Arial" w:cs="Arial"/>
          <w:sz w:val="24"/>
          <w:szCs w:val="24"/>
        </w:rPr>
        <w:t>s</w:t>
      </w:r>
      <w:r w:rsidRPr="00C31E16">
        <w:rPr>
          <w:rFonts w:ascii="Arial" w:hAnsi="Arial" w:cs="Arial"/>
          <w:sz w:val="24"/>
          <w:szCs w:val="24"/>
        </w:rPr>
        <w:t xml:space="preserve">, </w:t>
      </w:r>
      <w:r>
        <w:rPr>
          <w:rFonts w:ascii="Arial" w:hAnsi="Arial" w:cs="Arial"/>
          <w:sz w:val="24"/>
          <w:szCs w:val="24"/>
        </w:rPr>
        <w:t xml:space="preserve">and </w:t>
      </w:r>
      <w:r w:rsidRPr="00C31E16">
        <w:rPr>
          <w:rFonts w:ascii="Arial" w:hAnsi="Arial" w:cs="Arial"/>
          <w:sz w:val="24"/>
          <w:szCs w:val="24"/>
        </w:rPr>
        <w:t>the timely and accurate capture of</w:t>
      </w:r>
      <w:r>
        <w:rPr>
          <w:rFonts w:ascii="Arial" w:hAnsi="Arial" w:cs="Arial"/>
          <w:sz w:val="24"/>
          <w:szCs w:val="24"/>
        </w:rPr>
        <w:t xml:space="preserve"> </w:t>
      </w:r>
      <w:r w:rsidRPr="00C31E16">
        <w:rPr>
          <w:rFonts w:ascii="Arial" w:hAnsi="Arial" w:cs="Arial"/>
          <w:sz w:val="24"/>
          <w:szCs w:val="24"/>
        </w:rPr>
        <w:t xml:space="preserve">data that enables matching of alien arrival and departure records that are necessary to monitor alien compliance with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law</w:t>
      </w:r>
      <w:r>
        <w:rPr>
          <w:rFonts w:ascii="Arial" w:hAnsi="Arial" w:cs="Arial"/>
          <w:sz w:val="24"/>
          <w:szCs w:val="24"/>
        </w:rPr>
        <w:t>.</w:t>
      </w:r>
      <w:r w:rsidRPr="00C31E16">
        <w:rPr>
          <w:rFonts w:ascii="Arial" w:hAnsi="Arial" w:cs="Arial"/>
          <w:sz w:val="24"/>
          <w:szCs w:val="24"/>
        </w:rPr>
        <w:t xml:space="preserve"> </w:t>
      </w:r>
    </w:p>
    <w:p w:rsidR="00CB012F" w:rsidRDefault="00CB012F" w:rsidP="00F6351B">
      <w:pPr>
        <w:ind w:left="720"/>
        <w:rPr>
          <w:rFonts w:ascii="Arial" w:hAnsi="Arial" w:cs="Arial"/>
          <w:sz w:val="24"/>
          <w:szCs w:val="24"/>
        </w:rPr>
      </w:pPr>
    </w:p>
    <w:p w:rsidR="00CB012F" w:rsidRPr="00CF3DC6" w:rsidRDefault="00CB012F" w:rsidP="00F6351B">
      <w:pPr>
        <w:ind w:left="720"/>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As the rationale for mandating the implementation of ESTA, Congress noted that VWP travelers are not subject to the same degree of screening as those travelers who must first obtain a visa before departing for the </w:t>
      </w:r>
      <w:smartTag w:uri="urn:schemas-microsoft-com:office:smarttags" w:element="country-region">
        <w:r w:rsidRPr="00C31E16">
          <w:rPr>
            <w:rFonts w:ascii="Arial" w:hAnsi="Arial" w:cs="Arial"/>
            <w:sz w:val="24"/>
            <w:szCs w:val="24"/>
          </w:rPr>
          <w:t>United States</w:t>
        </w:r>
      </w:smartTag>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the scrutiny of the visa issuance process or circumvent immigration laws may attempt to enter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under the VWP.</w:t>
      </w:r>
    </w:p>
    <w:p w:rsidR="00CB012F" w:rsidRPr="00CF3DC6" w:rsidRDefault="00CB012F" w:rsidP="001709A5">
      <w:pPr>
        <w:pStyle w:val="BodyTextIndent"/>
        <w:tabs>
          <w:tab w:val="left" w:pos="720"/>
        </w:tabs>
        <w:ind w:firstLine="0"/>
        <w:rPr>
          <w:rFonts w:cs="Arial"/>
          <w:szCs w:val="24"/>
        </w:rPr>
      </w:pPr>
      <w:r w:rsidRPr="00CF3DC6">
        <w:rPr>
          <w:rFonts w:cs="Arial"/>
          <w:szCs w:val="24"/>
        </w:rPr>
        <w:tab/>
      </w:r>
    </w:p>
    <w:p w:rsidR="00CB012F" w:rsidRPr="00CF3DC6" w:rsidRDefault="00CB012F"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CB012F" w:rsidRDefault="00CB012F" w:rsidP="008D30EB">
      <w:pPr>
        <w:rPr>
          <w:rFonts w:ascii="Arial" w:hAnsi="Arial" w:cs="Arial"/>
          <w:sz w:val="24"/>
          <w:szCs w:val="24"/>
        </w:rPr>
      </w:pPr>
      <w:r w:rsidRPr="00CF3DC6">
        <w:rPr>
          <w:rFonts w:ascii="Arial" w:hAnsi="Arial" w:cs="Arial"/>
          <w:sz w:val="24"/>
          <w:szCs w:val="24"/>
        </w:rPr>
        <w:tab/>
      </w:r>
    </w:p>
    <w:p w:rsidR="00CB012F" w:rsidRDefault="00CB012F" w:rsidP="00E764AD">
      <w:pPr>
        <w:ind w:left="720"/>
        <w:rPr>
          <w:rFonts w:ascii="Arial" w:hAnsi="Arial" w:cs="Arial"/>
          <w:sz w:val="24"/>
          <w:szCs w:val="24"/>
        </w:rPr>
      </w:pPr>
      <w:r w:rsidRPr="00C31E16">
        <w:rPr>
          <w:rFonts w:ascii="Arial" w:hAnsi="Arial" w:cs="Arial"/>
          <w:sz w:val="24"/>
          <w:szCs w:val="24"/>
        </w:rPr>
        <w:t xml:space="preserve">Forms I-94 and I-94W are paper documents prepared by most aliens traveling to the </w:t>
      </w:r>
      <w:smartTag w:uri="urn:schemas-microsoft-com:office:smarttags" w:element="country-region">
        <w:r w:rsidRPr="00C31E16">
          <w:rPr>
            <w:rFonts w:ascii="Arial" w:hAnsi="Arial" w:cs="Arial"/>
            <w:sz w:val="24"/>
            <w:szCs w:val="24"/>
          </w:rPr>
          <w:t>United States</w:t>
        </w:r>
      </w:smartTag>
      <w:r>
        <w:rPr>
          <w:rFonts w:ascii="Arial" w:hAnsi="Arial" w:cs="Arial"/>
          <w:sz w:val="24"/>
          <w:szCs w:val="24"/>
        </w:rPr>
        <w:t xml:space="preserve"> (though now most VWP travelers will forgo completing the I-94W) that are filled out on conveyances or at the land border</w:t>
      </w:r>
      <w:r w:rsidRPr="00C31E16">
        <w:rPr>
          <w:rFonts w:ascii="Arial" w:hAnsi="Arial" w:cs="Arial"/>
          <w:sz w:val="24"/>
          <w:szCs w:val="24"/>
        </w:rPr>
        <w:t>.</w:t>
      </w:r>
      <w:r>
        <w:rPr>
          <w:rFonts w:ascii="Arial" w:hAnsi="Arial" w:cs="Arial"/>
          <w:sz w:val="24"/>
          <w:szCs w:val="24"/>
        </w:rPr>
        <w:t xml:space="preserve">  Information about these forms can be found at: </w:t>
      </w:r>
    </w:p>
    <w:p w:rsidR="00CB012F" w:rsidRPr="00290C6F" w:rsidRDefault="00CB012F" w:rsidP="00290C6F">
      <w:pPr>
        <w:tabs>
          <w:tab w:val="left" w:pos="270"/>
        </w:tabs>
        <w:rPr>
          <w:rFonts w:ascii="Arial" w:hAnsi="Arial" w:cs="Arial"/>
        </w:rPr>
      </w:pPr>
      <w:r>
        <w:rPr>
          <w:rFonts w:ascii="Arial" w:hAnsi="Arial" w:cs="Arial"/>
        </w:rPr>
        <w:tab/>
      </w:r>
      <w:r>
        <w:rPr>
          <w:rFonts w:ascii="Arial" w:hAnsi="Arial" w:cs="Arial"/>
        </w:rPr>
        <w:tab/>
      </w:r>
      <w:hyperlink r:id="rId7" w:history="1">
        <w:r w:rsidRPr="00290C6F">
          <w:rPr>
            <w:rStyle w:val="Hyperlink"/>
            <w:rFonts w:ascii="Arial" w:hAnsi="Arial" w:cs="Arial"/>
          </w:rPr>
          <w:t>http://www.cbp.gov/xp/cgov/travel/id_visa/i-94_instructions/filling_out_i94.xml</w:t>
        </w:r>
      </w:hyperlink>
      <w:r w:rsidRPr="00290C6F">
        <w:rPr>
          <w:rFonts w:ascii="Arial" w:hAnsi="Arial" w:cs="Arial"/>
        </w:rPr>
        <w:t xml:space="preserve"> and </w:t>
      </w:r>
    </w:p>
    <w:p w:rsidR="00CB012F" w:rsidRDefault="00CB012F" w:rsidP="00290C6F">
      <w:pPr>
        <w:tabs>
          <w:tab w:val="left" w:pos="270"/>
        </w:tabs>
        <w:rPr>
          <w:rFonts w:ascii="Arial" w:hAnsi="Arial" w:cs="Arial"/>
        </w:rPr>
      </w:pPr>
      <w:r w:rsidRPr="00290C6F">
        <w:rPr>
          <w:rFonts w:ascii="Arial" w:hAnsi="Arial" w:cs="Arial"/>
        </w:rPr>
        <w:t xml:space="preserve"> </w:t>
      </w:r>
      <w:r>
        <w:rPr>
          <w:rFonts w:ascii="Arial" w:hAnsi="Arial" w:cs="Arial"/>
        </w:rPr>
        <w:tab/>
      </w:r>
      <w:r>
        <w:rPr>
          <w:rFonts w:ascii="Arial" w:hAnsi="Arial" w:cs="Arial"/>
        </w:rPr>
        <w:tab/>
      </w:r>
      <w:hyperlink r:id="rId8" w:history="1">
        <w:r w:rsidRPr="00290C6F">
          <w:rPr>
            <w:rStyle w:val="Hyperlink"/>
            <w:rFonts w:ascii="Arial" w:hAnsi="Arial" w:cs="Arial"/>
          </w:rPr>
          <w:t>http://www.cbp.gov/xp/cgov/travel/id_visa/business_pleasure/vwp/i94_samples.xml</w:t>
        </w:r>
      </w:hyperlink>
      <w:r>
        <w:rPr>
          <w:rFonts w:ascii="Arial" w:hAnsi="Arial" w:cs="Arial"/>
        </w:rPr>
        <w:t xml:space="preserve">  </w:t>
      </w:r>
    </w:p>
    <w:p w:rsidR="00CB012F" w:rsidRDefault="00CB012F" w:rsidP="000B413F">
      <w:pPr>
        <w:ind w:left="720"/>
        <w:rPr>
          <w:rFonts w:ascii="Arial" w:hAnsi="Arial" w:cs="Arial"/>
          <w:sz w:val="24"/>
          <w:szCs w:val="24"/>
        </w:rPr>
      </w:pPr>
    </w:p>
    <w:p w:rsidR="00CB012F" w:rsidRDefault="00CB012F" w:rsidP="00EC69D0">
      <w:pPr>
        <w:tabs>
          <w:tab w:val="left" w:pos="-270"/>
          <w:tab w:val="left" w:pos="270"/>
        </w:tabs>
        <w:ind w:left="720"/>
        <w:rPr>
          <w:rFonts w:cs="Arial"/>
          <w:szCs w:val="24"/>
        </w:rPr>
      </w:pPr>
      <w:r w:rsidRPr="00C31E16">
        <w:rPr>
          <w:rFonts w:ascii="Arial" w:hAnsi="Arial" w:cs="Arial"/>
          <w:sz w:val="24"/>
          <w:szCs w:val="24"/>
        </w:rPr>
        <w:t xml:space="preserve">ESTA is a </w:t>
      </w:r>
      <w:r>
        <w:rPr>
          <w:rFonts w:ascii="Arial" w:hAnsi="Arial" w:cs="Arial"/>
          <w:sz w:val="24"/>
          <w:szCs w:val="24"/>
        </w:rPr>
        <w:t>web</w:t>
      </w:r>
      <w:r w:rsidRPr="00C31E16">
        <w:rPr>
          <w:rFonts w:ascii="Arial" w:hAnsi="Arial" w:cs="Arial"/>
          <w:sz w:val="24"/>
          <w:szCs w:val="24"/>
        </w:rPr>
        <w:t xml:space="preserve">-based system that enables VWP travelers to electronically enter applications for authorization to travel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via the VWP.</w:t>
      </w:r>
      <w:r>
        <w:rPr>
          <w:rFonts w:ascii="Arial" w:hAnsi="Arial" w:cs="Arial"/>
          <w:sz w:val="24"/>
          <w:szCs w:val="24"/>
        </w:rPr>
        <w:t xml:space="preserve">  ESTA can be accessed at </w:t>
      </w:r>
      <w:hyperlink r:id="rId9" w:history="1">
        <w:r w:rsidRPr="00E764AD">
          <w:rPr>
            <w:rStyle w:val="Hyperlink"/>
            <w:rFonts w:ascii="Arial" w:hAnsi="Arial" w:cs="Arial"/>
          </w:rPr>
          <w:t>http://www.cbp.gov/xp/cgov/travel/id_visa/esta/</w:t>
        </w:r>
      </w:hyperlink>
      <w:r>
        <w:t xml:space="preserve"> </w:t>
      </w:r>
      <w:r>
        <w:rPr>
          <w:rFonts w:ascii="Arial" w:hAnsi="Arial" w:cs="Arial"/>
          <w:sz w:val="24"/>
          <w:szCs w:val="24"/>
        </w:rPr>
        <w:t xml:space="preserve">and samples of CBP Forms I-94 and I-94W can be found at </w:t>
      </w:r>
      <w:hyperlink r:id="rId10" w:history="1">
        <w:r w:rsidRPr="007810AE">
          <w:rPr>
            <w:rStyle w:val="Hyperlink"/>
            <w:rFonts w:cs="Arial"/>
            <w:szCs w:val="24"/>
          </w:rPr>
          <w:t>http://www.cbp.gov/linkhandler/cgov/toolbox/forms/arrival.ctt/arrival.pdf</w:t>
        </w:r>
      </w:hyperlink>
      <w:r>
        <w:rPr>
          <w:rFonts w:cs="Arial"/>
          <w:szCs w:val="24"/>
        </w:rPr>
        <w:t xml:space="preserve"> </w:t>
      </w:r>
      <w:r>
        <w:rPr>
          <w:rFonts w:ascii="Arial" w:hAnsi="Arial" w:cs="Arial"/>
          <w:sz w:val="24"/>
          <w:szCs w:val="24"/>
        </w:rPr>
        <w:t xml:space="preserve"> and </w:t>
      </w:r>
      <w:r>
        <w:rPr>
          <w:rFonts w:cs="Arial"/>
          <w:szCs w:val="24"/>
        </w:rPr>
        <w:t xml:space="preserve">  </w:t>
      </w:r>
      <w:hyperlink r:id="rId11" w:history="1">
        <w:r w:rsidRPr="007810AE">
          <w:rPr>
            <w:rStyle w:val="Hyperlink"/>
            <w:rFonts w:cs="Arial"/>
            <w:szCs w:val="24"/>
          </w:rPr>
          <w:t>http://www.cbp.gov/linkhandler/cgov/toolbox/forms/visa_waiver.ctt/visa_waiver.pdf</w:t>
        </w:r>
      </w:hyperlink>
    </w:p>
    <w:p w:rsidR="00CB012F" w:rsidRPr="00000619" w:rsidRDefault="00CB012F" w:rsidP="000B413F">
      <w:pPr>
        <w:ind w:left="720"/>
        <w:rPr>
          <w:rFonts w:ascii="Arial" w:hAnsi="Arial" w:cs="Arial"/>
          <w:sz w:val="24"/>
          <w:szCs w:val="24"/>
        </w:rPr>
      </w:pPr>
    </w:p>
    <w:p w:rsidR="00CB012F" w:rsidRPr="00CF3DC6" w:rsidRDefault="00CB012F" w:rsidP="003C627E">
      <w:pPr>
        <w:tabs>
          <w:tab w:val="left" w:pos="-1440"/>
        </w:tabs>
        <w:ind w:left="720" w:hanging="720"/>
        <w:rPr>
          <w:rFonts w:ascii="Arial" w:hAnsi="Arial" w:cs="Arial"/>
          <w:sz w:val="24"/>
          <w:szCs w:val="24"/>
        </w:rPr>
      </w:pPr>
      <w:r>
        <w:rPr>
          <w:rFonts w:ascii="Arial" w:hAnsi="Arial" w:cs="Arial"/>
          <w:sz w:val="24"/>
          <w:szCs w:val="24"/>
        </w:rPr>
        <w:t xml:space="preserve"> </w:t>
      </w:r>
    </w:p>
    <w:p w:rsidR="00CB012F" w:rsidRPr="00CF3DC6" w:rsidRDefault="00CB012F"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CB012F" w:rsidRPr="00CF3DC6" w:rsidRDefault="00CB012F" w:rsidP="003C627E">
      <w:pPr>
        <w:tabs>
          <w:tab w:val="left" w:pos="-1440"/>
        </w:tabs>
        <w:ind w:left="720" w:hanging="720"/>
        <w:rPr>
          <w:rFonts w:ascii="Arial" w:hAnsi="Arial" w:cs="Arial"/>
          <w:sz w:val="24"/>
          <w:szCs w:val="24"/>
        </w:rPr>
      </w:pPr>
    </w:p>
    <w:p w:rsidR="00CB012F" w:rsidRPr="00CF3DC6" w:rsidRDefault="00CB012F" w:rsidP="00F6351B">
      <w:pPr>
        <w:ind w:left="720"/>
        <w:rPr>
          <w:rFonts w:ascii="Arial" w:hAnsi="Arial" w:cs="Arial"/>
          <w:sz w:val="24"/>
          <w:szCs w:val="24"/>
        </w:rPr>
      </w:pPr>
      <w:r>
        <w:rPr>
          <w:rFonts w:ascii="Arial" w:hAnsi="Arial" w:cs="Arial"/>
          <w:sz w:val="24"/>
          <w:szCs w:val="24"/>
        </w:rPr>
        <w:t>CBP has</w:t>
      </w:r>
      <w:r w:rsidRPr="00E64E06">
        <w:rPr>
          <w:rFonts w:ascii="Arial" w:hAnsi="Arial" w:cs="Arial"/>
          <w:sz w:val="24"/>
          <w:szCs w:val="24"/>
        </w:rPr>
        <w:t xml:space="preserve"> implement</w:t>
      </w:r>
      <w:r>
        <w:rPr>
          <w:rFonts w:ascii="Arial" w:hAnsi="Arial" w:cs="Arial"/>
          <w:sz w:val="24"/>
          <w:szCs w:val="24"/>
        </w:rPr>
        <w:t>ed</w:t>
      </w:r>
      <w:r w:rsidRPr="00E64E06">
        <w:rPr>
          <w:rFonts w:ascii="Arial" w:hAnsi="Arial" w:cs="Arial"/>
          <w:sz w:val="24"/>
          <w:szCs w:val="24"/>
        </w:rPr>
        <w:t xml:space="preserve"> a multi-phase project </w:t>
      </w:r>
      <w:r>
        <w:rPr>
          <w:rFonts w:ascii="Arial" w:hAnsi="Arial" w:cs="Arial"/>
          <w:sz w:val="24"/>
          <w:szCs w:val="24"/>
        </w:rPr>
        <w:t xml:space="preserve">that resulted in </w:t>
      </w:r>
      <w:r w:rsidRPr="00E64E06">
        <w:rPr>
          <w:rFonts w:ascii="Arial" w:hAnsi="Arial" w:cs="Arial"/>
          <w:sz w:val="24"/>
          <w:szCs w:val="24"/>
        </w:rPr>
        <w:t>eliminat</w:t>
      </w:r>
      <w:r>
        <w:rPr>
          <w:rFonts w:ascii="Arial" w:hAnsi="Arial" w:cs="Arial"/>
          <w:sz w:val="24"/>
          <w:szCs w:val="24"/>
        </w:rPr>
        <w:t xml:space="preserve">ing </w:t>
      </w:r>
      <w:r w:rsidRPr="00E64E06">
        <w:rPr>
          <w:rFonts w:ascii="Arial" w:hAnsi="Arial" w:cs="Arial"/>
          <w:sz w:val="24"/>
          <w:szCs w:val="24"/>
        </w:rPr>
        <w:t xml:space="preserve">the </w:t>
      </w:r>
      <w:r>
        <w:rPr>
          <w:rFonts w:ascii="Arial" w:hAnsi="Arial" w:cs="Arial"/>
          <w:sz w:val="24"/>
          <w:szCs w:val="24"/>
        </w:rPr>
        <w:t xml:space="preserve">CBP Form </w:t>
      </w:r>
      <w:r w:rsidRPr="00E64E06">
        <w:rPr>
          <w:rFonts w:ascii="Arial" w:hAnsi="Arial" w:cs="Arial"/>
          <w:sz w:val="24"/>
          <w:szCs w:val="24"/>
        </w:rPr>
        <w:t>I-94W</w:t>
      </w:r>
      <w:r>
        <w:rPr>
          <w:rFonts w:ascii="Arial" w:hAnsi="Arial" w:cs="Arial"/>
          <w:sz w:val="24"/>
          <w:szCs w:val="24"/>
        </w:rPr>
        <w:t xml:space="preserve"> because</w:t>
      </w:r>
      <w:r w:rsidRPr="00E64E06">
        <w:rPr>
          <w:rFonts w:ascii="Arial" w:hAnsi="Arial" w:cs="Arial"/>
          <w:sz w:val="24"/>
          <w:szCs w:val="24"/>
        </w:rPr>
        <w:t xml:space="preserve"> much of the information on this form is also provided through ESTA prior to travel. The vast majority of</w:t>
      </w:r>
      <w:r>
        <w:rPr>
          <w:rFonts w:ascii="Arial" w:hAnsi="Arial" w:cs="Arial"/>
          <w:sz w:val="24"/>
          <w:szCs w:val="24"/>
        </w:rPr>
        <w:t xml:space="preserve"> these </w:t>
      </w:r>
      <w:r w:rsidRPr="00E64E06">
        <w:rPr>
          <w:rFonts w:ascii="Arial" w:hAnsi="Arial" w:cs="Arial"/>
          <w:sz w:val="24"/>
          <w:szCs w:val="24"/>
        </w:rPr>
        <w:t>forms</w:t>
      </w:r>
      <w:r>
        <w:rPr>
          <w:rFonts w:ascii="Arial" w:hAnsi="Arial" w:cs="Arial"/>
          <w:sz w:val="24"/>
          <w:szCs w:val="24"/>
        </w:rPr>
        <w:t xml:space="preserve"> have been</w:t>
      </w:r>
      <w:r w:rsidRPr="00E64E06">
        <w:rPr>
          <w:rFonts w:ascii="Arial" w:hAnsi="Arial" w:cs="Arial"/>
          <w:sz w:val="24"/>
          <w:szCs w:val="24"/>
        </w:rPr>
        <w:t xml:space="preserve"> eliminated </w:t>
      </w:r>
      <w:r>
        <w:rPr>
          <w:rFonts w:ascii="Arial" w:hAnsi="Arial" w:cs="Arial"/>
          <w:sz w:val="24"/>
          <w:szCs w:val="24"/>
        </w:rPr>
        <w:t xml:space="preserve">which </w:t>
      </w:r>
      <w:r w:rsidRPr="00E64E06">
        <w:rPr>
          <w:rFonts w:ascii="Arial" w:hAnsi="Arial" w:cs="Arial"/>
          <w:sz w:val="24"/>
          <w:szCs w:val="24"/>
        </w:rPr>
        <w:t>greatly reduce</w:t>
      </w:r>
      <w:r>
        <w:rPr>
          <w:rFonts w:ascii="Arial" w:hAnsi="Arial" w:cs="Arial"/>
          <w:sz w:val="24"/>
          <w:szCs w:val="24"/>
        </w:rPr>
        <w:t>d</w:t>
      </w:r>
      <w:r w:rsidRPr="00E64E06">
        <w:rPr>
          <w:rFonts w:ascii="Arial" w:hAnsi="Arial" w:cs="Arial"/>
          <w:sz w:val="24"/>
          <w:szCs w:val="24"/>
        </w:rPr>
        <w:t xml:space="preserve"> duplication of information collection.</w:t>
      </w:r>
      <w:r>
        <w:rPr>
          <w:rFonts w:ascii="Arial" w:hAnsi="Arial" w:cs="Arial"/>
          <w:sz w:val="24"/>
          <w:szCs w:val="24"/>
        </w:rPr>
        <w:t xml:space="preserve">  </w:t>
      </w:r>
    </w:p>
    <w:p w:rsidR="00CB012F" w:rsidRPr="00CF3DC6" w:rsidRDefault="00CB012F" w:rsidP="00983822">
      <w:pPr>
        <w:ind w:left="720"/>
        <w:jc w:val="both"/>
        <w:rPr>
          <w:rFonts w:ascii="Arial" w:hAnsi="Arial" w:cs="Arial"/>
          <w:color w:val="000000"/>
          <w:sz w:val="24"/>
          <w:szCs w:val="24"/>
        </w:rPr>
      </w:pPr>
    </w:p>
    <w:p w:rsidR="00CB012F" w:rsidRPr="00CF3DC6" w:rsidRDefault="00CB012F"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CB012F" w:rsidRPr="00CF3DC6" w:rsidRDefault="00CB012F" w:rsidP="003C627E">
      <w:pPr>
        <w:tabs>
          <w:tab w:val="left" w:pos="-1440"/>
        </w:tabs>
        <w:ind w:left="720" w:hanging="720"/>
        <w:rPr>
          <w:rFonts w:ascii="Arial" w:hAnsi="Arial" w:cs="Arial"/>
          <w:sz w:val="24"/>
          <w:szCs w:val="24"/>
        </w:rPr>
      </w:pPr>
    </w:p>
    <w:p w:rsidR="00CB012F" w:rsidRPr="00CF3DC6" w:rsidRDefault="00CB012F"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CB012F" w:rsidRPr="00CF3DC6" w:rsidRDefault="00CB012F"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CB012F" w:rsidRPr="00CF3DC6" w:rsidRDefault="00CB012F"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CB012F" w:rsidRPr="00CF3DC6" w:rsidRDefault="00CB012F" w:rsidP="003C627E">
      <w:pPr>
        <w:ind w:left="540"/>
        <w:rPr>
          <w:rFonts w:ascii="Arial" w:hAnsi="Arial" w:cs="Arial"/>
          <w:b/>
          <w:bCs/>
          <w:sz w:val="24"/>
          <w:szCs w:val="24"/>
        </w:rPr>
      </w:pPr>
    </w:p>
    <w:p w:rsidR="00CB012F" w:rsidRPr="00CF3DC6" w:rsidRDefault="00CB012F" w:rsidP="00F6351B">
      <w:pPr>
        <w:ind w:left="720"/>
        <w:rPr>
          <w:rFonts w:ascii="Arial" w:hAnsi="Arial" w:cs="Arial"/>
          <w:sz w:val="24"/>
        </w:rPr>
      </w:pPr>
      <w:r w:rsidRPr="00CF3DC6">
        <w:rPr>
          <w:rFonts w:ascii="Arial" w:hAnsi="Arial" w:cs="Arial"/>
          <w:sz w:val="24"/>
        </w:rPr>
        <w:t xml:space="preserve">Without this information collection, CBP would be unable to track or document an alien’s arrival to and departure from the </w:t>
      </w:r>
      <w:smartTag w:uri="urn:schemas-microsoft-com:office:smarttags" w:element="country-region">
        <w:r w:rsidRPr="00CF3DC6">
          <w:rPr>
            <w:rFonts w:ascii="Arial" w:hAnsi="Arial" w:cs="Arial"/>
            <w:sz w:val="24"/>
          </w:rPr>
          <w:t>United States</w:t>
        </w:r>
      </w:smartTag>
      <w:r w:rsidRPr="00CF3DC6">
        <w:rPr>
          <w:rFonts w:ascii="Arial" w:hAnsi="Arial" w:cs="Arial"/>
          <w:sz w:val="24"/>
        </w:rPr>
        <w:t>.</w:t>
      </w:r>
      <w:r>
        <w:rPr>
          <w:rFonts w:ascii="Arial" w:hAnsi="Arial" w:cs="Arial"/>
          <w:sz w:val="24"/>
        </w:rPr>
        <w:t xml:space="preserve"> </w:t>
      </w:r>
    </w:p>
    <w:p w:rsidR="00CB012F" w:rsidRPr="00CF3DC6" w:rsidRDefault="00CB012F"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CB012F" w:rsidRPr="00CF3DC6" w:rsidRDefault="00CB012F"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 that would cause an information collection to be conducted in a manner:</w:t>
      </w:r>
    </w:p>
    <w:p w:rsidR="00CB012F" w:rsidRPr="00CF3DC6" w:rsidRDefault="00CB012F" w:rsidP="003C627E">
      <w:pPr>
        <w:tabs>
          <w:tab w:val="left" w:pos="-1440"/>
        </w:tabs>
        <w:ind w:left="720" w:hanging="720"/>
        <w:rPr>
          <w:rFonts w:ascii="Arial" w:hAnsi="Arial" w:cs="Arial"/>
          <w:sz w:val="24"/>
          <w:szCs w:val="24"/>
        </w:rPr>
      </w:pPr>
    </w:p>
    <w:p w:rsidR="00CB012F" w:rsidRPr="00CF3DC6" w:rsidRDefault="00CB012F"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CB012F" w:rsidRDefault="00CB012F" w:rsidP="003C627E">
      <w:pPr>
        <w:rPr>
          <w:rFonts w:ascii="Arial" w:hAnsi="Arial" w:cs="Arial"/>
          <w:sz w:val="24"/>
          <w:szCs w:val="24"/>
        </w:rPr>
      </w:pPr>
    </w:p>
    <w:p w:rsidR="00CB012F" w:rsidRPr="00CF3DC6" w:rsidRDefault="00CB012F" w:rsidP="00F6351B">
      <w:pPr>
        <w:widowControl w:val="0"/>
        <w:numPr>
          <w:ilvl w:val="0"/>
          <w:numId w:val="47"/>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CB012F" w:rsidRPr="00CF3DC6" w:rsidRDefault="00CB012F" w:rsidP="003C627E">
      <w:pPr>
        <w:tabs>
          <w:tab w:val="left" w:pos="-1440"/>
        </w:tabs>
        <w:ind w:left="720" w:hanging="360"/>
        <w:rPr>
          <w:rFonts w:ascii="Arial" w:hAnsi="Arial" w:cs="Arial"/>
          <w:sz w:val="24"/>
          <w:szCs w:val="24"/>
        </w:rPr>
      </w:pPr>
    </w:p>
    <w:p w:rsidR="00CB012F" w:rsidRPr="006F601F" w:rsidRDefault="00CB012F" w:rsidP="006F601F">
      <w:pPr>
        <w:ind w:left="720"/>
        <w:jc w:val="both"/>
        <w:rPr>
          <w:rFonts w:ascii="Arial" w:hAnsi="Arial" w:cs="Arial"/>
          <w:sz w:val="24"/>
          <w:szCs w:val="24"/>
        </w:rPr>
      </w:pPr>
      <w:r>
        <w:rPr>
          <w:rFonts w:ascii="Arial" w:hAnsi="Arial" w:cs="Arial"/>
          <w:sz w:val="24"/>
          <w:szCs w:val="24"/>
        </w:rPr>
        <w:t xml:space="preserve">A Final Rule adding </w:t>
      </w:r>
      <w:smartTag w:uri="urn:schemas-microsoft-com:office:smarttags" w:element="country-region">
        <w:r>
          <w:rPr>
            <w:rFonts w:ascii="Arial" w:hAnsi="Arial" w:cs="Arial"/>
            <w:sz w:val="24"/>
            <w:szCs w:val="24"/>
          </w:rPr>
          <w:t>Taiwan</w:t>
        </w:r>
      </w:smartTag>
      <w:r>
        <w:rPr>
          <w:rFonts w:ascii="Arial" w:hAnsi="Arial" w:cs="Arial"/>
          <w:sz w:val="24"/>
          <w:szCs w:val="24"/>
        </w:rPr>
        <w:t xml:space="preserve"> to the Visa Waiver Program will be included in this ICR.</w:t>
      </w:r>
      <w:r w:rsidRPr="006F601F">
        <w:rPr>
          <w:rFonts w:ascii="Arial" w:hAnsi="Arial" w:cs="Arial"/>
          <w:sz w:val="24"/>
          <w:szCs w:val="24"/>
        </w:rPr>
        <w:t xml:space="preserve">  </w:t>
      </w:r>
    </w:p>
    <w:p w:rsidR="00CB012F" w:rsidRPr="00CF3DC6" w:rsidRDefault="00CB012F" w:rsidP="00AF328E">
      <w:pPr>
        <w:tabs>
          <w:tab w:val="left" w:pos="-1440"/>
        </w:tabs>
        <w:ind w:left="720" w:hanging="360"/>
        <w:rPr>
          <w:rFonts w:ascii="Arial" w:hAnsi="Arial"/>
          <w:sz w:val="24"/>
          <w:szCs w:val="24"/>
        </w:rPr>
      </w:pPr>
    </w:p>
    <w:p w:rsidR="00CB012F" w:rsidRPr="00CF3DC6" w:rsidRDefault="00CB012F"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CB012F" w:rsidRPr="00CF3DC6" w:rsidRDefault="00CB012F" w:rsidP="003C627E">
      <w:pPr>
        <w:tabs>
          <w:tab w:val="left" w:pos="-1440"/>
        </w:tabs>
        <w:ind w:left="720" w:hanging="720"/>
        <w:rPr>
          <w:rFonts w:ascii="Arial" w:hAnsi="Arial" w:cs="Arial"/>
          <w:sz w:val="24"/>
          <w:szCs w:val="24"/>
        </w:rPr>
      </w:pPr>
    </w:p>
    <w:p w:rsidR="00CB012F" w:rsidRPr="00CF3DC6" w:rsidRDefault="00CB012F"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CB012F" w:rsidRPr="00CF3DC6" w:rsidRDefault="00CB012F" w:rsidP="003C627E">
      <w:pPr>
        <w:ind w:left="720" w:hanging="720"/>
        <w:rPr>
          <w:rFonts w:ascii="Arial" w:hAnsi="Arial" w:cs="Arial"/>
          <w:b/>
          <w:bCs/>
          <w:sz w:val="24"/>
          <w:szCs w:val="24"/>
        </w:rPr>
      </w:pPr>
    </w:p>
    <w:p w:rsidR="00CB012F" w:rsidRPr="00CF3DC6" w:rsidRDefault="00CB012F"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CB012F" w:rsidRPr="00CF3DC6" w:rsidRDefault="00CB012F" w:rsidP="003C627E">
      <w:pPr>
        <w:tabs>
          <w:tab w:val="left" w:pos="-1440"/>
        </w:tabs>
        <w:ind w:left="720" w:hanging="720"/>
        <w:rPr>
          <w:rFonts w:ascii="Arial" w:hAnsi="Arial" w:cs="Arial"/>
          <w:sz w:val="24"/>
          <w:szCs w:val="24"/>
        </w:rPr>
      </w:pPr>
      <w:r w:rsidRPr="00CF3DC6">
        <w:rPr>
          <w:rFonts w:ascii="Arial" w:hAnsi="Arial" w:cs="Arial"/>
          <w:sz w:val="24"/>
          <w:szCs w:val="24"/>
        </w:rPr>
        <w:tab/>
      </w:r>
    </w:p>
    <w:p w:rsidR="00CB012F" w:rsidRDefault="00CB012F" w:rsidP="003C627E">
      <w:pPr>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PIA, entitled Electronic System for Travel Authorization, dated July 2, 2008 was submitted with this ICR.  Also a SORN entitled Electronic System for Travel Authorization dated June 10, 2008 (Vol. 73, Page 32720), and a SORN entitled, Non-Immigrant Information System, dated December 19, 2008 (Vol. 73, Page 77739) are included in this ICR.  </w:t>
      </w:r>
    </w:p>
    <w:p w:rsidR="00CB012F" w:rsidRPr="00CF3DC6" w:rsidRDefault="00CB012F"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CB012F" w:rsidRPr="00CF3DC6" w:rsidRDefault="00CB012F"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CB012F" w:rsidRPr="00CF3DC6" w:rsidRDefault="00CB012F" w:rsidP="00F872B9">
      <w:pPr>
        <w:tabs>
          <w:tab w:val="left" w:pos="-1440"/>
        </w:tabs>
        <w:ind w:left="720" w:hanging="720"/>
        <w:rPr>
          <w:rFonts w:ascii="Arial" w:hAnsi="Arial" w:cs="Arial"/>
          <w:sz w:val="24"/>
          <w:szCs w:val="24"/>
        </w:rPr>
      </w:pPr>
      <w:r w:rsidRPr="00CF3DC6">
        <w:rPr>
          <w:rFonts w:ascii="Arial" w:hAnsi="Arial" w:cs="Arial"/>
          <w:sz w:val="24"/>
          <w:szCs w:val="24"/>
        </w:rPr>
        <w:tab/>
      </w:r>
    </w:p>
    <w:p w:rsidR="00CB012F" w:rsidRDefault="00CB012F" w:rsidP="003C627E">
      <w:pPr>
        <w:tabs>
          <w:tab w:val="left" w:pos="-1440"/>
        </w:tabs>
        <w:ind w:left="720" w:hanging="720"/>
        <w:rPr>
          <w:rFonts w:ascii="Arial" w:hAnsi="Arial"/>
          <w:sz w:val="24"/>
          <w:szCs w:val="24"/>
        </w:rPr>
      </w:pPr>
      <w:r>
        <w:rPr>
          <w:rFonts w:ascii="Arial" w:hAnsi="Arial" w:cs="Arial"/>
          <w:sz w:val="24"/>
          <w:szCs w:val="24"/>
        </w:rPr>
        <w:tab/>
      </w:r>
      <w:r w:rsidRPr="007C4000">
        <w:rPr>
          <w:rFonts w:ascii="Arial" w:hAnsi="Arial"/>
          <w:sz w:val="24"/>
          <w:szCs w:val="24"/>
        </w:rPr>
        <w:t>There are no questions of a sensitive nature.</w:t>
      </w: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Default="00CB012F" w:rsidP="003C627E">
      <w:pPr>
        <w:tabs>
          <w:tab w:val="left" w:pos="-1440"/>
        </w:tabs>
        <w:ind w:left="720" w:hanging="720"/>
        <w:rPr>
          <w:rFonts w:ascii="Arial" w:hAnsi="Arial"/>
          <w:sz w:val="24"/>
          <w:szCs w:val="24"/>
        </w:rPr>
      </w:pPr>
    </w:p>
    <w:p w:rsidR="00CB012F" w:rsidRPr="007C4000" w:rsidRDefault="00CB012F" w:rsidP="003C627E">
      <w:pPr>
        <w:tabs>
          <w:tab w:val="left" w:pos="-1440"/>
        </w:tabs>
        <w:ind w:left="720" w:hanging="720"/>
        <w:rPr>
          <w:rFonts w:ascii="Arial" w:hAnsi="Arial"/>
          <w:sz w:val="24"/>
          <w:szCs w:val="24"/>
        </w:rPr>
      </w:pPr>
    </w:p>
    <w:p w:rsidR="00CB012F" w:rsidRPr="00CF3DC6" w:rsidRDefault="00CB012F" w:rsidP="003C627E">
      <w:pPr>
        <w:tabs>
          <w:tab w:val="left" w:pos="-1440"/>
        </w:tabs>
        <w:ind w:left="720" w:hanging="720"/>
        <w:rPr>
          <w:rFonts w:ascii="Arial" w:hAnsi="Arial" w:cs="Arial"/>
          <w:sz w:val="24"/>
          <w:szCs w:val="24"/>
        </w:rPr>
      </w:pPr>
    </w:p>
    <w:p w:rsidR="00CB012F" w:rsidRDefault="00CB012F" w:rsidP="00F6351B">
      <w:pPr>
        <w:widowControl w:val="0"/>
        <w:numPr>
          <w:ilvl w:val="0"/>
          <w:numId w:val="45"/>
        </w:numPr>
        <w:tabs>
          <w:tab w:val="left" w:pos="-1440"/>
        </w:tabs>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CB012F" w:rsidRDefault="00CB012F" w:rsidP="00F6351B">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737"/>
        <w:gridCol w:w="1737"/>
        <w:gridCol w:w="1737"/>
        <w:gridCol w:w="1737"/>
      </w:tblGrid>
      <w:tr w:rsidR="00CB012F" w:rsidRPr="00F6351B" w:rsidTr="00B60D9F">
        <w:tc>
          <w:tcPr>
            <w:tcW w:w="1908" w:type="dxa"/>
            <w:vAlign w:val="bottom"/>
          </w:tcPr>
          <w:p w:rsidR="00CB012F" w:rsidRPr="00F6351B" w:rsidRDefault="00CB012F" w:rsidP="00170F65">
            <w:pPr>
              <w:jc w:val="center"/>
              <w:rPr>
                <w:rFonts w:ascii="Arial" w:hAnsi="Arial" w:cs="Arial"/>
                <w:b/>
                <w:bCs/>
              </w:rPr>
            </w:pPr>
          </w:p>
          <w:p w:rsidR="00CB012F" w:rsidRPr="00F6351B" w:rsidRDefault="00CB012F" w:rsidP="00170F65">
            <w:pPr>
              <w:pStyle w:val="Heading6"/>
              <w:jc w:val="center"/>
              <w:rPr>
                <w:sz w:val="20"/>
              </w:rPr>
            </w:pPr>
            <w:r w:rsidRPr="00F6351B">
              <w:rPr>
                <w:sz w:val="20"/>
              </w:rPr>
              <w:t>Form/Collection</w:t>
            </w:r>
          </w:p>
        </w:tc>
        <w:tc>
          <w:tcPr>
            <w:tcW w:w="1737" w:type="dxa"/>
            <w:vAlign w:val="bottom"/>
          </w:tcPr>
          <w:p w:rsidR="00CB012F" w:rsidRPr="00F6351B" w:rsidRDefault="00CB012F" w:rsidP="00170F65">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CB012F" w:rsidRPr="00F6351B" w:rsidRDefault="00CB012F" w:rsidP="00170F65">
            <w:pPr>
              <w:jc w:val="center"/>
              <w:rPr>
                <w:rFonts w:ascii="Arial" w:hAnsi="Arial" w:cs="Arial"/>
              </w:rPr>
            </w:pPr>
            <w:r w:rsidRPr="00F6351B">
              <w:rPr>
                <w:rFonts w:ascii="Arial" w:hAnsi="Arial" w:cs="Arial"/>
                <w:b/>
                <w:bCs/>
              </w:rPr>
              <w:t>Respondents</w:t>
            </w:r>
          </w:p>
        </w:tc>
        <w:tc>
          <w:tcPr>
            <w:tcW w:w="1737" w:type="dxa"/>
            <w:vAlign w:val="bottom"/>
          </w:tcPr>
          <w:p w:rsidR="00CB012F" w:rsidRPr="00F6351B" w:rsidRDefault="00CB012F" w:rsidP="00170F65">
            <w:pPr>
              <w:jc w:val="center"/>
              <w:rPr>
                <w:rFonts w:ascii="Arial" w:hAnsi="Arial" w:cs="Arial"/>
                <w:b/>
                <w:bCs/>
              </w:rPr>
            </w:pPr>
            <w:r w:rsidRPr="00F6351B">
              <w:rPr>
                <w:rFonts w:ascii="Arial" w:hAnsi="Arial" w:cs="Arial"/>
                <w:b/>
                <w:bCs/>
              </w:rPr>
              <w:t>Total Annual</w:t>
            </w:r>
          </w:p>
          <w:p w:rsidR="00CB012F" w:rsidRPr="00F6351B" w:rsidRDefault="00CB012F" w:rsidP="00170F65">
            <w:pPr>
              <w:jc w:val="center"/>
              <w:rPr>
                <w:rFonts w:ascii="Arial" w:hAnsi="Arial" w:cs="Arial"/>
              </w:rPr>
            </w:pPr>
            <w:r w:rsidRPr="00F6351B">
              <w:rPr>
                <w:rFonts w:ascii="Arial" w:hAnsi="Arial" w:cs="Arial"/>
                <w:b/>
                <w:bCs/>
              </w:rPr>
              <w:t>Responses</w:t>
            </w:r>
          </w:p>
        </w:tc>
        <w:tc>
          <w:tcPr>
            <w:tcW w:w="1737" w:type="dxa"/>
            <w:vAlign w:val="bottom"/>
          </w:tcPr>
          <w:p w:rsidR="00CB012F" w:rsidRPr="00F6351B" w:rsidRDefault="00CB012F" w:rsidP="00170F65">
            <w:pPr>
              <w:jc w:val="center"/>
              <w:rPr>
                <w:rFonts w:ascii="Arial" w:hAnsi="Arial" w:cs="Arial"/>
                <w:b/>
                <w:bCs/>
              </w:rPr>
            </w:pPr>
            <w:r w:rsidRPr="00F6351B">
              <w:rPr>
                <w:rFonts w:ascii="Arial" w:hAnsi="Arial" w:cs="Arial"/>
                <w:b/>
                <w:bCs/>
              </w:rPr>
              <w:t>Time Per</w:t>
            </w:r>
          </w:p>
          <w:p w:rsidR="00CB012F" w:rsidRPr="00F6351B" w:rsidRDefault="00CB012F" w:rsidP="00170F65">
            <w:pPr>
              <w:jc w:val="center"/>
              <w:rPr>
                <w:rFonts w:ascii="Arial" w:hAnsi="Arial" w:cs="Arial"/>
                <w:b/>
                <w:bCs/>
              </w:rPr>
            </w:pPr>
            <w:r w:rsidRPr="00F6351B">
              <w:rPr>
                <w:rFonts w:ascii="Arial" w:hAnsi="Arial" w:cs="Arial"/>
                <w:b/>
                <w:bCs/>
              </w:rPr>
              <w:t>Respondent</w:t>
            </w:r>
          </w:p>
          <w:p w:rsidR="00CB012F" w:rsidRPr="00F6351B" w:rsidRDefault="00CB012F" w:rsidP="00170F65">
            <w:pPr>
              <w:jc w:val="center"/>
              <w:rPr>
                <w:rFonts w:ascii="Arial" w:hAnsi="Arial" w:cs="Arial"/>
              </w:rPr>
            </w:pPr>
            <w:r w:rsidRPr="00F6351B">
              <w:rPr>
                <w:rFonts w:ascii="Arial" w:hAnsi="Arial" w:cs="Arial"/>
                <w:b/>
                <w:bCs/>
              </w:rPr>
              <w:t>(in hours)</w:t>
            </w:r>
          </w:p>
        </w:tc>
        <w:tc>
          <w:tcPr>
            <w:tcW w:w="1737" w:type="dxa"/>
            <w:vAlign w:val="bottom"/>
          </w:tcPr>
          <w:p w:rsidR="00CB012F" w:rsidRPr="00F6351B" w:rsidRDefault="00CB012F" w:rsidP="00170F65">
            <w:pPr>
              <w:jc w:val="center"/>
              <w:rPr>
                <w:rFonts w:ascii="Arial" w:hAnsi="Arial" w:cs="Arial"/>
                <w:b/>
                <w:bCs/>
              </w:rPr>
            </w:pPr>
            <w:r w:rsidRPr="00F6351B">
              <w:rPr>
                <w:rFonts w:ascii="Arial" w:hAnsi="Arial" w:cs="Arial"/>
                <w:b/>
                <w:bCs/>
              </w:rPr>
              <w:t>Annual Reporting Burden</w:t>
            </w:r>
          </w:p>
        </w:tc>
      </w:tr>
      <w:tr w:rsidR="00CB012F" w:rsidRPr="00F6351B" w:rsidTr="00B60D9F">
        <w:tc>
          <w:tcPr>
            <w:tcW w:w="1908" w:type="dxa"/>
          </w:tcPr>
          <w:p w:rsidR="00CB012F" w:rsidRPr="00F6351B" w:rsidRDefault="00CB012F" w:rsidP="00170F65">
            <w:pPr>
              <w:jc w:val="both"/>
              <w:rPr>
                <w:rFonts w:ascii="Arial" w:hAnsi="Arial" w:cs="Arial"/>
              </w:rPr>
            </w:pPr>
            <w:r w:rsidRPr="00F6351B">
              <w:rPr>
                <w:rFonts w:ascii="Arial" w:hAnsi="Arial" w:cs="Arial"/>
              </w:rPr>
              <w:t>I-94</w:t>
            </w:r>
          </w:p>
        </w:tc>
        <w:tc>
          <w:tcPr>
            <w:tcW w:w="1737" w:type="dxa"/>
          </w:tcPr>
          <w:p w:rsidR="00CB012F" w:rsidRPr="00F6351B" w:rsidRDefault="00CB012F" w:rsidP="00170F65">
            <w:pPr>
              <w:jc w:val="right"/>
              <w:rPr>
                <w:rFonts w:ascii="Arial" w:hAnsi="Arial" w:cs="Arial"/>
              </w:rPr>
            </w:pPr>
            <w:r w:rsidRPr="00F6351B">
              <w:rPr>
                <w:rFonts w:ascii="Arial" w:hAnsi="Arial" w:cs="Arial"/>
              </w:rPr>
              <w:t>14,000,000</w:t>
            </w:r>
          </w:p>
        </w:tc>
        <w:tc>
          <w:tcPr>
            <w:tcW w:w="1737" w:type="dxa"/>
          </w:tcPr>
          <w:p w:rsidR="00CB012F" w:rsidRPr="00F6351B" w:rsidRDefault="00CB012F" w:rsidP="00170F65">
            <w:pPr>
              <w:jc w:val="right"/>
              <w:rPr>
                <w:rFonts w:ascii="Arial" w:hAnsi="Arial" w:cs="Arial"/>
              </w:rPr>
            </w:pPr>
            <w:r w:rsidRPr="00F6351B">
              <w:rPr>
                <w:rFonts w:ascii="Arial" w:hAnsi="Arial" w:cs="Arial"/>
              </w:rPr>
              <w:t>14,000,000</w:t>
            </w:r>
          </w:p>
        </w:tc>
        <w:tc>
          <w:tcPr>
            <w:tcW w:w="1737" w:type="dxa"/>
          </w:tcPr>
          <w:p w:rsidR="00CB012F" w:rsidRPr="00F6351B" w:rsidRDefault="00CB012F" w:rsidP="00170F65">
            <w:pPr>
              <w:jc w:val="right"/>
              <w:rPr>
                <w:rFonts w:ascii="Arial" w:hAnsi="Arial" w:cs="Arial"/>
              </w:rPr>
            </w:pPr>
            <w:r w:rsidRPr="00F6351B">
              <w:rPr>
                <w:rFonts w:ascii="Arial" w:hAnsi="Arial" w:cs="Arial"/>
              </w:rPr>
              <w:t>0.133</w:t>
            </w:r>
          </w:p>
          <w:p w:rsidR="00CB012F" w:rsidRPr="00F6351B" w:rsidRDefault="00CB012F" w:rsidP="00170F65">
            <w:pPr>
              <w:jc w:val="right"/>
              <w:rPr>
                <w:rFonts w:ascii="Arial" w:hAnsi="Arial" w:cs="Arial"/>
              </w:rPr>
            </w:pPr>
            <w:r w:rsidRPr="00F6351B">
              <w:rPr>
                <w:rFonts w:ascii="Arial" w:hAnsi="Arial" w:cs="Arial"/>
              </w:rPr>
              <w:t>(8 mins)</w:t>
            </w:r>
          </w:p>
        </w:tc>
        <w:tc>
          <w:tcPr>
            <w:tcW w:w="1737" w:type="dxa"/>
          </w:tcPr>
          <w:p w:rsidR="00CB012F" w:rsidRPr="00F6351B" w:rsidRDefault="00CB012F" w:rsidP="00170F65">
            <w:pPr>
              <w:jc w:val="right"/>
              <w:rPr>
                <w:rFonts w:ascii="Arial" w:hAnsi="Arial" w:cs="Arial"/>
              </w:rPr>
            </w:pPr>
            <w:r w:rsidRPr="00F6351B">
              <w:rPr>
                <w:rFonts w:ascii="Arial" w:hAnsi="Arial" w:cs="Arial"/>
              </w:rPr>
              <w:t>1,862,000</w:t>
            </w:r>
          </w:p>
        </w:tc>
      </w:tr>
      <w:tr w:rsidR="00CB012F" w:rsidRPr="00F6351B" w:rsidTr="00B60D9F">
        <w:tc>
          <w:tcPr>
            <w:tcW w:w="1908" w:type="dxa"/>
          </w:tcPr>
          <w:p w:rsidR="00CB012F" w:rsidRPr="00F6351B" w:rsidRDefault="00CB012F" w:rsidP="00170F65">
            <w:pPr>
              <w:jc w:val="both"/>
              <w:rPr>
                <w:rFonts w:ascii="Arial" w:hAnsi="Arial" w:cs="Arial"/>
              </w:rPr>
            </w:pPr>
            <w:r w:rsidRPr="00F6351B">
              <w:rPr>
                <w:rFonts w:ascii="Arial" w:hAnsi="Arial" w:cs="Arial"/>
              </w:rPr>
              <w:t xml:space="preserve">I-94W </w:t>
            </w:r>
          </w:p>
        </w:tc>
        <w:tc>
          <w:tcPr>
            <w:tcW w:w="1737" w:type="dxa"/>
          </w:tcPr>
          <w:p w:rsidR="00CB012F" w:rsidRPr="00F6351B" w:rsidRDefault="00CB012F" w:rsidP="00170F65">
            <w:pPr>
              <w:jc w:val="right"/>
              <w:rPr>
                <w:rFonts w:ascii="Arial" w:hAnsi="Arial" w:cs="Arial"/>
              </w:rPr>
            </w:pPr>
            <w:r>
              <w:rPr>
                <w:rFonts w:ascii="Arial" w:hAnsi="Arial" w:cs="Arial"/>
              </w:rPr>
              <w:t>100,000</w:t>
            </w:r>
          </w:p>
        </w:tc>
        <w:tc>
          <w:tcPr>
            <w:tcW w:w="1737" w:type="dxa"/>
          </w:tcPr>
          <w:p w:rsidR="00CB012F" w:rsidRPr="00F6351B" w:rsidRDefault="00CB012F" w:rsidP="00170F65">
            <w:pPr>
              <w:jc w:val="right"/>
              <w:rPr>
                <w:rFonts w:ascii="Arial" w:hAnsi="Arial" w:cs="Arial"/>
              </w:rPr>
            </w:pPr>
            <w:r>
              <w:rPr>
                <w:rFonts w:ascii="Arial" w:hAnsi="Arial" w:cs="Arial"/>
              </w:rPr>
              <w:t>100,000</w:t>
            </w:r>
          </w:p>
        </w:tc>
        <w:tc>
          <w:tcPr>
            <w:tcW w:w="1737" w:type="dxa"/>
          </w:tcPr>
          <w:p w:rsidR="00CB012F" w:rsidRPr="00F6351B" w:rsidRDefault="00CB012F" w:rsidP="00170F65">
            <w:pPr>
              <w:jc w:val="right"/>
              <w:rPr>
                <w:rFonts w:ascii="Arial" w:hAnsi="Arial" w:cs="Arial"/>
              </w:rPr>
            </w:pPr>
            <w:r w:rsidRPr="00F6351B">
              <w:rPr>
                <w:rFonts w:ascii="Arial" w:hAnsi="Arial" w:cs="Arial"/>
              </w:rPr>
              <w:t>0.133</w:t>
            </w:r>
          </w:p>
          <w:p w:rsidR="00CB012F" w:rsidRPr="00F6351B" w:rsidRDefault="00CB012F" w:rsidP="00170F65">
            <w:pPr>
              <w:jc w:val="right"/>
              <w:rPr>
                <w:rFonts w:ascii="Arial" w:hAnsi="Arial" w:cs="Arial"/>
              </w:rPr>
            </w:pPr>
            <w:r w:rsidRPr="00F6351B">
              <w:rPr>
                <w:rFonts w:ascii="Arial" w:hAnsi="Arial" w:cs="Arial"/>
              </w:rPr>
              <w:t>(8 mins)</w:t>
            </w:r>
          </w:p>
        </w:tc>
        <w:tc>
          <w:tcPr>
            <w:tcW w:w="1737" w:type="dxa"/>
          </w:tcPr>
          <w:p w:rsidR="00CB012F" w:rsidRPr="00F6351B" w:rsidRDefault="00CB012F" w:rsidP="00170F65">
            <w:pPr>
              <w:jc w:val="right"/>
              <w:rPr>
                <w:rFonts w:ascii="Arial" w:hAnsi="Arial" w:cs="Arial"/>
              </w:rPr>
            </w:pPr>
            <w:r w:rsidRPr="000B413F">
              <w:rPr>
                <w:rFonts w:ascii="Arial" w:hAnsi="Arial" w:cs="Arial"/>
              </w:rPr>
              <w:t>13,300</w:t>
            </w:r>
          </w:p>
        </w:tc>
      </w:tr>
      <w:tr w:rsidR="00CB012F" w:rsidRPr="00F6351B" w:rsidTr="00B60D9F">
        <w:tc>
          <w:tcPr>
            <w:tcW w:w="1908" w:type="dxa"/>
          </w:tcPr>
          <w:p w:rsidR="00CB012F" w:rsidRPr="00F6351B" w:rsidRDefault="00CB012F" w:rsidP="00170F65">
            <w:pPr>
              <w:jc w:val="both"/>
              <w:rPr>
                <w:rFonts w:ascii="Arial" w:hAnsi="Arial" w:cs="Arial"/>
              </w:rPr>
            </w:pPr>
            <w:r w:rsidRPr="00F6351B">
              <w:rPr>
                <w:rFonts w:ascii="Arial" w:hAnsi="Arial" w:cs="Arial"/>
              </w:rPr>
              <w:t>ESTA burden</w:t>
            </w:r>
          </w:p>
        </w:tc>
        <w:tc>
          <w:tcPr>
            <w:tcW w:w="1737" w:type="dxa"/>
          </w:tcPr>
          <w:p w:rsidR="00CB012F" w:rsidRPr="00F6351B" w:rsidRDefault="00CB012F" w:rsidP="00170F65">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Pr>
                <w:rFonts w:ascii="Arial" w:hAnsi="Arial" w:cs="Arial"/>
              </w:rPr>
              <w:t>14</w:t>
            </w:r>
            <w:r w:rsidRPr="00F6351B">
              <w:rPr>
                <w:rFonts w:ascii="Arial" w:hAnsi="Arial" w:cs="Arial"/>
              </w:rPr>
              <w:t>0,000</w:t>
            </w:r>
          </w:p>
        </w:tc>
        <w:tc>
          <w:tcPr>
            <w:tcW w:w="1737" w:type="dxa"/>
          </w:tcPr>
          <w:p w:rsidR="00CB012F" w:rsidRPr="00F6351B" w:rsidRDefault="00CB012F" w:rsidP="00170F65">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Pr>
                <w:rFonts w:ascii="Arial" w:hAnsi="Arial" w:cs="Arial"/>
              </w:rPr>
              <w:t>140</w:t>
            </w:r>
            <w:r w:rsidRPr="00F6351B">
              <w:rPr>
                <w:rFonts w:ascii="Arial" w:hAnsi="Arial" w:cs="Arial"/>
              </w:rPr>
              <w:t>,000</w:t>
            </w:r>
          </w:p>
        </w:tc>
        <w:tc>
          <w:tcPr>
            <w:tcW w:w="1737" w:type="dxa"/>
          </w:tcPr>
          <w:p w:rsidR="00CB012F" w:rsidRPr="00F6351B" w:rsidRDefault="00CB012F" w:rsidP="00170F65">
            <w:pPr>
              <w:jc w:val="right"/>
              <w:rPr>
                <w:rFonts w:ascii="Arial" w:hAnsi="Arial" w:cs="Arial"/>
              </w:rPr>
            </w:pPr>
            <w:r w:rsidRPr="00F6351B">
              <w:rPr>
                <w:rFonts w:ascii="Arial" w:hAnsi="Arial" w:cs="Arial"/>
              </w:rPr>
              <w:t xml:space="preserve"> 0.25</w:t>
            </w:r>
          </w:p>
          <w:p w:rsidR="00CB012F" w:rsidRPr="00F6351B" w:rsidRDefault="00CB012F" w:rsidP="00170F65">
            <w:pPr>
              <w:jc w:val="right"/>
              <w:rPr>
                <w:rFonts w:ascii="Arial" w:hAnsi="Arial" w:cs="Arial"/>
              </w:rPr>
            </w:pPr>
            <w:r w:rsidRPr="00F6351B">
              <w:rPr>
                <w:rFonts w:ascii="Arial" w:hAnsi="Arial" w:cs="Arial"/>
              </w:rPr>
              <w:t>(15 mins)</w:t>
            </w:r>
          </w:p>
        </w:tc>
        <w:tc>
          <w:tcPr>
            <w:tcW w:w="1737" w:type="dxa"/>
          </w:tcPr>
          <w:p w:rsidR="00CB012F" w:rsidRPr="000B413F" w:rsidRDefault="00CB012F" w:rsidP="00170F65">
            <w:pPr>
              <w:jc w:val="right"/>
              <w:rPr>
                <w:rFonts w:ascii="Arial" w:hAnsi="Arial" w:cs="Arial"/>
              </w:rPr>
            </w:pPr>
            <w:r w:rsidRPr="000B413F">
              <w:rPr>
                <w:rFonts w:ascii="Arial" w:hAnsi="Arial" w:cs="Arial"/>
              </w:rPr>
              <w:t>4,7</w:t>
            </w:r>
            <w:r>
              <w:rPr>
                <w:rFonts w:ascii="Arial" w:hAnsi="Arial" w:cs="Arial"/>
              </w:rPr>
              <w:t>85</w:t>
            </w:r>
            <w:r w:rsidRPr="000B413F">
              <w:rPr>
                <w:rFonts w:ascii="Arial" w:hAnsi="Arial" w:cs="Arial"/>
              </w:rPr>
              <w:t>,000</w:t>
            </w:r>
          </w:p>
          <w:p w:rsidR="00CB012F" w:rsidRPr="00F6351B" w:rsidRDefault="00CB012F" w:rsidP="00170F65">
            <w:pPr>
              <w:jc w:val="right"/>
              <w:rPr>
                <w:rFonts w:ascii="Arial" w:hAnsi="Arial" w:cs="Arial"/>
              </w:rPr>
            </w:pPr>
          </w:p>
        </w:tc>
      </w:tr>
      <w:tr w:rsidR="00CB012F" w:rsidRPr="00F6351B" w:rsidTr="00B60D9F">
        <w:tc>
          <w:tcPr>
            <w:tcW w:w="1908" w:type="dxa"/>
          </w:tcPr>
          <w:p w:rsidR="00CB012F" w:rsidRPr="000B413F" w:rsidRDefault="00CB012F" w:rsidP="00170F65">
            <w:pPr>
              <w:pStyle w:val="Heading6"/>
              <w:jc w:val="left"/>
              <w:rPr>
                <w:b w:val="0"/>
                <w:sz w:val="20"/>
                <w:highlight w:val="magenta"/>
              </w:rPr>
            </w:pPr>
            <w:r w:rsidRPr="00A957FE">
              <w:rPr>
                <w:b w:val="0"/>
                <w:sz w:val="20"/>
              </w:rPr>
              <w:t>ESTA fee* (subset of total ESTA respondents)</w:t>
            </w:r>
          </w:p>
        </w:tc>
        <w:tc>
          <w:tcPr>
            <w:tcW w:w="1737" w:type="dxa"/>
          </w:tcPr>
          <w:p w:rsidR="00CB012F" w:rsidRPr="000B413F" w:rsidRDefault="00CB012F" w:rsidP="00170F65">
            <w:pPr>
              <w:jc w:val="right"/>
              <w:rPr>
                <w:rFonts w:ascii="Arial" w:hAnsi="Arial" w:cs="Arial"/>
                <w:highlight w:val="magenta"/>
              </w:rPr>
            </w:pPr>
            <w:r w:rsidRPr="00A957FE">
              <w:rPr>
                <w:rFonts w:ascii="Arial" w:hAnsi="Arial" w:cs="Arial"/>
              </w:rPr>
              <w:t>16,</w:t>
            </w:r>
            <w:r>
              <w:rPr>
                <w:rFonts w:ascii="Arial" w:hAnsi="Arial" w:cs="Arial"/>
              </w:rPr>
              <w:t>22</w:t>
            </w:r>
            <w:r w:rsidRPr="00A957FE">
              <w:rPr>
                <w:rFonts w:ascii="Arial" w:hAnsi="Arial" w:cs="Arial"/>
              </w:rPr>
              <w:t>0,000 (subset of 18.9m above)</w:t>
            </w:r>
          </w:p>
        </w:tc>
        <w:tc>
          <w:tcPr>
            <w:tcW w:w="1737" w:type="dxa"/>
          </w:tcPr>
          <w:p w:rsidR="00CB012F" w:rsidRPr="000B413F" w:rsidRDefault="00CB012F" w:rsidP="00170F65">
            <w:pPr>
              <w:jc w:val="right"/>
              <w:rPr>
                <w:rFonts w:ascii="Arial" w:hAnsi="Arial" w:cs="Arial"/>
                <w:highlight w:val="magenta"/>
              </w:rPr>
            </w:pPr>
            <w:r w:rsidRPr="00A957FE">
              <w:rPr>
                <w:rFonts w:ascii="Arial" w:hAnsi="Arial" w:cs="Arial"/>
              </w:rPr>
              <w:t>16,</w:t>
            </w:r>
            <w:r>
              <w:rPr>
                <w:rFonts w:ascii="Arial" w:hAnsi="Arial" w:cs="Arial"/>
              </w:rPr>
              <w:t>22</w:t>
            </w:r>
            <w:r w:rsidRPr="00A957FE">
              <w:rPr>
                <w:rFonts w:ascii="Arial" w:hAnsi="Arial" w:cs="Arial"/>
              </w:rPr>
              <w:t>0,000 (subset of 18.9m above)</w:t>
            </w:r>
          </w:p>
        </w:tc>
        <w:tc>
          <w:tcPr>
            <w:tcW w:w="1737" w:type="dxa"/>
          </w:tcPr>
          <w:p w:rsidR="00CB012F" w:rsidRPr="00A957FE" w:rsidRDefault="00CB012F" w:rsidP="00170F65">
            <w:pPr>
              <w:jc w:val="right"/>
              <w:rPr>
                <w:rFonts w:ascii="Arial" w:hAnsi="Arial" w:cs="Arial"/>
              </w:rPr>
            </w:pPr>
            <w:r w:rsidRPr="00A957FE">
              <w:rPr>
                <w:rFonts w:ascii="Arial" w:hAnsi="Arial" w:cs="Arial"/>
              </w:rPr>
              <w:t>0.00 (already included in ESTA burden above)</w:t>
            </w:r>
          </w:p>
        </w:tc>
        <w:tc>
          <w:tcPr>
            <w:tcW w:w="1737" w:type="dxa"/>
          </w:tcPr>
          <w:p w:rsidR="00CB012F" w:rsidRPr="00A957FE" w:rsidRDefault="00CB012F" w:rsidP="00170F65">
            <w:pPr>
              <w:jc w:val="right"/>
              <w:rPr>
                <w:rFonts w:ascii="Arial" w:hAnsi="Arial" w:cs="Arial"/>
              </w:rPr>
            </w:pPr>
            <w:r w:rsidRPr="00A957FE">
              <w:rPr>
                <w:rFonts w:ascii="Arial" w:hAnsi="Arial" w:cs="Arial"/>
              </w:rPr>
              <w:t>0.00 (already included in ESTA burden above)</w:t>
            </w:r>
          </w:p>
        </w:tc>
      </w:tr>
      <w:tr w:rsidR="00CB012F" w:rsidRPr="00F6351B" w:rsidTr="00B60D9F">
        <w:tc>
          <w:tcPr>
            <w:tcW w:w="1908" w:type="dxa"/>
          </w:tcPr>
          <w:p w:rsidR="00CB012F" w:rsidRPr="00F6351B" w:rsidRDefault="00CB012F" w:rsidP="00170F65">
            <w:pPr>
              <w:pStyle w:val="Heading6"/>
              <w:rPr>
                <w:sz w:val="20"/>
              </w:rPr>
            </w:pPr>
            <w:r w:rsidRPr="00F6351B">
              <w:rPr>
                <w:sz w:val="20"/>
              </w:rPr>
              <w:t>TOTAL</w:t>
            </w:r>
          </w:p>
        </w:tc>
        <w:tc>
          <w:tcPr>
            <w:tcW w:w="1737" w:type="dxa"/>
          </w:tcPr>
          <w:p w:rsidR="00CB012F" w:rsidRPr="00F6351B" w:rsidRDefault="00CB012F" w:rsidP="00170F65">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w:t>
            </w:r>
            <w:r>
              <w:rPr>
                <w:rFonts w:ascii="Arial" w:hAnsi="Arial" w:cs="Arial"/>
                <w:b/>
              </w:rPr>
              <w:t>24</w:t>
            </w:r>
            <w:r w:rsidRPr="00F6351B">
              <w:rPr>
                <w:rFonts w:ascii="Arial" w:hAnsi="Arial" w:cs="Arial"/>
                <w:b/>
              </w:rPr>
              <w:t>0,000</w:t>
            </w:r>
          </w:p>
        </w:tc>
        <w:tc>
          <w:tcPr>
            <w:tcW w:w="1737" w:type="dxa"/>
          </w:tcPr>
          <w:p w:rsidR="00CB012F" w:rsidRPr="00F6351B" w:rsidRDefault="00CB012F" w:rsidP="00170F65">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w:t>
            </w:r>
            <w:r>
              <w:rPr>
                <w:rFonts w:ascii="Arial" w:hAnsi="Arial" w:cs="Arial"/>
                <w:b/>
              </w:rPr>
              <w:t>24</w:t>
            </w:r>
            <w:r w:rsidRPr="00F6351B">
              <w:rPr>
                <w:rFonts w:ascii="Arial" w:hAnsi="Arial" w:cs="Arial"/>
                <w:b/>
              </w:rPr>
              <w:t>0,000</w:t>
            </w:r>
          </w:p>
        </w:tc>
        <w:tc>
          <w:tcPr>
            <w:tcW w:w="1737" w:type="dxa"/>
          </w:tcPr>
          <w:p w:rsidR="00CB012F" w:rsidRPr="00F6351B" w:rsidRDefault="00CB012F" w:rsidP="00170F65">
            <w:pPr>
              <w:jc w:val="right"/>
              <w:rPr>
                <w:rFonts w:ascii="Arial" w:hAnsi="Arial" w:cs="Arial"/>
              </w:rPr>
            </w:pPr>
          </w:p>
        </w:tc>
        <w:tc>
          <w:tcPr>
            <w:tcW w:w="1737" w:type="dxa"/>
          </w:tcPr>
          <w:p w:rsidR="00CB012F" w:rsidRPr="00F6351B" w:rsidRDefault="00CB012F" w:rsidP="00170F65">
            <w:pPr>
              <w:jc w:val="right"/>
              <w:rPr>
                <w:rFonts w:ascii="Arial" w:hAnsi="Arial" w:cs="Arial"/>
                <w:b/>
                <w:bCs/>
              </w:rPr>
            </w:pPr>
            <w:r w:rsidRPr="000B413F">
              <w:rPr>
                <w:rFonts w:ascii="Arial" w:hAnsi="Arial" w:cs="Arial"/>
                <w:b/>
                <w:bCs/>
              </w:rPr>
              <w:t>6,6</w:t>
            </w:r>
            <w:r>
              <w:rPr>
                <w:rFonts w:ascii="Arial" w:hAnsi="Arial" w:cs="Arial"/>
                <w:b/>
                <w:bCs/>
              </w:rPr>
              <w:t>6</w:t>
            </w:r>
            <w:r w:rsidRPr="000B413F">
              <w:rPr>
                <w:rFonts w:ascii="Arial" w:hAnsi="Arial" w:cs="Arial"/>
                <w:b/>
                <w:bCs/>
              </w:rPr>
              <w:t>0,300</w:t>
            </w:r>
          </w:p>
        </w:tc>
      </w:tr>
    </w:tbl>
    <w:p w:rsidR="00CB012F" w:rsidRDefault="00CB012F" w:rsidP="00B60D9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 xml:space="preserve">16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18.9</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CB012F" w:rsidRDefault="00CB012F" w:rsidP="00F6351B">
      <w:pPr>
        <w:widowControl w:val="0"/>
        <w:tabs>
          <w:tab w:val="left" w:pos="-1440"/>
        </w:tabs>
        <w:rPr>
          <w:rFonts w:ascii="Arial" w:hAnsi="Arial" w:cs="Arial"/>
          <w:sz w:val="24"/>
          <w:szCs w:val="24"/>
        </w:rPr>
      </w:pPr>
    </w:p>
    <w:p w:rsidR="00CB012F" w:rsidRDefault="00CB012F" w:rsidP="00513B69">
      <w:pPr>
        <w:pStyle w:val="Heading5"/>
        <w:spacing w:line="240" w:lineRule="auto"/>
        <w:jc w:val="left"/>
        <w:rPr>
          <w:rFonts w:ascii="Arial" w:hAnsi="Arial" w:cs="Arial"/>
          <w:b w:val="0"/>
          <w:sz w:val="24"/>
          <w:szCs w:val="24"/>
        </w:rPr>
      </w:pPr>
      <w:r>
        <w:rPr>
          <w:rFonts w:ascii="Arial" w:hAnsi="Arial" w:cs="Arial"/>
          <w:b w:val="0"/>
          <w:sz w:val="24"/>
          <w:szCs w:val="24"/>
        </w:rPr>
        <w:t xml:space="preserve">The number of respondents who pay the ESTA fees is different from the total number of applicants. Under the 2008 ESTA interim final rule, we 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number of respondents estimated under the ESTA fee accounts for </w:t>
      </w:r>
      <w:r>
        <w:rPr>
          <w:rFonts w:ascii="Arial" w:hAnsi="Arial" w:cs="Arial"/>
          <w:b w:val="0"/>
          <w:i/>
          <w:sz w:val="24"/>
          <w:szCs w:val="24"/>
        </w:rPr>
        <w:t>repeat</w:t>
      </w:r>
      <w:r>
        <w:rPr>
          <w:rFonts w:ascii="Arial" w:hAnsi="Arial" w:cs="Arial"/>
          <w:b w:val="0"/>
          <w:sz w:val="24"/>
          <w:szCs w:val="24"/>
        </w:rPr>
        <w:t xml:space="preserve"> travelers.</w:t>
      </w:r>
    </w:p>
    <w:p w:rsidR="00CB012F" w:rsidRDefault="00CB012F" w:rsidP="00E81B18"/>
    <w:p w:rsidR="00CB012F" w:rsidRPr="00CF3DC6" w:rsidRDefault="00CB012F" w:rsidP="00513B69">
      <w:pPr>
        <w:pStyle w:val="Heading5"/>
        <w:spacing w:line="240" w:lineRule="auto"/>
        <w:ind w:left="0" w:firstLine="720"/>
        <w:jc w:val="left"/>
        <w:rPr>
          <w:rFonts w:ascii="Arial" w:hAnsi="Arial" w:cs="Arial"/>
          <w:sz w:val="24"/>
        </w:rPr>
      </w:pPr>
      <w:r w:rsidRPr="00CF3DC6">
        <w:rPr>
          <w:rFonts w:ascii="Arial" w:hAnsi="Arial" w:cs="Arial"/>
          <w:sz w:val="24"/>
        </w:rPr>
        <w:t>Public Cost:</w:t>
      </w:r>
    </w:p>
    <w:p w:rsidR="00CB012F" w:rsidRPr="00CF3DC6" w:rsidRDefault="00CB012F" w:rsidP="00CD616B"/>
    <w:p w:rsidR="00CB012F" w:rsidRPr="00E66C5D" w:rsidRDefault="00CB012F" w:rsidP="00513B69">
      <w:pPr>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Pr>
          <w:rFonts w:ascii="Arial" w:hAnsi="Arial" w:cs="Arial"/>
          <w:b/>
          <w:bCs/>
          <w:sz w:val="24"/>
        </w:rPr>
        <w:t>612,728,400</w:t>
      </w:r>
      <w:r>
        <w:rPr>
          <w:rFonts w:ascii="Arial" w:hAnsi="Arial" w:cs="Arial"/>
          <w:bCs/>
          <w:sz w:val="24"/>
        </w:rPr>
        <w:t xml:space="preserve"> and is calculated as follows:</w:t>
      </w:r>
    </w:p>
    <w:p w:rsidR="00CB012F" w:rsidRPr="00CF3DC6" w:rsidRDefault="00CB012F" w:rsidP="00687BD2">
      <w:pPr>
        <w:ind w:left="720"/>
        <w:jc w:val="both"/>
        <w:rPr>
          <w:rFonts w:ascii="Arial" w:hAnsi="Arial" w:cs="Arial"/>
          <w:b/>
          <w:bCs/>
          <w:sz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1723"/>
        <w:gridCol w:w="1487"/>
        <w:gridCol w:w="1487"/>
        <w:gridCol w:w="1487"/>
        <w:gridCol w:w="1487"/>
        <w:gridCol w:w="1487"/>
      </w:tblGrid>
      <w:tr w:rsidR="00CB012F" w:rsidRPr="00E66C5D" w:rsidTr="004531C1">
        <w:tc>
          <w:tcPr>
            <w:tcW w:w="1724" w:type="dxa"/>
            <w:gridSpan w:val="2"/>
            <w:vAlign w:val="bottom"/>
          </w:tcPr>
          <w:p w:rsidR="00CB012F" w:rsidRPr="004531C1" w:rsidRDefault="00CB012F" w:rsidP="004531C1">
            <w:pPr>
              <w:widowControl w:val="0"/>
              <w:jc w:val="center"/>
              <w:rPr>
                <w:rFonts w:ascii="Arial" w:hAnsi="Arial" w:cs="Arial"/>
              </w:rPr>
            </w:pPr>
            <w:r w:rsidRPr="004531C1">
              <w:rPr>
                <w:rFonts w:ascii="Arial" w:hAnsi="Arial" w:cs="Arial"/>
              </w:rPr>
              <w:t>Form/Collection</w:t>
            </w:r>
          </w:p>
        </w:tc>
        <w:tc>
          <w:tcPr>
            <w:tcW w:w="1488" w:type="dxa"/>
            <w:vAlign w:val="bottom"/>
          </w:tcPr>
          <w:p w:rsidR="00CB012F" w:rsidRPr="004531C1" w:rsidRDefault="00CB012F" w:rsidP="004531C1">
            <w:pPr>
              <w:widowControl w:val="0"/>
              <w:jc w:val="center"/>
              <w:rPr>
                <w:rFonts w:ascii="Arial" w:hAnsi="Arial" w:cs="Arial"/>
              </w:rPr>
            </w:pPr>
            <w:r w:rsidRPr="004531C1">
              <w:rPr>
                <w:rFonts w:ascii="Arial" w:hAnsi="Arial" w:cs="Arial"/>
              </w:rPr>
              <w:t>Respondents</w:t>
            </w:r>
          </w:p>
        </w:tc>
        <w:tc>
          <w:tcPr>
            <w:tcW w:w="1488" w:type="dxa"/>
            <w:vAlign w:val="bottom"/>
          </w:tcPr>
          <w:p w:rsidR="00CB012F" w:rsidRPr="004531C1" w:rsidRDefault="00CB012F" w:rsidP="004531C1">
            <w:pPr>
              <w:widowControl w:val="0"/>
              <w:jc w:val="center"/>
              <w:rPr>
                <w:rFonts w:ascii="Arial" w:hAnsi="Arial" w:cs="Arial"/>
              </w:rPr>
            </w:pPr>
            <w:r w:rsidRPr="004531C1">
              <w:rPr>
                <w:rFonts w:ascii="Arial" w:hAnsi="Arial" w:cs="Arial"/>
              </w:rPr>
              <w:t>Value of time ($28.00 per hour)*</w:t>
            </w:r>
          </w:p>
        </w:tc>
        <w:tc>
          <w:tcPr>
            <w:tcW w:w="1488" w:type="dxa"/>
            <w:vAlign w:val="bottom"/>
          </w:tcPr>
          <w:p w:rsidR="00CB012F" w:rsidRPr="004531C1" w:rsidRDefault="00CB012F" w:rsidP="004531C1">
            <w:pPr>
              <w:widowControl w:val="0"/>
              <w:jc w:val="center"/>
              <w:rPr>
                <w:rFonts w:ascii="Arial" w:hAnsi="Arial" w:cs="Arial"/>
              </w:rPr>
            </w:pPr>
            <w:r w:rsidRPr="004531C1">
              <w:rPr>
                <w:rFonts w:ascii="Arial" w:hAnsi="Arial" w:cs="Arial"/>
              </w:rPr>
              <w:t xml:space="preserve"> </w:t>
            </w:r>
            <w:r>
              <w:rPr>
                <w:rFonts w:ascii="Arial" w:hAnsi="Arial" w:cs="Arial"/>
              </w:rPr>
              <w:t>F</w:t>
            </w:r>
            <w:r w:rsidRPr="004531C1">
              <w:rPr>
                <w:rFonts w:ascii="Arial" w:hAnsi="Arial" w:cs="Arial"/>
              </w:rPr>
              <w:t>ee</w:t>
            </w:r>
            <w:r>
              <w:rPr>
                <w:rFonts w:ascii="Arial" w:hAnsi="Arial" w:cs="Arial"/>
              </w:rPr>
              <w:t xml:space="preserve"> charge</w:t>
            </w:r>
            <w:r w:rsidRPr="004531C1">
              <w:rPr>
                <w:rFonts w:ascii="Arial" w:hAnsi="Arial" w:cs="Arial"/>
              </w:rPr>
              <w:t xml:space="preserve"> ($6 per respondent)</w:t>
            </w:r>
          </w:p>
        </w:tc>
        <w:tc>
          <w:tcPr>
            <w:tcW w:w="1488" w:type="dxa"/>
            <w:vAlign w:val="bottom"/>
          </w:tcPr>
          <w:p w:rsidR="00CB012F" w:rsidRPr="004531C1" w:rsidRDefault="00CB012F" w:rsidP="004531C1">
            <w:pPr>
              <w:widowControl w:val="0"/>
              <w:jc w:val="center"/>
              <w:rPr>
                <w:rFonts w:ascii="Arial" w:hAnsi="Arial" w:cs="Arial"/>
              </w:rPr>
            </w:pPr>
            <w:r w:rsidRPr="004531C1">
              <w:rPr>
                <w:rFonts w:ascii="Arial" w:hAnsi="Arial" w:cs="Arial"/>
              </w:rPr>
              <w:t>ESTA fee ($14.</w:t>
            </w:r>
            <w:r>
              <w:rPr>
                <w:rFonts w:ascii="Arial" w:hAnsi="Arial" w:cs="Arial"/>
              </w:rPr>
              <w:t>00</w:t>
            </w:r>
            <w:r w:rsidRPr="004531C1">
              <w:rPr>
                <w:rFonts w:ascii="Arial" w:hAnsi="Arial" w:cs="Arial"/>
              </w:rPr>
              <w:t xml:space="preserve"> per respondent)</w:t>
            </w:r>
          </w:p>
        </w:tc>
        <w:tc>
          <w:tcPr>
            <w:tcW w:w="1488" w:type="dxa"/>
            <w:vAlign w:val="bottom"/>
          </w:tcPr>
          <w:p w:rsidR="00CB012F" w:rsidRPr="004531C1" w:rsidRDefault="00CB012F" w:rsidP="004531C1">
            <w:pPr>
              <w:widowControl w:val="0"/>
              <w:jc w:val="center"/>
              <w:rPr>
                <w:rFonts w:ascii="Arial" w:hAnsi="Arial" w:cs="Arial"/>
              </w:rPr>
            </w:pPr>
            <w:r w:rsidRPr="004531C1">
              <w:rPr>
                <w:rFonts w:ascii="Arial" w:hAnsi="Arial" w:cs="Arial"/>
              </w:rPr>
              <w:t>Total public cost</w:t>
            </w:r>
          </w:p>
        </w:tc>
      </w:tr>
      <w:tr w:rsidR="00CB012F" w:rsidRPr="00E66C5D" w:rsidTr="004531C1">
        <w:tc>
          <w:tcPr>
            <w:tcW w:w="1724" w:type="dxa"/>
            <w:gridSpan w:val="2"/>
          </w:tcPr>
          <w:p w:rsidR="00CB012F" w:rsidRPr="004531C1" w:rsidRDefault="00CB012F" w:rsidP="004531C1">
            <w:pPr>
              <w:widowControl w:val="0"/>
              <w:rPr>
                <w:rFonts w:ascii="Arial" w:hAnsi="Arial" w:cs="Arial"/>
              </w:rPr>
            </w:pPr>
            <w:r w:rsidRPr="004531C1">
              <w:rPr>
                <w:rFonts w:ascii="Arial" w:hAnsi="Arial" w:cs="Arial"/>
              </w:rPr>
              <w:t>I-94</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14,000,000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$52,136,000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$84,000,000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$136,136,000</w:t>
            </w:r>
          </w:p>
        </w:tc>
      </w:tr>
      <w:tr w:rsidR="00CB012F" w:rsidRPr="00E66C5D" w:rsidTr="004531C1">
        <w:tc>
          <w:tcPr>
            <w:tcW w:w="1724" w:type="dxa"/>
            <w:gridSpan w:val="2"/>
          </w:tcPr>
          <w:p w:rsidR="00CB012F" w:rsidRPr="004531C1" w:rsidRDefault="00CB012F" w:rsidP="004531C1">
            <w:pPr>
              <w:widowControl w:val="0"/>
              <w:rPr>
                <w:rFonts w:ascii="Arial" w:hAnsi="Arial" w:cs="Arial"/>
              </w:rPr>
            </w:pPr>
            <w:r w:rsidRPr="004531C1">
              <w:rPr>
                <w:rFonts w:ascii="Arial" w:hAnsi="Arial" w:cs="Arial"/>
              </w:rPr>
              <w:t>I-94W</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100,000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372,400</w:t>
            </w:r>
          </w:p>
        </w:tc>
        <w:tc>
          <w:tcPr>
            <w:tcW w:w="1488" w:type="dxa"/>
          </w:tcPr>
          <w:p w:rsidR="00CB012F" w:rsidRPr="004531C1" w:rsidRDefault="00CB012F" w:rsidP="00C31395">
            <w:pPr>
              <w:widowControl w:val="0"/>
              <w:rPr>
                <w:rFonts w:ascii="Arial" w:hAnsi="Arial" w:cs="Arial"/>
              </w:rPr>
            </w:pPr>
            <w:r>
              <w:rPr>
                <w:rFonts w:ascii="Arial" w:hAnsi="Arial" w:cs="Arial"/>
              </w:rPr>
              <w:t xml:space="preserve">       $600,000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0</w:t>
            </w:r>
          </w:p>
        </w:tc>
        <w:tc>
          <w:tcPr>
            <w:tcW w:w="1488" w:type="dxa"/>
          </w:tcPr>
          <w:p w:rsidR="00CB012F" w:rsidRPr="004531C1" w:rsidRDefault="00CB012F" w:rsidP="004531C1">
            <w:pPr>
              <w:widowControl w:val="0"/>
              <w:jc w:val="right"/>
              <w:rPr>
                <w:rFonts w:ascii="Arial" w:hAnsi="Arial" w:cs="Arial"/>
              </w:rPr>
            </w:pPr>
            <w:r>
              <w:rPr>
                <w:rFonts w:ascii="Arial" w:hAnsi="Arial" w:cs="Arial"/>
              </w:rPr>
              <w:t xml:space="preserve"> $600</w:t>
            </w:r>
            <w:r w:rsidRPr="004531C1">
              <w:rPr>
                <w:rFonts w:ascii="Arial" w:hAnsi="Arial" w:cs="Arial"/>
              </w:rPr>
              <w:t>,</w:t>
            </w:r>
            <w:r>
              <w:rPr>
                <w:rFonts w:ascii="Arial" w:hAnsi="Arial" w:cs="Arial"/>
              </w:rPr>
              <w:t>0</w:t>
            </w:r>
            <w:r w:rsidRPr="004531C1">
              <w:rPr>
                <w:rFonts w:ascii="Arial" w:hAnsi="Arial" w:cs="Arial"/>
              </w:rPr>
              <w:t>00</w:t>
            </w:r>
          </w:p>
        </w:tc>
      </w:tr>
      <w:tr w:rsidR="00CB012F" w:rsidRPr="00E66C5D" w:rsidTr="004531C1">
        <w:tc>
          <w:tcPr>
            <w:tcW w:w="1724" w:type="dxa"/>
            <w:gridSpan w:val="2"/>
          </w:tcPr>
          <w:p w:rsidR="00CB012F" w:rsidRPr="004531C1" w:rsidRDefault="00CB012F" w:rsidP="004531C1">
            <w:pPr>
              <w:widowControl w:val="0"/>
              <w:rPr>
                <w:rFonts w:ascii="Arial" w:hAnsi="Arial" w:cs="Arial"/>
              </w:rPr>
            </w:pPr>
            <w:r w:rsidRPr="004531C1">
              <w:rPr>
                <w:rFonts w:ascii="Arial" w:hAnsi="Arial" w:cs="Arial"/>
              </w:rPr>
              <w:t>ESTA burden</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1</w:t>
            </w:r>
            <w:r>
              <w:rPr>
                <w:rFonts w:ascii="Arial" w:hAnsi="Arial" w:cs="Arial"/>
              </w:rPr>
              <w:t>9</w:t>
            </w:r>
            <w:r w:rsidRPr="004531C1">
              <w:rPr>
                <w:rFonts w:ascii="Arial" w:hAnsi="Arial" w:cs="Arial"/>
              </w:rPr>
              <w:t>,</w:t>
            </w:r>
            <w:r>
              <w:rPr>
                <w:rFonts w:ascii="Arial" w:hAnsi="Arial" w:cs="Arial"/>
              </w:rPr>
              <w:t>140</w:t>
            </w:r>
            <w:r w:rsidRPr="004531C1">
              <w:rPr>
                <w:rFonts w:ascii="Arial" w:hAnsi="Arial" w:cs="Arial"/>
              </w:rPr>
              <w:t>,000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13</w:t>
            </w:r>
            <w:r>
              <w:rPr>
                <w:rFonts w:ascii="Arial" w:hAnsi="Arial" w:cs="Arial"/>
              </w:rPr>
              <w:t>3</w:t>
            </w:r>
            <w:r w:rsidRPr="004531C1">
              <w:rPr>
                <w:rFonts w:ascii="Arial" w:hAnsi="Arial" w:cs="Arial"/>
              </w:rPr>
              <w:t>,</w:t>
            </w:r>
            <w:r>
              <w:rPr>
                <w:rFonts w:ascii="Arial" w:hAnsi="Arial" w:cs="Arial"/>
              </w:rPr>
              <w:t>980</w:t>
            </w:r>
            <w:r w:rsidRPr="004531C1">
              <w:rPr>
                <w:rFonts w:ascii="Arial" w:hAnsi="Arial" w:cs="Arial"/>
              </w:rPr>
              <w:t>,000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0</w:t>
            </w:r>
          </w:p>
        </w:tc>
        <w:tc>
          <w:tcPr>
            <w:tcW w:w="1488" w:type="dxa"/>
          </w:tcPr>
          <w:p w:rsidR="00CB012F" w:rsidRPr="004531C1" w:rsidRDefault="00CB012F" w:rsidP="004531C1">
            <w:pPr>
              <w:widowControl w:val="0"/>
              <w:jc w:val="right"/>
              <w:rPr>
                <w:rFonts w:ascii="Arial" w:hAnsi="Arial" w:cs="Arial"/>
              </w:rPr>
            </w:pPr>
            <w:r w:rsidRPr="004531C1">
              <w:rPr>
                <w:rFonts w:ascii="Arial" w:hAnsi="Arial" w:cs="Arial"/>
              </w:rPr>
              <w:t>13</w:t>
            </w:r>
            <w:r>
              <w:rPr>
                <w:rFonts w:ascii="Arial" w:hAnsi="Arial" w:cs="Arial"/>
              </w:rPr>
              <w:t>3</w:t>
            </w:r>
            <w:r w:rsidRPr="004531C1">
              <w:rPr>
                <w:rFonts w:ascii="Arial" w:hAnsi="Arial" w:cs="Arial"/>
              </w:rPr>
              <w:t>,</w:t>
            </w:r>
            <w:r>
              <w:rPr>
                <w:rFonts w:ascii="Arial" w:hAnsi="Arial" w:cs="Arial"/>
              </w:rPr>
              <w:t>980</w:t>
            </w:r>
            <w:r w:rsidRPr="004531C1">
              <w:rPr>
                <w:rFonts w:ascii="Arial" w:hAnsi="Arial" w:cs="Arial"/>
              </w:rPr>
              <w:t>,000</w:t>
            </w:r>
          </w:p>
        </w:tc>
      </w:tr>
      <w:tr w:rsidR="00CB012F" w:rsidRPr="00E66C5D" w:rsidTr="004531C1">
        <w:trPr>
          <w:gridBefore w:val="1"/>
        </w:trPr>
        <w:tc>
          <w:tcPr>
            <w:tcW w:w="1724" w:type="dxa"/>
          </w:tcPr>
          <w:p w:rsidR="00CB012F" w:rsidRPr="00A957FE" w:rsidRDefault="00CB012F" w:rsidP="004531C1">
            <w:pPr>
              <w:widowControl w:val="0"/>
              <w:rPr>
                <w:rFonts w:ascii="Arial" w:hAnsi="Arial" w:cs="Arial"/>
              </w:rPr>
            </w:pPr>
            <w:r w:rsidRPr="00A957FE">
              <w:rPr>
                <w:rFonts w:ascii="Arial" w:hAnsi="Arial" w:cs="Arial"/>
              </w:rPr>
              <w:t>ESTA fee</w:t>
            </w:r>
          </w:p>
        </w:tc>
        <w:tc>
          <w:tcPr>
            <w:tcW w:w="1488" w:type="dxa"/>
          </w:tcPr>
          <w:p w:rsidR="00CB012F" w:rsidRPr="00A957FE" w:rsidRDefault="00CB012F" w:rsidP="004531C1">
            <w:pPr>
              <w:widowControl w:val="0"/>
              <w:jc w:val="right"/>
              <w:rPr>
                <w:rFonts w:ascii="Arial" w:hAnsi="Arial" w:cs="Arial"/>
              </w:rPr>
            </w:pPr>
            <w:r w:rsidRPr="00A957FE">
              <w:rPr>
                <w:rFonts w:ascii="Arial" w:hAnsi="Arial" w:cs="Arial"/>
              </w:rPr>
              <w:t>16,</w:t>
            </w:r>
            <w:r>
              <w:rPr>
                <w:rFonts w:ascii="Arial" w:hAnsi="Arial" w:cs="Arial"/>
              </w:rPr>
              <w:t>22</w:t>
            </w:r>
            <w:r w:rsidRPr="00A957FE">
              <w:rPr>
                <w:rFonts w:ascii="Arial" w:hAnsi="Arial" w:cs="Arial"/>
              </w:rPr>
              <w:t>0,000</w:t>
            </w:r>
          </w:p>
        </w:tc>
        <w:tc>
          <w:tcPr>
            <w:tcW w:w="1488" w:type="dxa"/>
          </w:tcPr>
          <w:p w:rsidR="00CB012F" w:rsidRPr="00A957FE" w:rsidRDefault="00CB012F" w:rsidP="004531C1">
            <w:pPr>
              <w:widowControl w:val="0"/>
              <w:jc w:val="right"/>
              <w:rPr>
                <w:rFonts w:ascii="Arial" w:hAnsi="Arial" w:cs="Arial"/>
              </w:rPr>
            </w:pPr>
            <w:r w:rsidRPr="00A957FE">
              <w:rPr>
                <w:rFonts w:ascii="Arial" w:hAnsi="Arial" w:cs="Arial"/>
              </w:rPr>
              <w:t>0</w:t>
            </w:r>
          </w:p>
        </w:tc>
        <w:tc>
          <w:tcPr>
            <w:tcW w:w="1488" w:type="dxa"/>
          </w:tcPr>
          <w:p w:rsidR="00CB012F" w:rsidRPr="00A957FE" w:rsidRDefault="00CB012F" w:rsidP="004531C1">
            <w:pPr>
              <w:widowControl w:val="0"/>
              <w:jc w:val="right"/>
              <w:rPr>
                <w:rFonts w:ascii="Arial" w:hAnsi="Arial" w:cs="Arial"/>
              </w:rPr>
            </w:pPr>
            <w:r w:rsidRPr="00A957FE">
              <w:rPr>
                <w:rFonts w:ascii="Arial" w:hAnsi="Arial" w:cs="Arial"/>
              </w:rPr>
              <w:t>0</w:t>
            </w:r>
          </w:p>
        </w:tc>
        <w:tc>
          <w:tcPr>
            <w:tcW w:w="1488" w:type="dxa"/>
          </w:tcPr>
          <w:p w:rsidR="00CB012F" w:rsidRPr="00A957FE" w:rsidRDefault="00CB012F" w:rsidP="004531C1">
            <w:pPr>
              <w:widowControl w:val="0"/>
              <w:jc w:val="right"/>
              <w:rPr>
                <w:rFonts w:ascii="Arial" w:hAnsi="Arial" w:cs="Arial"/>
              </w:rPr>
            </w:pPr>
            <w:r w:rsidRPr="00A957FE">
              <w:rPr>
                <w:rFonts w:ascii="Arial" w:hAnsi="Arial" w:cs="Arial"/>
              </w:rPr>
              <w:t>22</w:t>
            </w:r>
            <w:r>
              <w:rPr>
                <w:rFonts w:ascii="Arial" w:hAnsi="Arial" w:cs="Arial"/>
              </w:rPr>
              <w:t>7</w:t>
            </w:r>
            <w:r w:rsidRPr="00A957FE">
              <w:rPr>
                <w:rFonts w:ascii="Arial" w:hAnsi="Arial" w:cs="Arial"/>
              </w:rPr>
              <w:t>,0</w:t>
            </w:r>
            <w:r>
              <w:rPr>
                <w:rFonts w:ascii="Arial" w:hAnsi="Arial" w:cs="Arial"/>
              </w:rPr>
              <w:t>8</w:t>
            </w:r>
            <w:r w:rsidRPr="00A957FE">
              <w:rPr>
                <w:rFonts w:ascii="Arial" w:hAnsi="Arial" w:cs="Arial"/>
              </w:rPr>
              <w:t>0,000</w:t>
            </w:r>
          </w:p>
        </w:tc>
        <w:tc>
          <w:tcPr>
            <w:tcW w:w="1488" w:type="dxa"/>
          </w:tcPr>
          <w:p w:rsidR="00CB012F" w:rsidRPr="00A957FE" w:rsidRDefault="00CB012F" w:rsidP="004531C1">
            <w:pPr>
              <w:widowControl w:val="0"/>
              <w:jc w:val="right"/>
              <w:rPr>
                <w:rFonts w:ascii="Arial" w:hAnsi="Arial" w:cs="Arial"/>
              </w:rPr>
            </w:pPr>
            <w:r w:rsidRPr="00A957FE">
              <w:rPr>
                <w:rFonts w:ascii="Arial" w:hAnsi="Arial" w:cs="Arial"/>
              </w:rPr>
              <w:t>22</w:t>
            </w:r>
            <w:r>
              <w:rPr>
                <w:rFonts w:ascii="Arial" w:hAnsi="Arial" w:cs="Arial"/>
              </w:rPr>
              <w:t>7</w:t>
            </w:r>
            <w:r w:rsidRPr="00A957FE">
              <w:rPr>
                <w:rFonts w:ascii="Arial" w:hAnsi="Arial" w:cs="Arial"/>
              </w:rPr>
              <w:t>,0</w:t>
            </w:r>
            <w:r>
              <w:rPr>
                <w:rFonts w:ascii="Arial" w:hAnsi="Arial" w:cs="Arial"/>
              </w:rPr>
              <w:t>8</w:t>
            </w:r>
            <w:r w:rsidRPr="00A957FE">
              <w:rPr>
                <w:rFonts w:ascii="Arial" w:hAnsi="Arial" w:cs="Arial"/>
              </w:rPr>
              <w:t>0,000</w:t>
            </w:r>
          </w:p>
        </w:tc>
      </w:tr>
      <w:tr w:rsidR="00CB012F" w:rsidRPr="00E66C5D" w:rsidTr="004531C1">
        <w:trPr>
          <w:gridBefore w:val="1"/>
        </w:trPr>
        <w:tc>
          <w:tcPr>
            <w:tcW w:w="1724" w:type="dxa"/>
          </w:tcPr>
          <w:p w:rsidR="00CB012F" w:rsidRPr="00A957FE" w:rsidRDefault="00CB012F" w:rsidP="004531C1">
            <w:pPr>
              <w:widowControl w:val="0"/>
              <w:rPr>
                <w:rFonts w:ascii="Arial" w:hAnsi="Arial" w:cs="Arial"/>
                <w:b/>
              </w:rPr>
            </w:pPr>
            <w:r w:rsidRPr="00A957FE">
              <w:rPr>
                <w:rFonts w:ascii="Arial" w:hAnsi="Arial" w:cs="Arial"/>
                <w:b/>
              </w:rPr>
              <w:t>Grand total</w:t>
            </w:r>
          </w:p>
        </w:tc>
        <w:tc>
          <w:tcPr>
            <w:tcW w:w="1488" w:type="dxa"/>
          </w:tcPr>
          <w:p w:rsidR="00CB012F" w:rsidRPr="00A957FE" w:rsidRDefault="00CB012F" w:rsidP="004531C1">
            <w:pPr>
              <w:widowControl w:val="0"/>
              <w:jc w:val="right"/>
              <w:rPr>
                <w:rFonts w:ascii="Arial" w:hAnsi="Arial" w:cs="Arial"/>
                <w:b/>
              </w:rPr>
            </w:pPr>
          </w:p>
        </w:tc>
        <w:tc>
          <w:tcPr>
            <w:tcW w:w="1488" w:type="dxa"/>
          </w:tcPr>
          <w:p w:rsidR="00CB012F" w:rsidRPr="00A957FE" w:rsidRDefault="00CB012F" w:rsidP="004531C1">
            <w:pPr>
              <w:widowControl w:val="0"/>
              <w:jc w:val="right"/>
              <w:rPr>
                <w:rFonts w:ascii="Arial" w:hAnsi="Arial" w:cs="Arial"/>
                <w:b/>
              </w:rPr>
            </w:pPr>
            <w:r w:rsidRPr="00A957FE">
              <w:rPr>
                <w:rFonts w:ascii="Arial" w:hAnsi="Arial" w:cs="Arial"/>
                <w:b/>
              </w:rPr>
              <w:t>$18</w:t>
            </w:r>
            <w:r>
              <w:rPr>
                <w:rFonts w:ascii="Arial" w:hAnsi="Arial" w:cs="Arial"/>
                <w:b/>
              </w:rPr>
              <w:t>6</w:t>
            </w:r>
            <w:r w:rsidRPr="00A957FE">
              <w:rPr>
                <w:rFonts w:ascii="Arial" w:hAnsi="Arial" w:cs="Arial"/>
                <w:b/>
              </w:rPr>
              <w:t>,</w:t>
            </w:r>
            <w:r>
              <w:rPr>
                <w:rFonts w:ascii="Arial" w:hAnsi="Arial" w:cs="Arial"/>
                <w:b/>
              </w:rPr>
              <w:t>48</w:t>
            </w:r>
            <w:r w:rsidRPr="00A957FE">
              <w:rPr>
                <w:rFonts w:ascii="Arial" w:hAnsi="Arial" w:cs="Arial"/>
                <w:b/>
              </w:rPr>
              <w:t>8,400</w:t>
            </w:r>
          </w:p>
        </w:tc>
        <w:tc>
          <w:tcPr>
            <w:tcW w:w="1488" w:type="dxa"/>
          </w:tcPr>
          <w:p w:rsidR="00CB012F" w:rsidRPr="00A957FE" w:rsidRDefault="00CB012F" w:rsidP="004531C1">
            <w:pPr>
              <w:widowControl w:val="0"/>
              <w:jc w:val="right"/>
              <w:rPr>
                <w:rFonts w:ascii="Arial" w:hAnsi="Arial" w:cs="Arial"/>
                <w:b/>
              </w:rPr>
            </w:pPr>
            <w:r w:rsidRPr="00A957FE">
              <w:rPr>
                <w:rFonts w:ascii="Arial" w:hAnsi="Arial" w:cs="Arial"/>
                <w:b/>
              </w:rPr>
              <w:t>$84,600,000</w:t>
            </w:r>
          </w:p>
        </w:tc>
        <w:tc>
          <w:tcPr>
            <w:tcW w:w="1488" w:type="dxa"/>
          </w:tcPr>
          <w:p w:rsidR="00CB012F" w:rsidRPr="00A957FE" w:rsidRDefault="00CB012F" w:rsidP="004531C1">
            <w:pPr>
              <w:widowControl w:val="0"/>
              <w:jc w:val="right"/>
              <w:rPr>
                <w:rFonts w:ascii="Arial" w:hAnsi="Arial" w:cs="Arial"/>
                <w:b/>
              </w:rPr>
            </w:pPr>
            <w:r w:rsidRPr="00A957FE">
              <w:rPr>
                <w:rFonts w:ascii="Arial" w:hAnsi="Arial" w:cs="Arial"/>
                <w:b/>
              </w:rPr>
              <w:t>$22</w:t>
            </w:r>
            <w:r>
              <w:rPr>
                <w:rFonts w:ascii="Arial" w:hAnsi="Arial" w:cs="Arial"/>
                <w:b/>
              </w:rPr>
              <w:t>7</w:t>
            </w:r>
            <w:r w:rsidRPr="00A957FE">
              <w:rPr>
                <w:rFonts w:ascii="Arial" w:hAnsi="Arial" w:cs="Arial"/>
                <w:b/>
              </w:rPr>
              <w:t>,0</w:t>
            </w:r>
            <w:r>
              <w:rPr>
                <w:rFonts w:ascii="Arial" w:hAnsi="Arial" w:cs="Arial"/>
                <w:b/>
              </w:rPr>
              <w:t>8</w:t>
            </w:r>
            <w:r w:rsidRPr="00A957FE">
              <w:rPr>
                <w:rFonts w:ascii="Arial" w:hAnsi="Arial" w:cs="Arial"/>
                <w:b/>
              </w:rPr>
              <w:t>0,000</w:t>
            </w:r>
          </w:p>
        </w:tc>
        <w:tc>
          <w:tcPr>
            <w:tcW w:w="1488" w:type="dxa"/>
          </w:tcPr>
          <w:p w:rsidR="00CB012F" w:rsidRPr="00A957FE" w:rsidRDefault="00CB012F" w:rsidP="004531C1">
            <w:pPr>
              <w:widowControl w:val="0"/>
              <w:jc w:val="right"/>
              <w:rPr>
                <w:rFonts w:ascii="Arial" w:hAnsi="Arial" w:cs="Arial"/>
                <w:b/>
              </w:rPr>
            </w:pPr>
            <w:r w:rsidRPr="00A957FE">
              <w:rPr>
                <w:rFonts w:ascii="Arial" w:hAnsi="Arial" w:cs="Arial"/>
                <w:b/>
              </w:rPr>
              <w:t>$49</w:t>
            </w:r>
            <w:r>
              <w:rPr>
                <w:rFonts w:ascii="Arial" w:hAnsi="Arial" w:cs="Arial"/>
                <w:b/>
              </w:rPr>
              <w:t>7</w:t>
            </w:r>
            <w:r w:rsidRPr="00A957FE">
              <w:rPr>
                <w:rFonts w:ascii="Arial" w:hAnsi="Arial" w:cs="Arial"/>
                <w:b/>
              </w:rPr>
              <w:t>,</w:t>
            </w:r>
            <w:r>
              <w:rPr>
                <w:rFonts w:ascii="Arial" w:hAnsi="Arial" w:cs="Arial"/>
                <w:b/>
              </w:rPr>
              <w:t>796</w:t>
            </w:r>
            <w:r w:rsidRPr="00A957FE">
              <w:rPr>
                <w:rFonts w:ascii="Arial" w:hAnsi="Arial" w:cs="Arial"/>
                <w:b/>
              </w:rPr>
              <w:t>,000</w:t>
            </w:r>
          </w:p>
        </w:tc>
      </w:tr>
    </w:tbl>
    <w:p w:rsidR="00CB012F" w:rsidRDefault="00CB012F" w:rsidP="000B413F">
      <w:pPr>
        <w:jc w:val="both"/>
        <w:rPr>
          <w:rFonts w:ascii="Arial" w:hAnsi="Arial" w:cs="Arial"/>
        </w:rPr>
      </w:pPr>
      <w:r w:rsidRPr="00B02D55">
        <w:rPr>
          <w:rFonts w:ascii="Arial" w:hAnsi="Arial" w:cs="Arial"/>
        </w:rPr>
        <w:t>*</w:t>
      </w:r>
      <w:r w:rsidRPr="000B413F">
        <w:rPr>
          <w:rFonts w:ascii="Arial" w:hAnsi="Arial" w:cs="Arial"/>
        </w:rPr>
        <w:t xml:space="preserve"> </w:t>
      </w:r>
      <w:r>
        <w:rPr>
          <w:rFonts w:ascii="Arial" w:hAnsi="Arial" w:cs="Arial"/>
        </w:rPr>
        <w:t>Recall from the previous table that the burden for the I-94 and I-94W forms is 8 minutes (0.133 hours); the burden for ESTA is 15 minutes (0.25 hours).</w:t>
      </w:r>
    </w:p>
    <w:p w:rsidR="00CB012F" w:rsidRPr="00CF3DC6" w:rsidRDefault="00CB012F"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CB012F" w:rsidRPr="00CF3DC6" w:rsidRDefault="00CB012F"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CB012F" w:rsidRPr="00CF3DC6" w:rsidRDefault="00CB012F" w:rsidP="003C627E">
      <w:pPr>
        <w:tabs>
          <w:tab w:val="left" w:pos="-1440"/>
        </w:tabs>
        <w:ind w:left="720" w:hanging="720"/>
        <w:rPr>
          <w:rFonts w:ascii="Arial" w:hAnsi="Arial" w:cs="Arial"/>
          <w:sz w:val="24"/>
          <w:szCs w:val="24"/>
        </w:rPr>
      </w:pPr>
    </w:p>
    <w:p w:rsidR="00CB012F" w:rsidRPr="00CF3DC6" w:rsidRDefault="00CB012F"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CB012F" w:rsidRPr="00CF3DC6" w:rsidRDefault="00CB012F" w:rsidP="003C627E">
      <w:pPr>
        <w:ind w:left="180" w:firstLine="480"/>
        <w:rPr>
          <w:rFonts w:ascii="Arial" w:hAnsi="Arial" w:cs="Arial"/>
          <w:sz w:val="24"/>
          <w:szCs w:val="24"/>
        </w:rPr>
      </w:pPr>
      <w:r>
        <w:rPr>
          <w:rFonts w:ascii="Arial" w:hAnsi="Arial" w:cs="Arial"/>
          <w:sz w:val="24"/>
          <w:szCs w:val="24"/>
        </w:rPr>
        <w:t xml:space="preserve">                                      </w:t>
      </w:r>
    </w:p>
    <w:p w:rsidR="00CB012F" w:rsidRPr="00CF3DC6" w:rsidRDefault="00CB012F" w:rsidP="009806A8">
      <w:pPr>
        <w:widowControl w:val="0"/>
        <w:numPr>
          <w:ilvl w:val="0"/>
          <w:numId w:val="48"/>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B012F" w:rsidRPr="00CF3DC6" w:rsidRDefault="00CB012F" w:rsidP="00B42203">
      <w:pPr>
        <w:pStyle w:val="Heading3"/>
        <w:numPr>
          <w:ilvl w:val="0"/>
          <w:numId w:val="0"/>
        </w:numPr>
        <w:ind w:left="720"/>
        <w:rPr>
          <w:rFonts w:ascii="Arial" w:hAnsi="Arial" w:cs="Arial"/>
          <w:sz w:val="24"/>
          <w:szCs w:val="24"/>
        </w:rPr>
      </w:pPr>
    </w:p>
    <w:p w:rsidR="00CB012F" w:rsidRPr="00CF3DC6" w:rsidRDefault="00CB012F"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CB012F" w:rsidRPr="00CF3DC6" w:rsidRDefault="00CB012F" w:rsidP="00C52C4B"/>
    <w:p w:rsidR="00CB012F" w:rsidRPr="00CF3DC6" w:rsidRDefault="00CB012F"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CB012F" w:rsidRPr="00CF3DC6" w:rsidRDefault="00CB012F" w:rsidP="003C627E">
      <w:pPr>
        <w:tabs>
          <w:tab w:val="left" w:pos="-1440"/>
        </w:tabs>
        <w:ind w:left="720" w:hanging="720"/>
        <w:rPr>
          <w:rFonts w:ascii="Arial" w:hAnsi="Arial" w:cs="Arial"/>
          <w:sz w:val="24"/>
          <w:szCs w:val="24"/>
        </w:rPr>
      </w:pPr>
      <w:r w:rsidRPr="00CF3DC6">
        <w:rPr>
          <w:rFonts w:ascii="Arial" w:hAnsi="Arial" w:cs="Arial"/>
          <w:sz w:val="24"/>
          <w:szCs w:val="24"/>
        </w:rPr>
        <w:tab/>
      </w:r>
    </w:p>
    <w:p w:rsidR="00CB012F" w:rsidRPr="00C13E8F" w:rsidRDefault="00CB012F" w:rsidP="00C13E8F">
      <w:pPr>
        <w:ind w:left="720"/>
        <w:jc w:val="both"/>
        <w:rPr>
          <w:rFonts w:ascii="Arial" w:hAnsi="Arial" w:cs="Arial"/>
          <w:b/>
          <w:bCs/>
          <w:sz w:val="24"/>
          <w:szCs w:val="24"/>
        </w:rPr>
      </w:pPr>
      <w:r>
        <w:rPr>
          <w:rFonts w:ascii="Arial" w:hAnsi="Arial" w:cs="Arial"/>
          <w:sz w:val="24"/>
          <w:szCs w:val="24"/>
        </w:rPr>
        <w:t>CBP revised the ESTA information collection to reflect the addition of Taiwan to the Visa Waiver Program.  The estimated number of annual respondents was increased by 240,000 and the estimated number of burden hours was increased by 60,000.  There are no proposed changes to CBP Form I-94.</w:t>
      </w:r>
    </w:p>
    <w:p w:rsidR="00CB012F" w:rsidRPr="00CF3DC6" w:rsidRDefault="00CB012F" w:rsidP="003C627E">
      <w:pPr>
        <w:ind w:left="720" w:hanging="720"/>
        <w:rPr>
          <w:rFonts w:ascii="Arial" w:hAnsi="Arial" w:cs="Arial"/>
          <w:b/>
          <w:bCs/>
          <w:sz w:val="24"/>
          <w:szCs w:val="24"/>
        </w:rPr>
      </w:pPr>
    </w:p>
    <w:p w:rsidR="00CB012F" w:rsidRPr="00CF3DC6" w:rsidRDefault="00CB012F"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CB012F" w:rsidRPr="00CF3DC6" w:rsidRDefault="00CB012F" w:rsidP="003C627E">
      <w:pPr>
        <w:rPr>
          <w:rFonts w:ascii="Arial" w:hAnsi="Arial" w:cs="Arial"/>
          <w:sz w:val="24"/>
          <w:szCs w:val="24"/>
        </w:rPr>
      </w:pPr>
    </w:p>
    <w:p w:rsidR="00CB012F" w:rsidRPr="00CF3DC6" w:rsidRDefault="00CB012F"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CB012F" w:rsidRPr="00CF3DC6" w:rsidRDefault="00CB012F" w:rsidP="003C627E">
      <w:pPr>
        <w:rPr>
          <w:rFonts w:ascii="Arial" w:hAnsi="Arial" w:cs="Arial"/>
          <w:sz w:val="24"/>
          <w:szCs w:val="24"/>
        </w:rPr>
      </w:pPr>
    </w:p>
    <w:p w:rsidR="00CB012F" w:rsidRPr="00CF3DC6" w:rsidRDefault="00CB012F"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CB012F" w:rsidRPr="00CF3DC6" w:rsidRDefault="00CB012F" w:rsidP="003C627E">
      <w:pPr>
        <w:rPr>
          <w:rFonts w:ascii="Arial" w:hAnsi="Arial" w:cs="Arial"/>
          <w:b/>
          <w:bCs/>
          <w:sz w:val="24"/>
          <w:szCs w:val="24"/>
        </w:rPr>
      </w:pPr>
      <w:r w:rsidRPr="00CF3DC6">
        <w:rPr>
          <w:rFonts w:ascii="Arial" w:hAnsi="Arial" w:cs="Arial"/>
          <w:b/>
          <w:bCs/>
          <w:sz w:val="24"/>
          <w:szCs w:val="24"/>
        </w:rPr>
        <w:tab/>
      </w:r>
    </w:p>
    <w:p w:rsidR="00CB012F" w:rsidRPr="00CF3DC6" w:rsidRDefault="00CB012F" w:rsidP="003C627E">
      <w:pPr>
        <w:ind w:left="720"/>
        <w:rPr>
          <w:rFonts w:ascii="Arial" w:hAnsi="Arial" w:cs="Arial"/>
          <w:b/>
          <w:bCs/>
          <w:sz w:val="24"/>
          <w:szCs w:val="24"/>
        </w:rPr>
      </w:pPr>
      <w:r w:rsidRPr="00CF3DC6">
        <w:rPr>
          <w:rFonts w:ascii="Arial" w:hAnsi="Arial" w:cs="Arial"/>
          <w:sz w:val="24"/>
          <w:szCs w:val="24"/>
        </w:rPr>
        <w:t xml:space="preserve">CBP requests not to display the expiration date on these two forms because large quantities are stocked at CBP ports </w:t>
      </w:r>
      <w:r>
        <w:rPr>
          <w:rFonts w:ascii="Arial" w:hAnsi="Arial" w:cs="Arial"/>
          <w:sz w:val="24"/>
          <w:szCs w:val="24"/>
        </w:rPr>
        <w:t xml:space="preserve">and by airlines </w:t>
      </w:r>
      <w:r w:rsidRPr="00CF3DC6">
        <w:rPr>
          <w:rFonts w:ascii="Arial" w:hAnsi="Arial" w:cs="Arial"/>
          <w:sz w:val="24"/>
          <w:szCs w:val="24"/>
        </w:rPr>
        <w:t>in 17 languages.</w:t>
      </w:r>
      <w:r>
        <w:rPr>
          <w:rFonts w:ascii="Arial" w:hAnsi="Arial" w:cs="Arial"/>
          <w:sz w:val="24"/>
          <w:szCs w:val="24"/>
        </w:rPr>
        <w:t xml:space="preserve"> </w:t>
      </w:r>
      <w:r w:rsidRPr="00CF3DC6">
        <w:rPr>
          <w:rFonts w:ascii="Arial" w:hAnsi="Arial" w:cs="Arial"/>
          <w:sz w:val="24"/>
          <w:szCs w:val="24"/>
        </w:rPr>
        <w:t xml:space="preserve">However, </w:t>
      </w:r>
      <w:r>
        <w:rPr>
          <w:rFonts w:ascii="Arial" w:hAnsi="Arial" w:cs="Arial"/>
          <w:sz w:val="24"/>
          <w:szCs w:val="24"/>
        </w:rPr>
        <w:t xml:space="preserve">the expiration date is displayed on the </w:t>
      </w:r>
      <w:r w:rsidRPr="00CF3DC6">
        <w:rPr>
          <w:rFonts w:ascii="Arial" w:hAnsi="Arial" w:cs="Arial"/>
          <w:sz w:val="24"/>
          <w:szCs w:val="24"/>
        </w:rPr>
        <w:t>ESTA website.</w:t>
      </w:r>
    </w:p>
    <w:p w:rsidR="00CB012F" w:rsidRPr="00CF3DC6" w:rsidRDefault="00CB012F" w:rsidP="003C627E">
      <w:pPr>
        <w:rPr>
          <w:rFonts w:ascii="Arial" w:hAnsi="Arial" w:cs="Arial"/>
          <w:b/>
          <w:bCs/>
          <w:sz w:val="24"/>
          <w:szCs w:val="24"/>
        </w:rPr>
      </w:pPr>
    </w:p>
    <w:p w:rsidR="00CB012F" w:rsidRPr="00CF3DC6" w:rsidRDefault="00CB012F"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CB012F" w:rsidRPr="00CF3DC6" w:rsidRDefault="00CB012F" w:rsidP="003C627E">
      <w:pPr>
        <w:ind w:left="120"/>
        <w:rPr>
          <w:rFonts w:ascii="Arial" w:hAnsi="Arial" w:cs="Arial"/>
          <w:sz w:val="24"/>
          <w:szCs w:val="24"/>
        </w:rPr>
      </w:pPr>
      <w:r>
        <w:rPr>
          <w:rFonts w:ascii="Arial" w:hAnsi="Arial" w:cs="Arial"/>
          <w:b/>
          <w:bCs/>
          <w:sz w:val="24"/>
          <w:szCs w:val="24"/>
        </w:rPr>
        <w:t xml:space="preserve">                               </w:t>
      </w:r>
    </w:p>
    <w:p w:rsidR="00CB012F" w:rsidRPr="00CF3DC6" w:rsidRDefault="00CB012F"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CB012F" w:rsidRPr="00CF3DC6" w:rsidRDefault="00CB012F" w:rsidP="003C627E">
      <w:pPr>
        <w:rPr>
          <w:rFonts w:ascii="Arial" w:hAnsi="Arial" w:cs="Arial"/>
          <w:sz w:val="24"/>
          <w:szCs w:val="24"/>
        </w:rPr>
      </w:pPr>
    </w:p>
    <w:p w:rsidR="00CB012F" w:rsidRPr="00CF3DC6" w:rsidRDefault="00CB012F"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CB012F" w:rsidRPr="00CF3DC6" w:rsidRDefault="00CB012F" w:rsidP="003C627E">
      <w:pPr>
        <w:rPr>
          <w:rFonts w:ascii="Arial" w:hAnsi="Arial" w:cs="Arial"/>
          <w:sz w:val="24"/>
          <w:szCs w:val="24"/>
        </w:rPr>
      </w:pPr>
    </w:p>
    <w:p w:rsidR="00CB012F" w:rsidRPr="003C627E" w:rsidRDefault="00CB012F" w:rsidP="00B60D9F">
      <w:pPr>
        <w:pStyle w:val="BodyTextIndent2"/>
        <w:ind w:left="720"/>
        <w:rPr>
          <w:rFonts w:ascii="Arial" w:hAnsi="Arial" w:cs="Arial"/>
          <w:szCs w:val="24"/>
        </w:rPr>
      </w:pPr>
      <w:r w:rsidRPr="00CF3DC6">
        <w:rPr>
          <w:rFonts w:ascii="Arial" w:hAnsi="Arial" w:cs="Arial"/>
          <w:szCs w:val="24"/>
        </w:rPr>
        <w:t>No statistical methods were employed.</w:t>
      </w:r>
    </w:p>
    <w:p w:rsidR="00CB012F" w:rsidRPr="003C627E" w:rsidRDefault="00CB012F">
      <w:pPr>
        <w:jc w:val="both"/>
        <w:rPr>
          <w:rFonts w:ascii="Arial" w:hAnsi="Arial" w:cs="Arial"/>
          <w:b/>
          <w:sz w:val="24"/>
          <w:szCs w:val="24"/>
        </w:rPr>
      </w:pPr>
    </w:p>
    <w:sectPr w:rsidR="00CB012F" w:rsidRPr="003C627E" w:rsidSect="003A220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12F" w:rsidRDefault="00CB012F">
      <w:r>
        <w:separator/>
      </w:r>
    </w:p>
  </w:endnote>
  <w:endnote w:type="continuationSeparator" w:id="0">
    <w:p w:rsidR="00CB012F" w:rsidRDefault="00CB0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2F" w:rsidRDefault="00CB0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B012F" w:rsidRDefault="00CB01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2F" w:rsidRDefault="00CB0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B012F" w:rsidRDefault="00CB0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12F" w:rsidRDefault="00CB012F">
      <w:r>
        <w:separator/>
      </w:r>
    </w:p>
  </w:footnote>
  <w:footnote w:type="continuationSeparator" w:id="0">
    <w:p w:rsidR="00CB012F" w:rsidRDefault="00CB0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E72D6"/>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6466B11"/>
    <w:multiLevelType w:val="hybridMultilevel"/>
    <w:tmpl w:val="1CC887CA"/>
    <w:lvl w:ilvl="0" w:tplc="E92AB714">
      <w:start w:val="14"/>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5838CB"/>
    <w:multiLevelType w:val="hybridMultilevel"/>
    <w:tmpl w:val="6A34C9D2"/>
    <w:lvl w:ilvl="0" w:tplc="9B2094BC">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1C550B"/>
    <w:multiLevelType w:val="singleLevel"/>
    <w:tmpl w:val="A74CA2C8"/>
    <w:lvl w:ilvl="0">
      <w:start w:val="1"/>
      <w:numFmt w:val="lowerLetter"/>
      <w:lvlText w:val="%1."/>
      <w:lvlJc w:val="left"/>
      <w:pPr>
        <w:tabs>
          <w:tab w:val="num" w:pos="1440"/>
        </w:tabs>
        <w:ind w:left="1440" w:hanging="720"/>
      </w:pPr>
      <w:rPr>
        <w:rFonts w:cs="Times New Roman" w:hint="default"/>
      </w:rPr>
    </w:lvl>
  </w:abstractNum>
  <w:abstractNum w:abstractNumId="6">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2FC3A7D"/>
    <w:multiLevelType w:val="hybridMultilevel"/>
    <w:tmpl w:val="EA00B1F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0257D18"/>
    <w:multiLevelType w:val="singleLevel"/>
    <w:tmpl w:val="A274AD38"/>
    <w:lvl w:ilvl="0">
      <w:start w:val="1"/>
      <w:numFmt w:val="lowerLetter"/>
      <w:lvlText w:val="%1."/>
      <w:lvlJc w:val="left"/>
      <w:pPr>
        <w:tabs>
          <w:tab w:val="num" w:pos="1440"/>
        </w:tabs>
        <w:ind w:left="1440" w:hanging="720"/>
      </w:pPr>
      <w:rPr>
        <w:rFonts w:cs="Times New Roman" w:hint="default"/>
      </w:rPr>
    </w:lvl>
  </w:abstractNum>
  <w:abstractNum w:abstractNumId="9">
    <w:nsid w:val="4AB837A4"/>
    <w:multiLevelType w:val="hybridMultilevel"/>
    <w:tmpl w:val="D3BEC3F8"/>
    <w:lvl w:ilvl="0" w:tplc="86EA2F30">
      <w:start w:val="6"/>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02172"/>
    <w:multiLevelType w:val="multilevel"/>
    <w:tmpl w:val="EADE0DE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3">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A880D3F"/>
    <w:multiLevelType w:val="hybridMultilevel"/>
    <w:tmpl w:val="1E389B00"/>
    <w:lvl w:ilvl="0" w:tplc="04090015">
      <w:start w:val="1"/>
      <w:numFmt w:val="upperLetter"/>
      <w:lvlText w:val="%1."/>
      <w:lvlJc w:val="left"/>
      <w:pPr>
        <w:tabs>
          <w:tab w:val="num" w:pos="720"/>
        </w:tabs>
        <w:ind w:left="720" w:hanging="360"/>
      </w:pPr>
      <w:rPr>
        <w:rFonts w:cs="Times New Roman" w:hint="default"/>
      </w:rPr>
    </w:lvl>
    <w:lvl w:ilvl="1" w:tplc="FEFCD63A">
      <w:start w:val="1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1"/>
  </w:num>
  <w:num w:numId="36">
    <w:abstractNumId w:val="5"/>
  </w:num>
  <w:num w:numId="37">
    <w:abstractNumId w:val="8"/>
  </w:num>
  <w:num w:numId="38">
    <w:abstractNumId w:val="12"/>
  </w:num>
  <w:num w:numId="39">
    <w:abstractNumId w:val="4"/>
  </w:num>
  <w:num w:numId="40">
    <w:abstractNumId w:val="16"/>
  </w:num>
  <w:num w:numId="41">
    <w:abstractNumId w:val="3"/>
  </w:num>
  <w:num w:numId="42">
    <w:abstractNumId w:val="13"/>
  </w:num>
  <w:num w:numId="4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4">
    <w:abstractNumId w:val="14"/>
  </w:num>
  <w:num w:numId="45">
    <w:abstractNumId w:val="6"/>
  </w:num>
  <w:num w:numId="46">
    <w:abstractNumId w:val="9"/>
  </w:num>
  <w:num w:numId="47">
    <w:abstractNumId w:val="15"/>
  </w:num>
  <w:num w:numId="48">
    <w:abstractNumId w:val="10"/>
  </w:num>
  <w:num w:numId="49">
    <w:abstractNumId w:val="7"/>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B3D"/>
    <w:rsid w:val="00000619"/>
    <w:rsid w:val="0000523C"/>
    <w:rsid w:val="00006191"/>
    <w:rsid w:val="00015282"/>
    <w:rsid w:val="000160AD"/>
    <w:rsid w:val="00023A40"/>
    <w:rsid w:val="00025231"/>
    <w:rsid w:val="00025A92"/>
    <w:rsid w:val="00026879"/>
    <w:rsid w:val="00031953"/>
    <w:rsid w:val="00042249"/>
    <w:rsid w:val="000522C8"/>
    <w:rsid w:val="00052C2E"/>
    <w:rsid w:val="00052F10"/>
    <w:rsid w:val="0005336A"/>
    <w:rsid w:val="00063CAE"/>
    <w:rsid w:val="00073FE8"/>
    <w:rsid w:val="00091C52"/>
    <w:rsid w:val="00094114"/>
    <w:rsid w:val="0009529B"/>
    <w:rsid w:val="000A1EA8"/>
    <w:rsid w:val="000A4F5A"/>
    <w:rsid w:val="000B413F"/>
    <w:rsid w:val="000B6F05"/>
    <w:rsid w:val="000C2BEC"/>
    <w:rsid w:val="000C52D4"/>
    <w:rsid w:val="000C5A4D"/>
    <w:rsid w:val="000D4D35"/>
    <w:rsid w:val="000F2367"/>
    <w:rsid w:val="00102E11"/>
    <w:rsid w:val="00105F20"/>
    <w:rsid w:val="00120D9D"/>
    <w:rsid w:val="00121CCF"/>
    <w:rsid w:val="00123680"/>
    <w:rsid w:val="00130202"/>
    <w:rsid w:val="001319F6"/>
    <w:rsid w:val="00132C0F"/>
    <w:rsid w:val="001435C5"/>
    <w:rsid w:val="001451CC"/>
    <w:rsid w:val="001452E7"/>
    <w:rsid w:val="001461A8"/>
    <w:rsid w:val="00146700"/>
    <w:rsid w:val="00155623"/>
    <w:rsid w:val="00157AFC"/>
    <w:rsid w:val="001605CC"/>
    <w:rsid w:val="0016121D"/>
    <w:rsid w:val="001620FB"/>
    <w:rsid w:val="001709A5"/>
    <w:rsid w:val="00170F65"/>
    <w:rsid w:val="00174C8C"/>
    <w:rsid w:val="001758C5"/>
    <w:rsid w:val="00175DB4"/>
    <w:rsid w:val="00181D19"/>
    <w:rsid w:val="001853D5"/>
    <w:rsid w:val="00194320"/>
    <w:rsid w:val="001A09CF"/>
    <w:rsid w:val="001A163D"/>
    <w:rsid w:val="001A4E85"/>
    <w:rsid w:val="001B2AE4"/>
    <w:rsid w:val="001B6031"/>
    <w:rsid w:val="001C0AC4"/>
    <w:rsid w:val="001D13BB"/>
    <w:rsid w:val="001D2430"/>
    <w:rsid w:val="001D2F54"/>
    <w:rsid w:val="001F0592"/>
    <w:rsid w:val="001F3FDD"/>
    <w:rsid w:val="001F69E9"/>
    <w:rsid w:val="001F7E30"/>
    <w:rsid w:val="00201A97"/>
    <w:rsid w:val="00203029"/>
    <w:rsid w:val="00204192"/>
    <w:rsid w:val="00204FC2"/>
    <w:rsid w:val="002051AE"/>
    <w:rsid w:val="00212F30"/>
    <w:rsid w:val="002158F8"/>
    <w:rsid w:val="00222A05"/>
    <w:rsid w:val="00227BB1"/>
    <w:rsid w:val="00230C9E"/>
    <w:rsid w:val="002357E0"/>
    <w:rsid w:val="0023625B"/>
    <w:rsid w:val="00237FFD"/>
    <w:rsid w:val="00242885"/>
    <w:rsid w:val="00245EDD"/>
    <w:rsid w:val="00254D4F"/>
    <w:rsid w:val="00256298"/>
    <w:rsid w:val="002600BD"/>
    <w:rsid w:val="002616DB"/>
    <w:rsid w:val="00261ECE"/>
    <w:rsid w:val="002731B3"/>
    <w:rsid w:val="00275300"/>
    <w:rsid w:val="002800EE"/>
    <w:rsid w:val="00282DEE"/>
    <w:rsid w:val="002838C8"/>
    <w:rsid w:val="002838FD"/>
    <w:rsid w:val="00284F79"/>
    <w:rsid w:val="00290C6F"/>
    <w:rsid w:val="00292898"/>
    <w:rsid w:val="002935D1"/>
    <w:rsid w:val="00294D3F"/>
    <w:rsid w:val="002959C1"/>
    <w:rsid w:val="002A255C"/>
    <w:rsid w:val="002A4A4C"/>
    <w:rsid w:val="002B6B4B"/>
    <w:rsid w:val="002D3726"/>
    <w:rsid w:val="002D4899"/>
    <w:rsid w:val="002D76CE"/>
    <w:rsid w:val="002D7FAB"/>
    <w:rsid w:val="002E71B4"/>
    <w:rsid w:val="003078A1"/>
    <w:rsid w:val="00313A9F"/>
    <w:rsid w:val="00314E3C"/>
    <w:rsid w:val="0031591E"/>
    <w:rsid w:val="003170DC"/>
    <w:rsid w:val="00317477"/>
    <w:rsid w:val="00317485"/>
    <w:rsid w:val="003239E8"/>
    <w:rsid w:val="0032782E"/>
    <w:rsid w:val="0033587F"/>
    <w:rsid w:val="00343EC6"/>
    <w:rsid w:val="003473C7"/>
    <w:rsid w:val="003477AC"/>
    <w:rsid w:val="003479A9"/>
    <w:rsid w:val="00347F5B"/>
    <w:rsid w:val="00354A9D"/>
    <w:rsid w:val="003570FD"/>
    <w:rsid w:val="00360629"/>
    <w:rsid w:val="00362268"/>
    <w:rsid w:val="00365953"/>
    <w:rsid w:val="00365B81"/>
    <w:rsid w:val="0037037E"/>
    <w:rsid w:val="0037126E"/>
    <w:rsid w:val="00372351"/>
    <w:rsid w:val="003748E7"/>
    <w:rsid w:val="00380A11"/>
    <w:rsid w:val="00380C82"/>
    <w:rsid w:val="0038417E"/>
    <w:rsid w:val="003852D9"/>
    <w:rsid w:val="00392DB8"/>
    <w:rsid w:val="00394874"/>
    <w:rsid w:val="003952C7"/>
    <w:rsid w:val="003A2204"/>
    <w:rsid w:val="003A2D35"/>
    <w:rsid w:val="003A4647"/>
    <w:rsid w:val="003A4914"/>
    <w:rsid w:val="003A5966"/>
    <w:rsid w:val="003C1BDA"/>
    <w:rsid w:val="003C22D5"/>
    <w:rsid w:val="003C468F"/>
    <w:rsid w:val="003C627E"/>
    <w:rsid w:val="003D4B2D"/>
    <w:rsid w:val="003D56B5"/>
    <w:rsid w:val="003E3589"/>
    <w:rsid w:val="003E41E4"/>
    <w:rsid w:val="003E4F26"/>
    <w:rsid w:val="003F235B"/>
    <w:rsid w:val="003F3109"/>
    <w:rsid w:val="003F60E9"/>
    <w:rsid w:val="004108E8"/>
    <w:rsid w:val="00410C3D"/>
    <w:rsid w:val="004158E0"/>
    <w:rsid w:val="004160DF"/>
    <w:rsid w:val="00422030"/>
    <w:rsid w:val="00433E68"/>
    <w:rsid w:val="0043413D"/>
    <w:rsid w:val="00435035"/>
    <w:rsid w:val="00441A29"/>
    <w:rsid w:val="00451A8A"/>
    <w:rsid w:val="004531C1"/>
    <w:rsid w:val="00454E67"/>
    <w:rsid w:val="00460C83"/>
    <w:rsid w:val="0046528D"/>
    <w:rsid w:val="0046774C"/>
    <w:rsid w:val="00467EC7"/>
    <w:rsid w:val="00474F28"/>
    <w:rsid w:val="00476F71"/>
    <w:rsid w:val="004909E3"/>
    <w:rsid w:val="0049350A"/>
    <w:rsid w:val="00493669"/>
    <w:rsid w:val="00497394"/>
    <w:rsid w:val="00497950"/>
    <w:rsid w:val="004A1FA2"/>
    <w:rsid w:val="004A4E4B"/>
    <w:rsid w:val="004A68F1"/>
    <w:rsid w:val="004B139F"/>
    <w:rsid w:val="004B4797"/>
    <w:rsid w:val="004B4D5A"/>
    <w:rsid w:val="004C45EA"/>
    <w:rsid w:val="004C5A9B"/>
    <w:rsid w:val="004C7FA9"/>
    <w:rsid w:val="004D1E72"/>
    <w:rsid w:val="004D24AE"/>
    <w:rsid w:val="004D28E9"/>
    <w:rsid w:val="004D6306"/>
    <w:rsid w:val="004E0BEA"/>
    <w:rsid w:val="004F0BA1"/>
    <w:rsid w:val="004F4BF9"/>
    <w:rsid w:val="00505C60"/>
    <w:rsid w:val="00510C67"/>
    <w:rsid w:val="00513AE5"/>
    <w:rsid w:val="00513B69"/>
    <w:rsid w:val="00515AD7"/>
    <w:rsid w:val="005170D3"/>
    <w:rsid w:val="005242C7"/>
    <w:rsid w:val="005458BE"/>
    <w:rsid w:val="00550139"/>
    <w:rsid w:val="00560E18"/>
    <w:rsid w:val="005672B9"/>
    <w:rsid w:val="005678FE"/>
    <w:rsid w:val="00577662"/>
    <w:rsid w:val="00577C5A"/>
    <w:rsid w:val="00580D5E"/>
    <w:rsid w:val="00583D77"/>
    <w:rsid w:val="00584F90"/>
    <w:rsid w:val="00587A83"/>
    <w:rsid w:val="00590676"/>
    <w:rsid w:val="00596598"/>
    <w:rsid w:val="005A7BA7"/>
    <w:rsid w:val="005B5931"/>
    <w:rsid w:val="005C10FB"/>
    <w:rsid w:val="005C2EDD"/>
    <w:rsid w:val="005D0A31"/>
    <w:rsid w:val="005D1904"/>
    <w:rsid w:val="005D30AE"/>
    <w:rsid w:val="005D3731"/>
    <w:rsid w:val="005E0FE1"/>
    <w:rsid w:val="005E3BD8"/>
    <w:rsid w:val="005E6F96"/>
    <w:rsid w:val="005F0B29"/>
    <w:rsid w:val="005F2DFC"/>
    <w:rsid w:val="005F5FE4"/>
    <w:rsid w:val="00602B3D"/>
    <w:rsid w:val="00604315"/>
    <w:rsid w:val="00606894"/>
    <w:rsid w:val="00610EA0"/>
    <w:rsid w:val="00611FC5"/>
    <w:rsid w:val="00617E0F"/>
    <w:rsid w:val="00621AA5"/>
    <w:rsid w:val="006224FA"/>
    <w:rsid w:val="00630345"/>
    <w:rsid w:val="00630719"/>
    <w:rsid w:val="00631886"/>
    <w:rsid w:val="00631B67"/>
    <w:rsid w:val="00636D26"/>
    <w:rsid w:val="006400AF"/>
    <w:rsid w:val="0064352A"/>
    <w:rsid w:val="00644351"/>
    <w:rsid w:val="00650D85"/>
    <w:rsid w:val="006522E5"/>
    <w:rsid w:val="00653B9D"/>
    <w:rsid w:val="00655E67"/>
    <w:rsid w:val="006611B3"/>
    <w:rsid w:val="00665495"/>
    <w:rsid w:val="0067258B"/>
    <w:rsid w:val="00673823"/>
    <w:rsid w:val="0067385F"/>
    <w:rsid w:val="00673D95"/>
    <w:rsid w:val="006810F0"/>
    <w:rsid w:val="00681D59"/>
    <w:rsid w:val="00685B33"/>
    <w:rsid w:val="00687BD2"/>
    <w:rsid w:val="0069341C"/>
    <w:rsid w:val="006971A8"/>
    <w:rsid w:val="00697634"/>
    <w:rsid w:val="006A132E"/>
    <w:rsid w:val="006A1A18"/>
    <w:rsid w:val="006A75FE"/>
    <w:rsid w:val="006B3E68"/>
    <w:rsid w:val="006C0B93"/>
    <w:rsid w:val="006C6243"/>
    <w:rsid w:val="006C7E5C"/>
    <w:rsid w:val="006D269E"/>
    <w:rsid w:val="006D37E9"/>
    <w:rsid w:val="006E46F5"/>
    <w:rsid w:val="006E6019"/>
    <w:rsid w:val="006F0A47"/>
    <w:rsid w:val="006F1419"/>
    <w:rsid w:val="006F239A"/>
    <w:rsid w:val="006F601F"/>
    <w:rsid w:val="006F7711"/>
    <w:rsid w:val="00704407"/>
    <w:rsid w:val="00711F9A"/>
    <w:rsid w:val="00715B06"/>
    <w:rsid w:val="00715B48"/>
    <w:rsid w:val="00723190"/>
    <w:rsid w:val="00725249"/>
    <w:rsid w:val="00725459"/>
    <w:rsid w:val="00736816"/>
    <w:rsid w:val="007400D9"/>
    <w:rsid w:val="00742C64"/>
    <w:rsid w:val="00745F51"/>
    <w:rsid w:val="00755323"/>
    <w:rsid w:val="007572FB"/>
    <w:rsid w:val="00757AE8"/>
    <w:rsid w:val="00760B95"/>
    <w:rsid w:val="00761588"/>
    <w:rsid w:val="00771544"/>
    <w:rsid w:val="00771EA8"/>
    <w:rsid w:val="007748CD"/>
    <w:rsid w:val="007810AE"/>
    <w:rsid w:val="00785D12"/>
    <w:rsid w:val="00793431"/>
    <w:rsid w:val="007A4E84"/>
    <w:rsid w:val="007A5FFC"/>
    <w:rsid w:val="007A73A6"/>
    <w:rsid w:val="007B09AD"/>
    <w:rsid w:val="007B6883"/>
    <w:rsid w:val="007B7556"/>
    <w:rsid w:val="007C1A95"/>
    <w:rsid w:val="007C4000"/>
    <w:rsid w:val="007C78CD"/>
    <w:rsid w:val="007C78D3"/>
    <w:rsid w:val="007D51C8"/>
    <w:rsid w:val="007D542D"/>
    <w:rsid w:val="007E07CB"/>
    <w:rsid w:val="007E080F"/>
    <w:rsid w:val="007E381E"/>
    <w:rsid w:val="007E5C90"/>
    <w:rsid w:val="007F611A"/>
    <w:rsid w:val="00840EDB"/>
    <w:rsid w:val="00843FFB"/>
    <w:rsid w:val="008450D3"/>
    <w:rsid w:val="00846153"/>
    <w:rsid w:val="00850A56"/>
    <w:rsid w:val="00856B66"/>
    <w:rsid w:val="00862032"/>
    <w:rsid w:val="00871490"/>
    <w:rsid w:val="00877CFF"/>
    <w:rsid w:val="00885EEE"/>
    <w:rsid w:val="00886712"/>
    <w:rsid w:val="008874EC"/>
    <w:rsid w:val="00891837"/>
    <w:rsid w:val="008A46A4"/>
    <w:rsid w:val="008A4C8A"/>
    <w:rsid w:val="008A69FE"/>
    <w:rsid w:val="008C7778"/>
    <w:rsid w:val="008C7A14"/>
    <w:rsid w:val="008D30EB"/>
    <w:rsid w:val="008E381A"/>
    <w:rsid w:val="008E5503"/>
    <w:rsid w:val="008E611A"/>
    <w:rsid w:val="008F0A3C"/>
    <w:rsid w:val="008F164A"/>
    <w:rsid w:val="008F7818"/>
    <w:rsid w:val="009000E5"/>
    <w:rsid w:val="00907F83"/>
    <w:rsid w:val="00911FBC"/>
    <w:rsid w:val="00927415"/>
    <w:rsid w:val="009309D8"/>
    <w:rsid w:val="00932DEE"/>
    <w:rsid w:val="0093588E"/>
    <w:rsid w:val="00936A70"/>
    <w:rsid w:val="00941EC0"/>
    <w:rsid w:val="00942704"/>
    <w:rsid w:val="00943369"/>
    <w:rsid w:val="00945849"/>
    <w:rsid w:val="0094597E"/>
    <w:rsid w:val="00945CD4"/>
    <w:rsid w:val="00945D11"/>
    <w:rsid w:val="009507EE"/>
    <w:rsid w:val="009551D4"/>
    <w:rsid w:val="00956B74"/>
    <w:rsid w:val="00962D4E"/>
    <w:rsid w:val="0096476D"/>
    <w:rsid w:val="00965141"/>
    <w:rsid w:val="009667D2"/>
    <w:rsid w:val="00967D26"/>
    <w:rsid w:val="00973988"/>
    <w:rsid w:val="00976774"/>
    <w:rsid w:val="009806A8"/>
    <w:rsid w:val="00981F36"/>
    <w:rsid w:val="00983822"/>
    <w:rsid w:val="00992C6B"/>
    <w:rsid w:val="009938BF"/>
    <w:rsid w:val="00997875"/>
    <w:rsid w:val="00997C48"/>
    <w:rsid w:val="009A5FC7"/>
    <w:rsid w:val="009A7354"/>
    <w:rsid w:val="009B16AC"/>
    <w:rsid w:val="009B22B0"/>
    <w:rsid w:val="009B6057"/>
    <w:rsid w:val="009B7400"/>
    <w:rsid w:val="009C3D4C"/>
    <w:rsid w:val="009C58D2"/>
    <w:rsid w:val="009C7800"/>
    <w:rsid w:val="009E03E0"/>
    <w:rsid w:val="009F1FCB"/>
    <w:rsid w:val="009F2D94"/>
    <w:rsid w:val="00A05DFF"/>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63A9"/>
    <w:rsid w:val="00A87389"/>
    <w:rsid w:val="00A957FE"/>
    <w:rsid w:val="00A97FB8"/>
    <w:rsid w:val="00AA177A"/>
    <w:rsid w:val="00AA2B64"/>
    <w:rsid w:val="00AA2BCB"/>
    <w:rsid w:val="00AA50ED"/>
    <w:rsid w:val="00AB33B6"/>
    <w:rsid w:val="00AB4293"/>
    <w:rsid w:val="00AB5931"/>
    <w:rsid w:val="00AC0CA9"/>
    <w:rsid w:val="00AC3299"/>
    <w:rsid w:val="00AC3360"/>
    <w:rsid w:val="00AC344A"/>
    <w:rsid w:val="00AC475C"/>
    <w:rsid w:val="00AC53FC"/>
    <w:rsid w:val="00AD2F76"/>
    <w:rsid w:val="00AE0C94"/>
    <w:rsid w:val="00AE1EB3"/>
    <w:rsid w:val="00AE7DFD"/>
    <w:rsid w:val="00AF328E"/>
    <w:rsid w:val="00AF51A9"/>
    <w:rsid w:val="00AF64E6"/>
    <w:rsid w:val="00AF79A3"/>
    <w:rsid w:val="00B02D55"/>
    <w:rsid w:val="00B03BED"/>
    <w:rsid w:val="00B05EDA"/>
    <w:rsid w:val="00B07AD9"/>
    <w:rsid w:val="00B12A85"/>
    <w:rsid w:val="00B1458F"/>
    <w:rsid w:val="00B16A0D"/>
    <w:rsid w:val="00B16DDE"/>
    <w:rsid w:val="00B317B5"/>
    <w:rsid w:val="00B42203"/>
    <w:rsid w:val="00B43965"/>
    <w:rsid w:val="00B44B43"/>
    <w:rsid w:val="00B45A11"/>
    <w:rsid w:val="00B60D9F"/>
    <w:rsid w:val="00B61CB7"/>
    <w:rsid w:val="00B62CAC"/>
    <w:rsid w:val="00B65B45"/>
    <w:rsid w:val="00B738A3"/>
    <w:rsid w:val="00B823A7"/>
    <w:rsid w:val="00B86D5A"/>
    <w:rsid w:val="00B92799"/>
    <w:rsid w:val="00B95FB3"/>
    <w:rsid w:val="00B963B3"/>
    <w:rsid w:val="00BA3074"/>
    <w:rsid w:val="00BA40E6"/>
    <w:rsid w:val="00BA5256"/>
    <w:rsid w:val="00BA7952"/>
    <w:rsid w:val="00BB0AE3"/>
    <w:rsid w:val="00BB14E0"/>
    <w:rsid w:val="00BB1A73"/>
    <w:rsid w:val="00BC099D"/>
    <w:rsid w:val="00BC2E13"/>
    <w:rsid w:val="00BC5053"/>
    <w:rsid w:val="00BC668C"/>
    <w:rsid w:val="00BC719F"/>
    <w:rsid w:val="00BD503A"/>
    <w:rsid w:val="00BD7EB9"/>
    <w:rsid w:val="00BE0AD4"/>
    <w:rsid w:val="00BE1A0B"/>
    <w:rsid w:val="00BF1756"/>
    <w:rsid w:val="00BF4C8F"/>
    <w:rsid w:val="00BF7678"/>
    <w:rsid w:val="00C018D7"/>
    <w:rsid w:val="00C04964"/>
    <w:rsid w:val="00C06AE0"/>
    <w:rsid w:val="00C13E8F"/>
    <w:rsid w:val="00C14FDC"/>
    <w:rsid w:val="00C175FD"/>
    <w:rsid w:val="00C17D1F"/>
    <w:rsid w:val="00C31395"/>
    <w:rsid w:val="00C31E16"/>
    <w:rsid w:val="00C35D8F"/>
    <w:rsid w:val="00C47309"/>
    <w:rsid w:val="00C47FDD"/>
    <w:rsid w:val="00C52C4B"/>
    <w:rsid w:val="00C53F42"/>
    <w:rsid w:val="00C5481C"/>
    <w:rsid w:val="00C673EC"/>
    <w:rsid w:val="00C70668"/>
    <w:rsid w:val="00C70AA7"/>
    <w:rsid w:val="00C710F6"/>
    <w:rsid w:val="00C72425"/>
    <w:rsid w:val="00C75E3B"/>
    <w:rsid w:val="00C82C16"/>
    <w:rsid w:val="00C84445"/>
    <w:rsid w:val="00CA028F"/>
    <w:rsid w:val="00CA7B97"/>
    <w:rsid w:val="00CB012F"/>
    <w:rsid w:val="00CB1832"/>
    <w:rsid w:val="00CB2426"/>
    <w:rsid w:val="00CB25FE"/>
    <w:rsid w:val="00CB562D"/>
    <w:rsid w:val="00CC27E9"/>
    <w:rsid w:val="00CC4876"/>
    <w:rsid w:val="00CC6FE3"/>
    <w:rsid w:val="00CC7AA8"/>
    <w:rsid w:val="00CD49BF"/>
    <w:rsid w:val="00CD4ED1"/>
    <w:rsid w:val="00CD616B"/>
    <w:rsid w:val="00CD618A"/>
    <w:rsid w:val="00CD7FCF"/>
    <w:rsid w:val="00CE021C"/>
    <w:rsid w:val="00CE4FDE"/>
    <w:rsid w:val="00CE5B65"/>
    <w:rsid w:val="00CE76EE"/>
    <w:rsid w:val="00CF06B6"/>
    <w:rsid w:val="00CF3DC6"/>
    <w:rsid w:val="00CF7DA8"/>
    <w:rsid w:val="00CF7DAF"/>
    <w:rsid w:val="00D00795"/>
    <w:rsid w:val="00D017D8"/>
    <w:rsid w:val="00D057D1"/>
    <w:rsid w:val="00D101AB"/>
    <w:rsid w:val="00D10A7A"/>
    <w:rsid w:val="00D17BAA"/>
    <w:rsid w:val="00D428A0"/>
    <w:rsid w:val="00D4353C"/>
    <w:rsid w:val="00D52233"/>
    <w:rsid w:val="00D52DE3"/>
    <w:rsid w:val="00D53214"/>
    <w:rsid w:val="00D6259A"/>
    <w:rsid w:val="00D62795"/>
    <w:rsid w:val="00D62D61"/>
    <w:rsid w:val="00D67B78"/>
    <w:rsid w:val="00D71C5B"/>
    <w:rsid w:val="00D73006"/>
    <w:rsid w:val="00D73ABC"/>
    <w:rsid w:val="00D76889"/>
    <w:rsid w:val="00D85559"/>
    <w:rsid w:val="00DB4AA0"/>
    <w:rsid w:val="00DB6584"/>
    <w:rsid w:val="00DC22A3"/>
    <w:rsid w:val="00DD207A"/>
    <w:rsid w:val="00DE176F"/>
    <w:rsid w:val="00DE1C58"/>
    <w:rsid w:val="00DE6EB8"/>
    <w:rsid w:val="00E0052B"/>
    <w:rsid w:val="00E00CD0"/>
    <w:rsid w:val="00E0253A"/>
    <w:rsid w:val="00E02A4F"/>
    <w:rsid w:val="00E0378D"/>
    <w:rsid w:val="00E05EDE"/>
    <w:rsid w:val="00E12D18"/>
    <w:rsid w:val="00E13C1E"/>
    <w:rsid w:val="00E15324"/>
    <w:rsid w:val="00E20CA0"/>
    <w:rsid w:val="00E21209"/>
    <w:rsid w:val="00E231F1"/>
    <w:rsid w:val="00E233FF"/>
    <w:rsid w:val="00E243B7"/>
    <w:rsid w:val="00E343E9"/>
    <w:rsid w:val="00E4016B"/>
    <w:rsid w:val="00E40F9E"/>
    <w:rsid w:val="00E44FF7"/>
    <w:rsid w:val="00E51A80"/>
    <w:rsid w:val="00E51C79"/>
    <w:rsid w:val="00E622A8"/>
    <w:rsid w:val="00E637DF"/>
    <w:rsid w:val="00E64E06"/>
    <w:rsid w:val="00E66C5D"/>
    <w:rsid w:val="00E673EB"/>
    <w:rsid w:val="00E67652"/>
    <w:rsid w:val="00E74EA7"/>
    <w:rsid w:val="00E750B8"/>
    <w:rsid w:val="00E757B6"/>
    <w:rsid w:val="00E76469"/>
    <w:rsid w:val="00E764AD"/>
    <w:rsid w:val="00E806E0"/>
    <w:rsid w:val="00E81B18"/>
    <w:rsid w:val="00E8386C"/>
    <w:rsid w:val="00E859ED"/>
    <w:rsid w:val="00E85F24"/>
    <w:rsid w:val="00E9217A"/>
    <w:rsid w:val="00E960D9"/>
    <w:rsid w:val="00E966AE"/>
    <w:rsid w:val="00EA32EA"/>
    <w:rsid w:val="00EB2857"/>
    <w:rsid w:val="00EB48BE"/>
    <w:rsid w:val="00EC2E05"/>
    <w:rsid w:val="00EC3023"/>
    <w:rsid w:val="00EC69D0"/>
    <w:rsid w:val="00ED384C"/>
    <w:rsid w:val="00ED7DDF"/>
    <w:rsid w:val="00EE03EC"/>
    <w:rsid w:val="00EE6426"/>
    <w:rsid w:val="00EF12A9"/>
    <w:rsid w:val="00EF32B1"/>
    <w:rsid w:val="00EF3BDF"/>
    <w:rsid w:val="00F02D5A"/>
    <w:rsid w:val="00F058A1"/>
    <w:rsid w:val="00F14652"/>
    <w:rsid w:val="00F214A0"/>
    <w:rsid w:val="00F23025"/>
    <w:rsid w:val="00F2732C"/>
    <w:rsid w:val="00F342DD"/>
    <w:rsid w:val="00F37935"/>
    <w:rsid w:val="00F424A9"/>
    <w:rsid w:val="00F430CD"/>
    <w:rsid w:val="00F44ED7"/>
    <w:rsid w:val="00F46DC6"/>
    <w:rsid w:val="00F51B30"/>
    <w:rsid w:val="00F51BD6"/>
    <w:rsid w:val="00F52451"/>
    <w:rsid w:val="00F537F8"/>
    <w:rsid w:val="00F62ADD"/>
    <w:rsid w:val="00F6351B"/>
    <w:rsid w:val="00F63A43"/>
    <w:rsid w:val="00F6516D"/>
    <w:rsid w:val="00F70C58"/>
    <w:rsid w:val="00F776C8"/>
    <w:rsid w:val="00F83F46"/>
    <w:rsid w:val="00F85612"/>
    <w:rsid w:val="00F872B9"/>
    <w:rsid w:val="00F94A1A"/>
    <w:rsid w:val="00F95CD3"/>
    <w:rsid w:val="00FA047F"/>
    <w:rsid w:val="00FA13DD"/>
    <w:rsid w:val="00FA3FAE"/>
    <w:rsid w:val="00FA6C8E"/>
    <w:rsid w:val="00FB3059"/>
    <w:rsid w:val="00FB3A09"/>
    <w:rsid w:val="00FB58BE"/>
    <w:rsid w:val="00FB6B99"/>
    <w:rsid w:val="00FC4FEF"/>
    <w:rsid w:val="00FD055A"/>
    <w:rsid w:val="00FD5FB5"/>
    <w:rsid w:val="00FD68C6"/>
    <w:rsid w:val="00FF4987"/>
    <w:rsid w:val="00FF6E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38"/>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b/>
      <w:bCs/>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4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50"/>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xp/cgov/travel/id_visa/business_pleasure/vwp/i94_samples.x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bp.gov/xp/cgov/travel/id_visa/i-94_instructions/filling_out_i94.x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p.gov/linkhandler/cgov/toolbox/forms/visa_waiver.ctt/visa_waive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bp.gov/linkhandler/cgov/toolbox/forms/arrival.ctt/arrival.pdf" TargetMode="External"/><Relationship Id="rId4" Type="http://schemas.openxmlformats.org/officeDocument/2006/relationships/webSettings" Target="webSettings.xml"/><Relationship Id="rId9" Type="http://schemas.openxmlformats.org/officeDocument/2006/relationships/hyperlink" Target="http://www.cbp.gov/xp/cgov/travel/id_visa/es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2021</Words>
  <Characters>11522</Characters>
  <Application>Microsoft Office Outlook</Application>
  <DocSecurity>0</DocSecurity>
  <Lines>0</Lines>
  <Paragraphs>0</Paragraphs>
  <ScaleCrop>false</ScaleCrop>
  <Company>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dc:description/>
  <cp:lastModifiedBy>Tracey Denning</cp:lastModifiedBy>
  <cp:revision>2</cp:revision>
  <cp:lastPrinted>2012-10-01T19:41:00Z</cp:lastPrinted>
  <dcterms:created xsi:type="dcterms:W3CDTF">2012-10-01T20:00:00Z</dcterms:created>
  <dcterms:modified xsi:type="dcterms:W3CDTF">2012-10-01T20:00:00Z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