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6D" w:rsidRPr="0001396B" w:rsidRDefault="00B94C6D" w:rsidP="0001396B">
      <w:pPr>
        <w:spacing w:before="0" w:after="0"/>
        <w:jc w:val="center"/>
        <w:rPr>
          <w:rFonts w:asciiTheme="minorHAnsi" w:hAnsiTheme="minorHAnsi" w:cstheme="minorHAnsi"/>
          <w:b/>
          <w:sz w:val="28"/>
          <w:szCs w:val="28"/>
        </w:rPr>
      </w:pPr>
      <w:bookmarkStart w:id="0" w:name="_GoBack"/>
      <w:bookmarkEnd w:id="0"/>
      <w:r w:rsidRPr="0001396B">
        <w:rPr>
          <w:rFonts w:asciiTheme="minorHAnsi" w:hAnsiTheme="minorHAnsi" w:cstheme="minorHAnsi"/>
          <w:b/>
          <w:sz w:val="28"/>
          <w:szCs w:val="28"/>
        </w:rPr>
        <w:t>State Health Information Exchange Cooperative Agreement</w:t>
      </w:r>
    </w:p>
    <w:p w:rsidR="0001396B" w:rsidRPr="0001396B" w:rsidRDefault="0001396B" w:rsidP="0001396B">
      <w:pPr>
        <w:spacing w:before="0" w:after="0"/>
        <w:jc w:val="center"/>
        <w:rPr>
          <w:rFonts w:asciiTheme="minorHAnsi" w:hAnsiTheme="minorHAnsi" w:cstheme="minorHAnsi"/>
        </w:rPr>
      </w:pPr>
    </w:p>
    <w:p w:rsidR="00B94C6D" w:rsidRPr="004100FC" w:rsidRDefault="00AB7E42" w:rsidP="00854067">
      <w:pPr>
        <w:pStyle w:val="DocumentTitle"/>
        <w:spacing w:before="0" w:after="0"/>
        <w:rPr>
          <w:rFonts w:asciiTheme="minorHAnsi" w:hAnsiTheme="minorHAnsi" w:cstheme="minorHAnsi"/>
          <w:color w:val="auto"/>
        </w:rPr>
      </w:pPr>
      <w:r w:rsidRPr="0001396B">
        <w:rPr>
          <w:rFonts w:asciiTheme="minorHAnsi" w:hAnsiTheme="minorHAnsi" w:cstheme="minorHAnsi"/>
          <w:bCs w:val="0"/>
          <w:iCs/>
          <w:color w:val="auto"/>
        </w:rPr>
        <w:t xml:space="preserve">National </w:t>
      </w:r>
      <w:r w:rsidR="00E8270E" w:rsidRPr="0001396B">
        <w:rPr>
          <w:rFonts w:asciiTheme="minorHAnsi" w:hAnsiTheme="minorHAnsi" w:cstheme="minorHAnsi"/>
          <w:bCs w:val="0"/>
          <w:iCs/>
          <w:color w:val="auto"/>
        </w:rPr>
        <w:t xml:space="preserve">Survey </w:t>
      </w:r>
      <w:r w:rsidRPr="0001396B">
        <w:rPr>
          <w:rFonts w:asciiTheme="minorHAnsi" w:hAnsiTheme="minorHAnsi" w:cstheme="minorHAnsi"/>
          <w:bCs w:val="0"/>
          <w:iCs/>
          <w:color w:val="auto"/>
        </w:rPr>
        <w:t xml:space="preserve">on Health Information Exchange </w:t>
      </w:r>
      <w:r w:rsidR="004100FC">
        <w:rPr>
          <w:rFonts w:asciiTheme="minorHAnsi" w:hAnsiTheme="minorHAnsi" w:cstheme="minorHAnsi"/>
          <w:bCs w:val="0"/>
          <w:iCs/>
          <w:color w:val="auto"/>
        </w:rPr>
        <w:t>in Clinical Laboratories</w:t>
      </w:r>
    </w:p>
    <w:p w:rsidR="00C751F6" w:rsidRPr="0001396B" w:rsidRDefault="00C751F6" w:rsidP="00854067">
      <w:pPr>
        <w:pStyle w:val="DocumentTitle"/>
        <w:spacing w:before="0" w:after="0"/>
        <w:rPr>
          <w:rFonts w:asciiTheme="minorHAnsi" w:hAnsiTheme="minorHAnsi" w:cstheme="minorHAnsi"/>
          <w:color w:val="auto"/>
        </w:rPr>
      </w:pPr>
    </w:p>
    <w:p w:rsidR="00E8270E" w:rsidRPr="0001396B" w:rsidRDefault="00E8270E" w:rsidP="00854067">
      <w:pPr>
        <w:pStyle w:val="DocumentTitle"/>
        <w:spacing w:before="0" w:after="0"/>
        <w:rPr>
          <w:rFonts w:asciiTheme="minorHAnsi" w:hAnsiTheme="minorHAnsi" w:cstheme="minorHAnsi"/>
          <w:color w:val="17365D"/>
        </w:rPr>
      </w:pPr>
    </w:p>
    <w:p w:rsidR="00E8270E" w:rsidRPr="0001396B" w:rsidRDefault="00E8270E" w:rsidP="00854067">
      <w:pPr>
        <w:pStyle w:val="DocumentTitle"/>
        <w:spacing w:before="0" w:after="0"/>
        <w:rPr>
          <w:rFonts w:asciiTheme="minorHAnsi" w:hAnsiTheme="minorHAnsi" w:cstheme="minorHAnsi"/>
          <w:color w:val="17365D"/>
        </w:rPr>
      </w:pPr>
    </w:p>
    <w:p w:rsidR="00B94C6D" w:rsidRPr="0001396B" w:rsidRDefault="00B94C6D" w:rsidP="00854067">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Information Collection Request</w:t>
      </w:r>
    </w:p>
    <w:p w:rsidR="0072239F" w:rsidRPr="0001396B" w:rsidRDefault="0072239F" w:rsidP="00854067">
      <w:pPr>
        <w:pStyle w:val="DocumentTitle"/>
        <w:spacing w:before="0" w:after="0"/>
        <w:rPr>
          <w:rFonts w:asciiTheme="minorHAnsi" w:hAnsiTheme="minorHAnsi" w:cstheme="minorHAnsi"/>
          <w:color w:val="17365D"/>
        </w:rPr>
      </w:pPr>
    </w:p>
    <w:p w:rsidR="00E8270E" w:rsidRPr="0001396B" w:rsidRDefault="00E8270E" w:rsidP="00854067">
      <w:pPr>
        <w:pStyle w:val="DocumentDate"/>
        <w:rPr>
          <w:rFonts w:asciiTheme="minorHAnsi" w:hAnsiTheme="minorHAnsi" w:cstheme="minorHAnsi"/>
          <w:color w:val="17365D"/>
        </w:rPr>
      </w:pPr>
    </w:p>
    <w:p w:rsidR="00B94C6D" w:rsidRPr="0001396B" w:rsidRDefault="00B94C6D" w:rsidP="00854067">
      <w:pPr>
        <w:pStyle w:val="DocumentDate"/>
        <w:rPr>
          <w:rFonts w:asciiTheme="minorHAnsi" w:hAnsiTheme="minorHAnsi" w:cstheme="minorHAnsi"/>
          <w:color w:val="17365D"/>
        </w:rPr>
      </w:pPr>
      <w:r w:rsidRPr="0001396B">
        <w:rPr>
          <w:rFonts w:asciiTheme="minorHAnsi" w:hAnsiTheme="minorHAnsi" w:cstheme="minorHAnsi"/>
          <w:color w:val="17365D"/>
        </w:rPr>
        <w:t xml:space="preserve">Supporting Statement, Part A </w:t>
      </w:r>
    </w:p>
    <w:p w:rsidR="0072239F" w:rsidRPr="0001396B" w:rsidRDefault="0072239F" w:rsidP="00854067">
      <w:pPr>
        <w:pStyle w:val="DocumentTitle"/>
        <w:spacing w:before="0" w:after="0"/>
        <w:rPr>
          <w:rFonts w:asciiTheme="minorHAnsi" w:hAnsiTheme="minorHAnsi" w:cstheme="minorHAnsi"/>
          <w:color w:val="17365D"/>
        </w:rPr>
      </w:pPr>
      <w:bookmarkStart w:id="1" w:name="_Toc201299016"/>
      <w:bookmarkStart w:id="2" w:name="_Toc236750700"/>
      <w:bookmarkStart w:id="3" w:name="_Toc236750925"/>
      <w:bookmarkStart w:id="4" w:name="_Toc236751150"/>
      <w:bookmarkStart w:id="5" w:name="_Toc236752509"/>
      <w:bookmarkStart w:id="6" w:name="_Toc236808577"/>
      <w:bookmarkStart w:id="7" w:name="_Toc236809002"/>
      <w:bookmarkStart w:id="8" w:name="_Toc286057981"/>
    </w:p>
    <w:p w:rsidR="00C751F6" w:rsidRPr="0001396B" w:rsidRDefault="00C751F6" w:rsidP="00854067">
      <w:pPr>
        <w:pStyle w:val="DocumentTitle"/>
        <w:spacing w:before="0" w:after="0"/>
        <w:rPr>
          <w:rFonts w:asciiTheme="minorHAnsi" w:hAnsiTheme="minorHAnsi" w:cstheme="minorHAnsi"/>
          <w:color w:val="17365D"/>
        </w:rPr>
      </w:pPr>
    </w:p>
    <w:p w:rsidR="00C751F6" w:rsidRPr="0001396B" w:rsidRDefault="00C751F6" w:rsidP="00854067">
      <w:pPr>
        <w:pStyle w:val="DocumentTitle"/>
        <w:spacing w:before="0" w:after="0"/>
        <w:rPr>
          <w:rFonts w:asciiTheme="minorHAnsi" w:hAnsiTheme="minorHAnsi" w:cstheme="minorHAnsi"/>
          <w:color w:val="17365D"/>
        </w:rPr>
      </w:pPr>
    </w:p>
    <w:p w:rsidR="00C751F6" w:rsidRPr="0001396B" w:rsidRDefault="00A75FD0" w:rsidP="00A75FD0">
      <w:pPr>
        <w:pStyle w:val="DocumentTitle"/>
        <w:tabs>
          <w:tab w:val="left" w:pos="5340"/>
        </w:tabs>
        <w:spacing w:before="0" w:after="0"/>
        <w:jc w:val="left"/>
        <w:rPr>
          <w:rFonts w:asciiTheme="minorHAnsi" w:hAnsiTheme="minorHAnsi" w:cstheme="minorHAnsi"/>
          <w:color w:val="17365D"/>
        </w:rPr>
      </w:pPr>
      <w:r>
        <w:rPr>
          <w:rFonts w:asciiTheme="minorHAnsi" w:hAnsiTheme="minorHAnsi" w:cstheme="minorHAnsi"/>
          <w:color w:val="17365D"/>
        </w:rPr>
        <w:tab/>
      </w:r>
    </w:p>
    <w:p w:rsidR="00C751F6" w:rsidRPr="0001396B" w:rsidRDefault="00C751F6" w:rsidP="00854067">
      <w:pPr>
        <w:pStyle w:val="DocumentTitle"/>
        <w:spacing w:before="0" w:after="0"/>
        <w:rPr>
          <w:rFonts w:asciiTheme="minorHAnsi" w:hAnsiTheme="minorHAnsi" w:cstheme="minorHAnsi"/>
          <w:color w:val="17365D"/>
        </w:rPr>
      </w:pPr>
    </w:p>
    <w:p w:rsidR="00C751F6" w:rsidRPr="0001396B" w:rsidRDefault="00C751F6" w:rsidP="00854067">
      <w:pPr>
        <w:pStyle w:val="DocumentTitle"/>
        <w:spacing w:before="0" w:after="0"/>
        <w:rPr>
          <w:rFonts w:asciiTheme="minorHAnsi" w:hAnsiTheme="minorHAnsi" w:cstheme="minorHAnsi"/>
          <w:color w:val="17365D"/>
        </w:rPr>
      </w:pPr>
    </w:p>
    <w:p w:rsidR="004A78A0" w:rsidRPr="0001396B" w:rsidRDefault="004A78A0" w:rsidP="00854067">
      <w:pPr>
        <w:pStyle w:val="DocumentTitle"/>
        <w:spacing w:before="0" w:after="0"/>
        <w:rPr>
          <w:rFonts w:asciiTheme="minorHAnsi" w:hAnsiTheme="minorHAnsi" w:cstheme="minorHAnsi"/>
          <w:color w:val="17365D"/>
        </w:rPr>
      </w:pPr>
    </w:p>
    <w:p w:rsidR="004A78A0" w:rsidRPr="0001396B" w:rsidRDefault="00C751F6" w:rsidP="00854067">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Submitted by:</w:t>
      </w:r>
    </w:p>
    <w:p w:rsidR="004A78A0" w:rsidRPr="0001396B" w:rsidRDefault="004A78A0" w:rsidP="00854067">
      <w:pPr>
        <w:pStyle w:val="DocumentTitle"/>
        <w:spacing w:before="0" w:after="0"/>
        <w:rPr>
          <w:rFonts w:asciiTheme="minorHAnsi" w:hAnsiTheme="minorHAnsi" w:cstheme="minorHAnsi"/>
          <w:color w:val="17365D"/>
        </w:rPr>
      </w:pPr>
    </w:p>
    <w:p w:rsidR="004A78A0" w:rsidRPr="0001396B" w:rsidRDefault="00C751F6" w:rsidP="00854067">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Matthew Swain</w:t>
      </w:r>
    </w:p>
    <w:p w:rsidR="0072239F" w:rsidRPr="0001396B" w:rsidRDefault="0072239F" w:rsidP="00854067">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 xml:space="preserve">Office of the National Coordinator for Health Information Technology </w:t>
      </w:r>
      <w:r w:rsidR="00C751F6" w:rsidRPr="0001396B">
        <w:rPr>
          <w:rFonts w:asciiTheme="minorHAnsi" w:hAnsiTheme="minorHAnsi" w:cstheme="minorHAnsi"/>
          <w:color w:val="17365D"/>
        </w:rPr>
        <w:t>(</w:t>
      </w:r>
      <w:r w:rsidRPr="0001396B">
        <w:rPr>
          <w:rFonts w:asciiTheme="minorHAnsi" w:hAnsiTheme="minorHAnsi" w:cstheme="minorHAnsi"/>
          <w:color w:val="17365D"/>
        </w:rPr>
        <w:t>ONC)</w:t>
      </w:r>
    </w:p>
    <w:p w:rsidR="004A78A0" w:rsidRPr="0001396B" w:rsidRDefault="00C751F6" w:rsidP="00854067">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U.S. Department of Health and Human Services (HHS)</w:t>
      </w:r>
    </w:p>
    <w:p w:rsidR="004A78A0" w:rsidRPr="0001396B" w:rsidRDefault="00C751F6" w:rsidP="00854067">
      <w:pPr>
        <w:pStyle w:val="DocumentTitle"/>
        <w:spacing w:before="0" w:after="0"/>
        <w:rPr>
          <w:rFonts w:asciiTheme="minorHAnsi" w:hAnsiTheme="minorHAnsi" w:cstheme="minorHAnsi"/>
          <w:b w:val="0"/>
          <w:color w:val="17365D"/>
        </w:rPr>
      </w:pPr>
      <w:r w:rsidRPr="0001396B">
        <w:rPr>
          <w:rFonts w:asciiTheme="minorHAnsi" w:hAnsiTheme="minorHAnsi" w:cstheme="minorHAnsi"/>
          <w:color w:val="17365D"/>
        </w:rPr>
        <w:t xml:space="preserve">Email: </w:t>
      </w:r>
      <w:hyperlink r:id="rId9" w:history="1">
        <w:r w:rsidRPr="0001396B">
          <w:rPr>
            <w:rStyle w:val="Hyperlink"/>
            <w:rFonts w:asciiTheme="minorHAnsi" w:hAnsiTheme="minorHAnsi" w:cstheme="minorHAnsi"/>
          </w:rPr>
          <w:t>matthew.swain@hhs.gov</w:t>
        </w:r>
      </w:hyperlink>
    </w:p>
    <w:p w:rsidR="00C751F6" w:rsidRDefault="00C751F6" w:rsidP="00854067">
      <w:pPr>
        <w:pStyle w:val="DocumentTitle"/>
        <w:spacing w:before="0" w:after="0"/>
        <w:rPr>
          <w:rFonts w:asciiTheme="minorHAnsi" w:hAnsiTheme="minorHAnsi" w:cstheme="minorHAnsi"/>
          <w:color w:val="17365D"/>
        </w:rPr>
      </w:pPr>
      <w:r w:rsidRPr="0001396B">
        <w:rPr>
          <w:rFonts w:asciiTheme="minorHAnsi" w:hAnsiTheme="minorHAnsi" w:cstheme="minorHAnsi"/>
          <w:color w:val="17365D"/>
        </w:rPr>
        <w:t>Phone: 202-205-3754</w:t>
      </w:r>
    </w:p>
    <w:p w:rsidR="00517CC3" w:rsidRDefault="00517CC3" w:rsidP="00854067">
      <w:pPr>
        <w:pStyle w:val="DocumentTitle"/>
        <w:spacing w:before="0" w:after="0"/>
        <w:rPr>
          <w:rFonts w:asciiTheme="minorHAnsi" w:hAnsiTheme="minorHAnsi" w:cstheme="minorHAnsi"/>
          <w:color w:val="17365D"/>
        </w:rPr>
      </w:pPr>
    </w:p>
    <w:p w:rsidR="0072239F" w:rsidRPr="0001396B" w:rsidRDefault="00A1561A" w:rsidP="00854067">
      <w:pPr>
        <w:pStyle w:val="DocumentTitle"/>
        <w:spacing w:before="0" w:after="0"/>
        <w:rPr>
          <w:rFonts w:asciiTheme="minorHAnsi" w:hAnsiTheme="minorHAnsi" w:cstheme="minorHAnsi"/>
          <w:color w:val="1F497D"/>
        </w:rPr>
      </w:pPr>
      <w:r>
        <w:rPr>
          <w:rFonts w:asciiTheme="minorHAnsi" w:hAnsiTheme="minorHAnsi" w:cstheme="minorHAnsi"/>
          <w:color w:val="17365D"/>
        </w:rPr>
        <w:t>1</w:t>
      </w:r>
      <w:r w:rsidR="00AF1AF8">
        <w:rPr>
          <w:rFonts w:asciiTheme="minorHAnsi" w:hAnsiTheme="minorHAnsi" w:cstheme="minorHAnsi"/>
          <w:color w:val="17365D"/>
        </w:rPr>
        <w:t>2</w:t>
      </w:r>
      <w:r w:rsidR="0081337A">
        <w:rPr>
          <w:rFonts w:asciiTheme="minorHAnsi" w:hAnsiTheme="minorHAnsi" w:cstheme="minorHAnsi"/>
          <w:color w:val="17365D"/>
        </w:rPr>
        <w:t>/</w:t>
      </w:r>
      <w:r w:rsidR="00AF1AF8">
        <w:rPr>
          <w:rFonts w:asciiTheme="minorHAnsi" w:hAnsiTheme="minorHAnsi" w:cstheme="minorHAnsi"/>
          <w:color w:val="17365D"/>
        </w:rPr>
        <w:t>07</w:t>
      </w:r>
      <w:r w:rsidR="0081337A">
        <w:rPr>
          <w:rFonts w:asciiTheme="minorHAnsi" w:hAnsiTheme="minorHAnsi" w:cstheme="minorHAnsi"/>
          <w:color w:val="17365D"/>
        </w:rPr>
        <w:t>/2012</w:t>
      </w:r>
    </w:p>
    <w:p w:rsidR="0072239F" w:rsidRPr="0001396B" w:rsidRDefault="0072239F" w:rsidP="00517CC3">
      <w:pPr>
        <w:spacing w:before="0" w:after="0"/>
        <w:rPr>
          <w:rFonts w:asciiTheme="minorHAnsi" w:eastAsia="Times New Roman" w:hAnsiTheme="minorHAnsi" w:cstheme="minorHAnsi"/>
          <w:b/>
          <w:bCs/>
          <w:color w:val="00235B"/>
          <w:sz w:val="28"/>
          <w:szCs w:val="28"/>
        </w:rPr>
      </w:pPr>
      <w:r w:rsidRPr="0001396B">
        <w:rPr>
          <w:rFonts w:asciiTheme="minorHAnsi" w:hAnsiTheme="minorHAnsi" w:cstheme="minorHAnsi"/>
        </w:rPr>
        <w:br w:type="page"/>
      </w:r>
    </w:p>
    <w:p w:rsidR="0065438A" w:rsidRPr="008F5A92" w:rsidRDefault="0065438A" w:rsidP="00854067">
      <w:pPr>
        <w:pStyle w:val="DocumentDate"/>
      </w:pPr>
      <w:r w:rsidRPr="008F5A92">
        <w:lastRenderedPageBreak/>
        <w:t>Table of Contents</w:t>
      </w:r>
      <w:bookmarkEnd w:id="1"/>
      <w:bookmarkEnd w:id="2"/>
      <w:bookmarkEnd w:id="3"/>
      <w:bookmarkEnd w:id="4"/>
      <w:bookmarkEnd w:id="5"/>
      <w:bookmarkEnd w:id="6"/>
      <w:bookmarkEnd w:id="7"/>
      <w:bookmarkEnd w:id="8"/>
    </w:p>
    <w:p w:rsidR="008E0016" w:rsidRDefault="00A61CBC">
      <w:pPr>
        <w:pStyle w:val="TOC1"/>
        <w:rPr>
          <w:rFonts w:asciiTheme="minorHAnsi" w:eastAsiaTheme="minorEastAsia" w:hAnsiTheme="minorHAnsi" w:cstheme="minorBidi"/>
          <w:b w:val="0"/>
          <w:noProof/>
        </w:rPr>
      </w:pPr>
      <w:r w:rsidRPr="008F5A92">
        <w:fldChar w:fldCharType="begin"/>
      </w:r>
      <w:r w:rsidR="0065438A" w:rsidRPr="008F5A92">
        <w:instrText xml:space="preserve"> TOC \o "1-3" \h \z \u </w:instrText>
      </w:r>
      <w:r w:rsidRPr="008F5A92">
        <w:fldChar w:fldCharType="separate"/>
      </w:r>
      <w:hyperlink w:anchor="_Toc319314190" w:history="1">
        <w:r w:rsidR="008E0016" w:rsidRPr="00EC09D7">
          <w:rPr>
            <w:rStyle w:val="Hyperlink"/>
            <w:noProof/>
          </w:rPr>
          <w:t>A.</w:t>
        </w:r>
        <w:r w:rsidR="008E0016">
          <w:rPr>
            <w:rFonts w:asciiTheme="minorHAnsi" w:eastAsiaTheme="minorEastAsia" w:hAnsiTheme="minorHAnsi" w:cstheme="minorBidi"/>
            <w:b w:val="0"/>
            <w:noProof/>
          </w:rPr>
          <w:tab/>
        </w:r>
        <w:r w:rsidR="008E0016" w:rsidRPr="00EC09D7">
          <w:rPr>
            <w:rStyle w:val="Hyperlink"/>
            <w:noProof/>
          </w:rPr>
          <w:t>Justification</w:t>
        </w:r>
        <w:r w:rsidR="008E0016">
          <w:rPr>
            <w:noProof/>
            <w:webHidden/>
          </w:rPr>
          <w:tab/>
        </w:r>
        <w:r>
          <w:rPr>
            <w:noProof/>
            <w:webHidden/>
          </w:rPr>
          <w:fldChar w:fldCharType="begin"/>
        </w:r>
        <w:r w:rsidR="008E0016">
          <w:rPr>
            <w:noProof/>
            <w:webHidden/>
          </w:rPr>
          <w:instrText xml:space="preserve"> PAGEREF _Toc319314190 \h </w:instrText>
        </w:r>
        <w:r>
          <w:rPr>
            <w:noProof/>
            <w:webHidden/>
          </w:rPr>
        </w:r>
        <w:r>
          <w:rPr>
            <w:noProof/>
            <w:webHidden/>
          </w:rPr>
          <w:fldChar w:fldCharType="separate"/>
        </w:r>
        <w:r w:rsidR="00A1561A">
          <w:rPr>
            <w:noProof/>
            <w:webHidden/>
          </w:rPr>
          <w:t>3</w:t>
        </w:r>
        <w:r>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1" w:history="1">
        <w:r w:rsidR="008E0016" w:rsidRPr="00EC09D7">
          <w:rPr>
            <w:rStyle w:val="Hyperlink"/>
            <w:noProof/>
          </w:rPr>
          <w:t>A1.</w:t>
        </w:r>
        <w:r w:rsidR="008E0016">
          <w:rPr>
            <w:rFonts w:asciiTheme="minorHAnsi" w:eastAsiaTheme="minorEastAsia" w:hAnsiTheme="minorHAnsi" w:cstheme="minorBidi"/>
            <w:noProof/>
          </w:rPr>
          <w:tab/>
        </w:r>
        <w:r w:rsidR="008E0016" w:rsidRPr="00EC09D7">
          <w:rPr>
            <w:rStyle w:val="Hyperlink"/>
            <w:noProof/>
          </w:rPr>
          <w:t>Circumstances Making the Collection of Information Necessary</w:t>
        </w:r>
        <w:r w:rsidR="008E0016">
          <w:rPr>
            <w:noProof/>
            <w:webHidden/>
          </w:rPr>
          <w:tab/>
        </w:r>
        <w:r w:rsidR="00A61CBC">
          <w:rPr>
            <w:noProof/>
            <w:webHidden/>
          </w:rPr>
          <w:fldChar w:fldCharType="begin"/>
        </w:r>
        <w:r w:rsidR="008E0016">
          <w:rPr>
            <w:noProof/>
            <w:webHidden/>
          </w:rPr>
          <w:instrText xml:space="preserve"> PAGEREF _Toc319314191 \h </w:instrText>
        </w:r>
        <w:r w:rsidR="00A61CBC">
          <w:rPr>
            <w:noProof/>
            <w:webHidden/>
          </w:rPr>
        </w:r>
        <w:r w:rsidR="00A61CBC">
          <w:rPr>
            <w:noProof/>
            <w:webHidden/>
          </w:rPr>
          <w:fldChar w:fldCharType="separate"/>
        </w:r>
        <w:r w:rsidR="00A1561A">
          <w:rPr>
            <w:noProof/>
            <w:webHidden/>
          </w:rPr>
          <w:t>3</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2" w:history="1">
        <w:r w:rsidR="008E0016" w:rsidRPr="00EC09D7">
          <w:rPr>
            <w:rStyle w:val="Hyperlink"/>
            <w:noProof/>
          </w:rPr>
          <w:t>A2.</w:t>
        </w:r>
        <w:r w:rsidR="008E0016">
          <w:rPr>
            <w:rFonts w:asciiTheme="minorHAnsi" w:eastAsiaTheme="minorEastAsia" w:hAnsiTheme="minorHAnsi" w:cstheme="minorBidi"/>
            <w:noProof/>
          </w:rPr>
          <w:tab/>
        </w:r>
        <w:r w:rsidR="008E0016" w:rsidRPr="00EC09D7">
          <w:rPr>
            <w:rStyle w:val="Hyperlink"/>
            <w:noProof/>
          </w:rPr>
          <w:t>Purpose and Use of Information Collection</w:t>
        </w:r>
        <w:r w:rsidR="008E0016">
          <w:rPr>
            <w:noProof/>
            <w:webHidden/>
          </w:rPr>
          <w:tab/>
        </w:r>
        <w:r w:rsidR="00A61CBC">
          <w:rPr>
            <w:noProof/>
            <w:webHidden/>
          </w:rPr>
          <w:fldChar w:fldCharType="begin"/>
        </w:r>
        <w:r w:rsidR="008E0016">
          <w:rPr>
            <w:noProof/>
            <w:webHidden/>
          </w:rPr>
          <w:instrText xml:space="preserve"> PAGEREF _Toc319314192 \h </w:instrText>
        </w:r>
        <w:r w:rsidR="00A61CBC">
          <w:rPr>
            <w:noProof/>
            <w:webHidden/>
          </w:rPr>
        </w:r>
        <w:r w:rsidR="00A61CBC">
          <w:rPr>
            <w:noProof/>
            <w:webHidden/>
          </w:rPr>
          <w:fldChar w:fldCharType="separate"/>
        </w:r>
        <w:r w:rsidR="00A1561A">
          <w:rPr>
            <w:noProof/>
            <w:webHidden/>
          </w:rPr>
          <w:t>5</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3" w:history="1">
        <w:r w:rsidR="008E0016" w:rsidRPr="00EC09D7">
          <w:rPr>
            <w:rStyle w:val="Hyperlink"/>
            <w:noProof/>
          </w:rPr>
          <w:t>A3.</w:t>
        </w:r>
        <w:r w:rsidR="008E0016">
          <w:rPr>
            <w:rFonts w:asciiTheme="minorHAnsi" w:eastAsiaTheme="minorEastAsia" w:hAnsiTheme="minorHAnsi" w:cstheme="minorBidi"/>
            <w:noProof/>
          </w:rPr>
          <w:tab/>
        </w:r>
        <w:r w:rsidR="008E0016" w:rsidRPr="00EC09D7">
          <w:rPr>
            <w:rStyle w:val="Hyperlink"/>
            <w:noProof/>
          </w:rPr>
          <w:t>Use of Improved Information Technology and Burden Reduction</w:t>
        </w:r>
        <w:r w:rsidR="008E0016">
          <w:rPr>
            <w:noProof/>
            <w:webHidden/>
          </w:rPr>
          <w:tab/>
        </w:r>
        <w:r w:rsidR="00A61CBC">
          <w:rPr>
            <w:noProof/>
            <w:webHidden/>
          </w:rPr>
          <w:fldChar w:fldCharType="begin"/>
        </w:r>
        <w:r w:rsidR="008E0016">
          <w:rPr>
            <w:noProof/>
            <w:webHidden/>
          </w:rPr>
          <w:instrText xml:space="preserve"> PAGEREF _Toc319314193 \h </w:instrText>
        </w:r>
        <w:r w:rsidR="00A61CBC">
          <w:rPr>
            <w:noProof/>
            <w:webHidden/>
          </w:rPr>
        </w:r>
        <w:r w:rsidR="00A61CBC">
          <w:rPr>
            <w:noProof/>
            <w:webHidden/>
          </w:rPr>
          <w:fldChar w:fldCharType="separate"/>
        </w:r>
        <w:r w:rsidR="00A1561A">
          <w:rPr>
            <w:noProof/>
            <w:webHidden/>
          </w:rPr>
          <w:t>5</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4" w:history="1">
        <w:r w:rsidR="008E0016" w:rsidRPr="00EC09D7">
          <w:rPr>
            <w:rStyle w:val="Hyperlink"/>
            <w:noProof/>
          </w:rPr>
          <w:t>A4.</w:t>
        </w:r>
        <w:r w:rsidR="008E0016">
          <w:rPr>
            <w:rFonts w:asciiTheme="minorHAnsi" w:eastAsiaTheme="minorEastAsia" w:hAnsiTheme="minorHAnsi" w:cstheme="minorBidi"/>
            <w:noProof/>
          </w:rPr>
          <w:tab/>
        </w:r>
        <w:r w:rsidR="008E0016" w:rsidRPr="00EC09D7">
          <w:rPr>
            <w:rStyle w:val="Hyperlink"/>
            <w:noProof/>
          </w:rPr>
          <w:t>Efforts to Identify Duplication and Use of Similar Information</w:t>
        </w:r>
        <w:r w:rsidR="008E0016">
          <w:rPr>
            <w:noProof/>
            <w:webHidden/>
          </w:rPr>
          <w:tab/>
        </w:r>
        <w:r w:rsidR="00A61CBC">
          <w:rPr>
            <w:noProof/>
            <w:webHidden/>
          </w:rPr>
          <w:fldChar w:fldCharType="begin"/>
        </w:r>
        <w:r w:rsidR="008E0016">
          <w:rPr>
            <w:noProof/>
            <w:webHidden/>
          </w:rPr>
          <w:instrText xml:space="preserve"> PAGEREF _Toc319314194 \h </w:instrText>
        </w:r>
        <w:r w:rsidR="00A61CBC">
          <w:rPr>
            <w:noProof/>
            <w:webHidden/>
          </w:rPr>
        </w:r>
        <w:r w:rsidR="00A61CBC">
          <w:rPr>
            <w:noProof/>
            <w:webHidden/>
          </w:rPr>
          <w:fldChar w:fldCharType="separate"/>
        </w:r>
        <w:r w:rsidR="00A1561A">
          <w:rPr>
            <w:noProof/>
            <w:webHidden/>
          </w:rPr>
          <w:t>6</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5" w:history="1">
        <w:r w:rsidR="008E0016" w:rsidRPr="00EC09D7">
          <w:rPr>
            <w:rStyle w:val="Hyperlink"/>
            <w:noProof/>
          </w:rPr>
          <w:t>A5.</w:t>
        </w:r>
        <w:r w:rsidR="008E0016">
          <w:rPr>
            <w:rFonts w:asciiTheme="minorHAnsi" w:eastAsiaTheme="minorEastAsia" w:hAnsiTheme="minorHAnsi" w:cstheme="minorBidi"/>
            <w:noProof/>
          </w:rPr>
          <w:tab/>
        </w:r>
        <w:r w:rsidR="008E0016" w:rsidRPr="00EC09D7">
          <w:rPr>
            <w:rStyle w:val="Hyperlink"/>
            <w:noProof/>
          </w:rPr>
          <w:t>Impact on Small Businesses or Other Small Entities</w:t>
        </w:r>
        <w:r w:rsidR="008E0016">
          <w:rPr>
            <w:noProof/>
            <w:webHidden/>
          </w:rPr>
          <w:tab/>
        </w:r>
        <w:r w:rsidR="00A61CBC">
          <w:rPr>
            <w:noProof/>
            <w:webHidden/>
          </w:rPr>
          <w:fldChar w:fldCharType="begin"/>
        </w:r>
        <w:r w:rsidR="008E0016">
          <w:rPr>
            <w:noProof/>
            <w:webHidden/>
          </w:rPr>
          <w:instrText xml:space="preserve"> PAGEREF _Toc319314195 \h </w:instrText>
        </w:r>
        <w:r w:rsidR="00A61CBC">
          <w:rPr>
            <w:noProof/>
            <w:webHidden/>
          </w:rPr>
        </w:r>
        <w:r w:rsidR="00A61CBC">
          <w:rPr>
            <w:noProof/>
            <w:webHidden/>
          </w:rPr>
          <w:fldChar w:fldCharType="separate"/>
        </w:r>
        <w:r w:rsidR="00A1561A">
          <w:rPr>
            <w:noProof/>
            <w:webHidden/>
          </w:rPr>
          <w:t>6</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6" w:history="1">
        <w:r w:rsidR="008E0016" w:rsidRPr="00EC09D7">
          <w:rPr>
            <w:rStyle w:val="Hyperlink"/>
            <w:noProof/>
          </w:rPr>
          <w:t>A6.</w:t>
        </w:r>
        <w:r w:rsidR="008E0016">
          <w:rPr>
            <w:rFonts w:asciiTheme="minorHAnsi" w:eastAsiaTheme="minorEastAsia" w:hAnsiTheme="minorHAnsi" w:cstheme="minorBidi"/>
            <w:noProof/>
          </w:rPr>
          <w:tab/>
        </w:r>
        <w:r w:rsidR="008E0016" w:rsidRPr="00EC09D7">
          <w:rPr>
            <w:rStyle w:val="Hyperlink"/>
            <w:noProof/>
          </w:rPr>
          <w:t>Consequences of Collecting the Information Less Frequently</w:t>
        </w:r>
        <w:r w:rsidR="008E0016">
          <w:rPr>
            <w:noProof/>
            <w:webHidden/>
          </w:rPr>
          <w:tab/>
        </w:r>
        <w:r w:rsidR="00A61CBC">
          <w:rPr>
            <w:noProof/>
            <w:webHidden/>
          </w:rPr>
          <w:fldChar w:fldCharType="begin"/>
        </w:r>
        <w:r w:rsidR="008E0016">
          <w:rPr>
            <w:noProof/>
            <w:webHidden/>
          </w:rPr>
          <w:instrText xml:space="preserve"> PAGEREF _Toc319314196 \h </w:instrText>
        </w:r>
        <w:r w:rsidR="00A61CBC">
          <w:rPr>
            <w:noProof/>
            <w:webHidden/>
          </w:rPr>
        </w:r>
        <w:r w:rsidR="00A61CBC">
          <w:rPr>
            <w:noProof/>
            <w:webHidden/>
          </w:rPr>
          <w:fldChar w:fldCharType="separate"/>
        </w:r>
        <w:r w:rsidR="00A1561A">
          <w:rPr>
            <w:noProof/>
            <w:webHidden/>
          </w:rPr>
          <w:t>7</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7" w:history="1">
        <w:r w:rsidR="008E0016" w:rsidRPr="00EC09D7">
          <w:rPr>
            <w:rStyle w:val="Hyperlink"/>
            <w:noProof/>
          </w:rPr>
          <w:t>A7.</w:t>
        </w:r>
        <w:r w:rsidR="008E0016">
          <w:rPr>
            <w:rFonts w:asciiTheme="minorHAnsi" w:eastAsiaTheme="minorEastAsia" w:hAnsiTheme="minorHAnsi" w:cstheme="minorBidi"/>
            <w:noProof/>
          </w:rPr>
          <w:tab/>
        </w:r>
        <w:r w:rsidR="008E0016" w:rsidRPr="00EC09D7">
          <w:rPr>
            <w:rStyle w:val="Hyperlink"/>
            <w:noProof/>
          </w:rPr>
          <w:t>Special Circumstances Relating to the Guidelines of 5 CFR 1320.5</w:t>
        </w:r>
        <w:r w:rsidR="008E0016">
          <w:rPr>
            <w:noProof/>
            <w:webHidden/>
          </w:rPr>
          <w:tab/>
        </w:r>
        <w:r w:rsidR="00A61CBC">
          <w:rPr>
            <w:noProof/>
            <w:webHidden/>
          </w:rPr>
          <w:fldChar w:fldCharType="begin"/>
        </w:r>
        <w:r w:rsidR="008E0016">
          <w:rPr>
            <w:noProof/>
            <w:webHidden/>
          </w:rPr>
          <w:instrText xml:space="preserve"> PAGEREF _Toc319314197 \h </w:instrText>
        </w:r>
        <w:r w:rsidR="00A61CBC">
          <w:rPr>
            <w:noProof/>
            <w:webHidden/>
          </w:rPr>
        </w:r>
        <w:r w:rsidR="00A61CBC">
          <w:rPr>
            <w:noProof/>
            <w:webHidden/>
          </w:rPr>
          <w:fldChar w:fldCharType="separate"/>
        </w:r>
        <w:r w:rsidR="00A1561A">
          <w:rPr>
            <w:noProof/>
            <w:webHidden/>
          </w:rPr>
          <w:t>7</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8" w:history="1">
        <w:r w:rsidR="008E0016" w:rsidRPr="00EC09D7">
          <w:rPr>
            <w:rStyle w:val="Hyperlink"/>
            <w:noProof/>
          </w:rPr>
          <w:t>A8.</w:t>
        </w:r>
        <w:r w:rsidR="008E0016">
          <w:rPr>
            <w:rFonts w:asciiTheme="minorHAnsi" w:eastAsiaTheme="minorEastAsia" w:hAnsiTheme="minorHAnsi" w:cstheme="minorBidi"/>
            <w:noProof/>
          </w:rPr>
          <w:tab/>
        </w:r>
        <w:r w:rsidR="008E0016" w:rsidRPr="00EC09D7">
          <w:rPr>
            <w:rStyle w:val="Hyperlink"/>
            <w:noProof/>
          </w:rPr>
          <w:t>Comments in Response to Federal Register Notice/Outside Consultations</w:t>
        </w:r>
        <w:r w:rsidR="008E0016">
          <w:rPr>
            <w:noProof/>
            <w:webHidden/>
          </w:rPr>
          <w:tab/>
        </w:r>
        <w:r w:rsidR="00A61CBC">
          <w:rPr>
            <w:noProof/>
            <w:webHidden/>
          </w:rPr>
          <w:fldChar w:fldCharType="begin"/>
        </w:r>
        <w:r w:rsidR="008E0016">
          <w:rPr>
            <w:noProof/>
            <w:webHidden/>
          </w:rPr>
          <w:instrText xml:space="preserve"> PAGEREF _Toc319314198 \h </w:instrText>
        </w:r>
        <w:r w:rsidR="00A61CBC">
          <w:rPr>
            <w:noProof/>
            <w:webHidden/>
          </w:rPr>
        </w:r>
        <w:r w:rsidR="00A61CBC">
          <w:rPr>
            <w:noProof/>
            <w:webHidden/>
          </w:rPr>
          <w:fldChar w:fldCharType="separate"/>
        </w:r>
        <w:r w:rsidR="00A1561A">
          <w:rPr>
            <w:noProof/>
            <w:webHidden/>
          </w:rPr>
          <w:t>7</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199" w:history="1">
        <w:r w:rsidR="008E0016" w:rsidRPr="00EC09D7">
          <w:rPr>
            <w:rStyle w:val="Hyperlink"/>
            <w:noProof/>
          </w:rPr>
          <w:t>A9.</w:t>
        </w:r>
        <w:r w:rsidR="008E0016">
          <w:rPr>
            <w:rFonts w:asciiTheme="minorHAnsi" w:eastAsiaTheme="minorEastAsia" w:hAnsiTheme="minorHAnsi" w:cstheme="minorBidi"/>
            <w:noProof/>
          </w:rPr>
          <w:tab/>
        </w:r>
        <w:r w:rsidR="008E0016" w:rsidRPr="00EC09D7">
          <w:rPr>
            <w:rStyle w:val="Hyperlink"/>
            <w:noProof/>
          </w:rPr>
          <w:t>Explanation of any Payments/Gifts to Respondents</w:t>
        </w:r>
        <w:r w:rsidR="008E0016">
          <w:rPr>
            <w:noProof/>
            <w:webHidden/>
          </w:rPr>
          <w:tab/>
        </w:r>
        <w:r w:rsidR="00A61CBC">
          <w:rPr>
            <w:noProof/>
            <w:webHidden/>
          </w:rPr>
          <w:fldChar w:fldCharType="begin"/>
        </w:r>
        <w:r w:rsidR="008E0016">
          <w:rPr>
            <w:noProof/>
            <w:webHidden/>
          </w:rPr>
          <w:instrText xml:space="preserve"> PAGEREF _Toc319314199 \h </w:instrText>
        </w:r>
        <w:r w:rsidR="00A61CBC">
          <w:rPr>
            <w:noProof/>
            <w:webHidden/>
          </w:rPr>
        </w:r>
        <w:r w:rsidR="00A61CBC">
          <w:rPr>
            <w:noProof/>
            <w:webHidden/>
          </w:rPr>
          <w:fldChar w:fldCharType="separate"/>
        </w:r>
        <w:r w:rsidR="00A1561A">
          <w:rPr>
            <w:noProof/>
            <w:webHidden/>
          </w:rPr>
          <w:t>9</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0" w:history="1">
        <w:r w:rsidR="008E0016" w:rsidRPr="00EC09D7">
          <w:rPr>
            <w:rStyle w:val="Hyperlink"/>
            <w:noProof/>
          </w:rPr>
          <w:t>A10.</w:t>
        </w:r>
        <w:r w:rsidR="008E0016">
          <w:rPr>
            <w:rFonts w:asciiTheme="minorHAnsi" w:eastAsiaTheme="minorEastAsia" w:hAnsiTheme="minorHAnsi" w:cstheme="minorBidi"/>
            <w:noProof/>
          </w:rPr>
          <w:tab/>
        </w:r>
        <w:r w:rsidR="008E0016" w:rsidRPr="00EC09D7">
          <w:rPr>
            <w:rStyle w:val="Hyperlink"/>
            <w:noProof/>
          </w:rPr>
          <w:t>Assurance of Confidentiality Provided to Respondents</w:t>
        </w:r>
        <w:r w:rsidR="008E0016">
          <w:rPr>
            <w:noProof/>
            <w:webHidden/>
          </w:rPr>
          <w:tab/>
        </w:r>
        <w:r w:rsidR="00A61CBC">
          <w:rPr>
            <w:noProof/>
            <w:webHidden/>
          </w:rPr>
          <w:fldChar w:fldCharType="begin"/>
        </w:r>
        <w:r w:rsidR="008E0016">
          <w:rPr>
            <w:noProof/>
            <w:webHidden/>
          </w:rPr>
          <w:instrText xml:space="preserve"> PAGEREF _Toc319314200 \h </w:instrText>
        </w:r>
        <w:r w:rsidR="00A61CBC">
          <w:rPr>
            <w:noProof/>
            <w:webHidden/>
          </w:rPr>
        </w:r>
        <w:r w:rsidR="00A61CBC">
          <w:rPr>
            <w:noProof/>
            <w:webHidden/>
          </w:rPr>
          <w:fldChar w:fldCharType="separate"/>
        </w:r>
        <w:r w:rsidR="00A1561A">
          <w:rPr>
            <w:noProof/>
            <w:webHidden/>
          </w:rPr>
          <w:t>10</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1" w:history="1">
        <w:r w:rsidR="008E0016" w:rsidRPr="00EC09D7">
          <w:rPr>
            <w:rStyle w:val="Hyperlink"/>
            <w:noProof/>
          </w:rPr>
          <w:t>A11.</w:t>
        </w:r>
        <w:r w:rsidR="008E0016">
          <w:rPr>
            <w:rFonts w:asciiTheme="minorHAnsi" w:eastAsiaTheme="minorEastAsia" w:hAnsiTheme="minorHAnsi" w:cstheme="minorBidi"/>
            <w:noProof/>
          </w:rPr>
          <w:tab/>
        </w:r>
        <w:r w:rsidR="008E0016" w:rsidRPr="00EC09D7">
          <w:rPr>
            <w:rStyle w:val="Hyperlink"/>
            <w:noProof/>
          </w:rPr>
          <w:t>Questions of a Sensitive Nature</w:t>
        </w:r>
        <w:r w:rsidR="008E0016">
          <w:rPr>
            <w:noProof/>
            <w:webHidden/>
          </w:rPr>
          <w:tab/>
        </w:r>
        <w:r w:rsidR="00A61CBC">
          <w:rPr>
            <w:noProof/>
            <w:webHidden/>
          </w:rPr>
          <w:fldChar w:fldCharType="begin"/>
        </w:r>
        <w:r w:rsidR="008E0016">
          <w:rPr>
            <w:noProof/>
            <w:webHidden/>
          </w:rPr>
          <w:instrText xml:space="preserve"> PAGEREF _Toc319314201 \h </w:instrText>
        </w:r>
        <w:r w:rsidR="00A61CBC">
          <w:rPr>
            <w:noProof/>
            <w:webHidden/>
          </w:rPr>
        </w:r>
        <w:r w:rsidR="00A61CBC">
          <w:rPr>
            <w:noProof/>
            <w:webHidden/>
          </w:rPr>
          <w:fldChar w:fldCharType="separate"/>
        </w:r>
        <w:r w:rsidR="00A1561A">
          <w:rPr>
            <w:noProof/>
            <w:webHidden/>
          </w:rPr>
          <w:t>10</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2" w:history="1">
        <w:r w:rsidR="008E0016" w:rsidRPr="00EC09D7">
          <w:rPr>
            <w:rStyle w:val="Hyperlink"/>
            <w:noProof/>
          </w:rPr>
          <w:t>A12.</w:t>
        </w:r>
        <w:r w:rsidR="008E0016">
          <w:rPr>
            <w:rFonts w:asciiTheme="minorHAnsi" w:eastAsiaTheme="minorEastAsia" w:hAnsiTheme="minorHAnsi" w:cstheme="minorBidi"/>
            <w:noProof/>
          </w:rPr>
          <w:tab/>
        </w:r>
        <w:r w:rsidR="008E0016" w:rsidRPr="00EC09D7">
          <w:rPr>
            <w:rStyle w:val="Hyperlink"/>
            <w:noProof/>
          </w:rPr>
          <w:t>Estimates of Annualized Burden Hours and Costs</w:t>
        </w:r>
        <w:r w:rsidR="008E0016">
          <w:rPr>
            <w:noProof/>
            <w:webHidden/>
          </w:rPr>
          <w:tab/>
        </w:r>
        <w:r w:rsidR="00A61CBC">
          <w:rPr>
            <w:noProof/>
            <w:webHidden/>
          </w:rPr>
          <w:fldChar w:fldCharType="begin"/>
        </w:r>
        <w:r w:rsidR="008E0016">
          <w:rPr>
            <w:noProof/>
            <w:webHidden/>
          </w:rPr>
          <w:instrText xml:space="preserve"> PAGEREF _Toc319314202 \h </w:instrText>
        </w:r>
        <w:r w:rsidR="00A61CBC">
          <w:rPr>
            <w:noProof/>
            <w:webHidden/>
          </w:rPr>
        </w:r>
        <w:r w:rsidR="00A61CBC">
          <w:rPr>
            <w:noProof/>
            <w:webHidden/>
          </w:rPr>
          <w:fldChar w:fldCharType="separate"/>
        </w:r>
        <w:r w:rsidR="00A1561A">
          <w:rPr>
            <w:noProof/>
            <w:webHidden/>
          </w:rPr>
          <w:t>10</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3" w:history="1">
        <w:r w:rsidR="008E0016" w:rsidRPr="00EC09D7">
          <w:rPr>
            <w:rStyle w:val="Hyperlink"/>
            <w:noProof/>
          </w:rPr>
          <w:t>A13.</w:t>
        </w:r>
        <w:r w:rsidR="008E0016">
          <w:rPr>
            <w:rFonts w:asciiTheme="minorHAnsi" w:eastAsiaTheme="minorEastAsia" w:hAnsiTheme="minorHAnsi" w:cstheme="minorBidi"/>
            <w:noProof/>
          </w:rPr>
          <w:tab/>
        </w:r>
        <w:r w:rsidR="008E0016" w:rsidRPr="00EC09D7">
          <w:rPr>
            <w:rStyle w:val="Hyperlink"/>
            <w:noProof/>
          </w:rPr>
          <w:t>Estimates of Annualized Respondent Capital and Maintenance Costs</w:t>
        </w:r>
        <w:r w:rsidR="008E0016">
          <w:rPr>
            <w:noProof/>
            <w:webHidden/>
          </w:rPr>
          <w:tab/>
        </w:r>
        <w:r w:rsidR="00A61CBC">
          <w:rPr>
            <w:noProof/>
            <w:webHidden/>
          </w:rPr>
          <w:fldChar w:fldCharType="begin"/>
        </w:r>
        <w:r w:rsidR="008E0016">
          <w:rPr>
            <w:noProof/>
            <w:webHidden/>
          </w:rPr>
          <w:instrText xml:space="preserve"> PAGEREF _Toc319314203 \h </w:instrText>
        </w:r>
        <w:r w:rsidR="00A61CBC">
          <w:rPr>
            <w:noProof/>
            <w:webHidden/>
          </w:rPr>
        </w:r>
        <w:r w:rsidR="00A61CBC">
          <w:rPr>
            <w:noProof/>
            <w:webHidden/>
          </w:rPr>
          <w:fldChar w:fldCharType="separate"/>
        </w:r>
        <w:r w:rsidR="00A1561A">
          <w:rPr>
            <w:noProof/>
            <w:webHidden/>
          </w:rPr>
          <w:t>11</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4" w:history="1">
        <w:r w:rsidR="008E0016" w:rsidRPr="00EC09D7">
          <w:rPr>
            <w:rStyle w:val="Hyperlink"/>
            <w:noProof/>
          </w:rPr>
          <w:t>A14.</w:t>
        </w:r>
        <w:r w:rsidR="008E0016">
          <w:rPr>
            <w:rFonts w:asciiTheme="minorHAnsi" w:eastAsiaTheme="minorEastAsia" w:hAnsiTheme="minorHAnsi" w:cstheme="minorBidi"/>
            <w:noProof/>
          </w:rPr>
          <w:tab/>
        </w:r>
        <w:r w:rsidR="008E0016" w:rsidRPr="00EC09D7">
          <w:rPr>
            <w:rStyle w:val="Hyperlink"/>
            <w:noProof/>
          </w:rPr>
          <w:t>Annualized Cost to the Government</w:t>
        </w:r>
        <w:r w:rsidR="008E0016">
          <w:rPr>
            <w:noProof/>
            <w:webHidden/>
          </w:rPr>
          <w:tab/>
        </w:r>
        <w:r w:rsidR="00A61CBC">
          <w:rPr>
            <w:noProof/>
            <w:webHidden/>
          </w:rPr>
          <w:fldChar w:fldCharType="begin"/>
        </w:r>
        <w:r w:rsidR="008E0016">
          <w:rPr>
            <w:noProof/>
            <w:webHidden/>
          </w:rPr>
          <w:instrText xml:space="preserve"> PAGEREF _Toc319314204 \h </w:instrText>
        </w:r>
        <w:r w:rsidR="00A61CBC">
          <w:rPr>
            <w:noProof/>
            <w:webHidden/>
          </w:rPr>
        </w:r>
        <w:r w:rsidR="00A61CBC">
          <w:rPr>
            <w:noProof/>
            <w:webHidden/>
          </w:rPr>
          <w:fldChar w:fldCharType="separate"/>
        </w:r>
        <w:r w:rsidR="00A1561A">
          <w:rPr>
            <w:noProof/>
            <w:webHidden/>
          </w:rPr>
          <w:t>11</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5" w:history="1">
        <w:r w:rsidR="008E0016" w:rsidRPr="00EC09D7">
          <w:rPr>
            <w:rStyle w:val="Hyperlink"/>
            <w:noProof/>
          </w:rPr>
          <w:t>A15.</w:t>
        </w:r>
        <w:r w:rsidR="008E0016">
          <w:rPr>
            <w:rFonts w:asciiTheme="minorHAnsi" w:eastAsiaTheme="minorEastAsia" w:hAnsiTheme="minorHAnsi" w:cstheme="minorBidi"/>
            <w:noProof/>
          </w:rPr>
          <w:tab/>
        </w:r>
        <w:r w:rsidR="008E0016" w:rsidRPr="00EC09D7">
          <w:rPr>
            <w:rStyle w:val="Hyperlink"/>
            <w:noProof/>
          </w:rPr>
          <w:t>Explanation for Program Changes or Adjustments</w:t>
        </w:r>
        <w:r w:rsidR="008E0016">
          <w:rPr>
            <w:noProof/>
            <w:webHidden/>
          </w:rPr>
          <w:tab/>
        </w:r>
        <w:r w:rsidR="00A61CBC">
          <w:rPr>
            <w:noProof/>
            <w:webHidden/>
          </w:rPr>
          <w:fldChar w:fldCharType="begin"/>
        </w:r>
        <w:r w:rsidR="008E0016">
          <w:rPr>
            <w:noProof/>
            <w:webHidden/>
          </w:rPr>
          <w:instrText xml:space="preserve"> PAGEREF _Toc319314205 \h </w:instrText>
        </w:r>
        <w:r w:rsidR="00A61CBC">
          <w:rPr>
            <w:noProof/>
            <w:webHidden/>
          </w:rPr>
        </w:r>
        <w:r w:rsidR="00A61CBC">
          <w:rPr>
            <w:noProof/>
            <w:webHidden/>
          </w:rPr>
          <w:fldChar w:fldCharType="separate"/>
        </w:r>
        <w:r w:rsidR="00A1561A">
          <w:rPr>
            <w:noProof/>
            <w:webHidden/>
          </w:rPr>
          <w:t>12</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6" w:history="1">
        <w:r w:rsidR="008E0016" w:rsidRPr="00EC09D7">
          <w:rPr>
            <w:rStyle w:val="Hyperlink"/>
            <w:noProof/>
          </w:rPr>
          <w:t>A16.</w:t>
        </w:r>
        <w:r w:rsidR="008E0016">
          <w:rPr>
            <w:rFonts w:asciiTheme="minorHAnsi" w:eastAsiaTheme="minorEastAsia" w:hAnsiTheme="minorHAnsi" w:cstheme="minorBidi"/>
            <w:noProof/>
          </w:rPr>
          <w:tab/>
        </w:r>
        <w:r w:rsidR="008E0016" w:rsidRPr="00EC09D7">
          <w:rPr>
            <w:rStyle w:val="Hyperlink"/>
            <w:noProof/>
          </w:rPr>
          <w:t>Time Schedule, Publication and Analysis Plans</w:t>
        </w:r>
        <w:r w:rsidR="008E0016">
          <w:rPr>
            <w:noProof/>
            <w:webHidden/>
          </w:rPr>
          <w:tab/>
        </w:r>
        <w:r w:rsidR="00A61CBC">
          <w:rPr>
            <w:noProof/>
            <w:webHidden/>
          </w:rPr>
          <w:fldChar w:fldCharType="begin"/>
        </w:r>
        <w:r w:rsidR="008E0016">
          <w:rPr>
            <w:noProof/>
            <w:webHidden/>
          </w:rPr>
          <w:instrText xml:space="preserve"> PAGEREF _Toc319314206 \h </w:instrText>
        </w:r>
        <w:r w:rsidR="00A61CBC">
          <w:rPr>
            <w:noProof/>
            <w:webHidden/>
          </w:rPr>
        </w:r>
        <w:r w:rsidR="00A61CBC">
          <w:rPr>
            <w:noProof/>
            <w:webHidden/>
          </w:rPr>
          <w:fldChar w:fldCharType="separate"/>
        </w:r>
        <w:r w:rsidR="00A1561A">
          <w:rPr>
            <w:noProof/>
            <w:webHidden/>
          </w:rPr>
          <w:t>12</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7" w:history="1">
        <w:r w:rsidR="008E0016" w:rsidRPr="00EC09D7">
          <w:rPr>
            <w:rStyle w:val="Hyperlink"/>
            <w:noProof/>
          </w:rPr>
          <w:t>A17.</w:t>
        </w:r>
        <w:r w:rsidR="008E0016">
          <w:rPr>
            <w:rFonts w:asciiTheme="minorHAnsi" w:eastAsiaTheme="minorEastAsia" w:hAnsiTheme="minorHAnsi" w:cstheme="minorBidi"/>
            <w:noProof/>
          </w:rPr>
          <w:tab/>
        </w:r>
        <w:r w:rsidR="008E0016" w:rsidRPr="00EC09D7">
          <w:rPr>
            <w:rStyle w:val="Hyperlink"/>
            <w:noProof/>
          </w:rPr>
          <w:t>Reason(s) Display of OMB Expiration Date is Inappropriate</w:t>
        </w:r>
        <w:r w:rsidR="008E0016">
          <w:rPr>
            <w:noProof/>
            <w:webHidden/>
          </w:rPr>
          <w:tab/>
        </w:r>
        <w:r w:rsidR="00A61CBC">
          <w:rPr>
            <w:noProof/>
            <w:webHidden/>
          </w:rPr>
          <w:fldChar w:fldCharType="begin"/>
        </w:r>
        <w:r w:rsidR="008E0016">
          <w:rPr>
            <w:noProof/>
            <w:webHidden/>
          </w:rPr>
          <w:instrText xml:space="preserve"> PAGEREF _Toc319314207 \h </w:instrText>
        </w:r>
        <w:r w:rsidR="00A61CBC">
          <w:rPr>
            <w:noProof/>
            <w:webHidden/>
          </w:rPr>
        </w:r>
        <w:r w:rsidR="00A61CBC">
          <w:rPr>
            <w:noProof/>
            <w:webHidden/>
          </w:rPr>
          <w:fldChar w:fldCharType="separate"/>
        </w:r>
        <w:r w:rsidR="00A1561A">
          <w:rPr>
            <w:noProof/>
            <w:webHidden/>
          </w:rPr>
          <w:t>13</w:t>
        </w:r>
        <w:r w:rsidR="00A61CBC">
          <w:rPr>
            <w:noProof/>
            <w:webHidden/>
          </w:rPr>
          <w:fldChar w:fldCharType="end"/>
        </w:r>
      </w:hyperlink>
    </w:p>
    <w:p w:rsidR="008E0016" w:rsidRDefault="00BE40C3">
      <w:pPr>
        <w:pStyle w:val="TOC2"/>
        <w:rPr>
          <w:rFonts w:asciiTheme="minorHAnsi" w:eastAsiaTheme="minorEastAsia" w:hAnsiTheme="minorHAnsi" w:cstheme="minorBidi"/>
          <w:noProof/>
        </w:rPr>
      </w:pPr>
      <w:hyperlink w:anchor="_Toc319314208" w:history="1">
        <w:r w:rsidR="008E0016" w:rsidRPr="00EC09D7">
          <w:rPr>
            <w:rStyle w:val="Hyperlink"/>
            <w:noProof/>
          </w:rPr>
          <w:t>A18.</w:t>
        </w:r>
        <w:r w:rsidR="008E0016">
          <w:rPr>
            <w:rFonts w:asciiTheme="minorHAnsi" w:eastAsiaTheme="minorEastAsia" w:hAnsiTheme="minorHAnsi" w:cstheme="minorBidi"/>
            <w:noProof/>
          </w:rPr>
          <w:tab/>
        </w:r>
        <w:r w:rsidR="008E0016" w:rsidRPr="00EC09D7">
          <w:rPr>
            <w:rStyle w:val="Hyperlink"/>
            <w:noProof/>
          </w:rPr>
          <w:t>Certifications</w:t>
        </w:r>
        <w:r w:rsidR="008E0016">
          <w:rPr>
            <w:noProof/>
            <w:webHidden/>
          </w:rPr>
          <w:tab/>
        </w:r>
        <w:r w:rsidR="00A61CBC">
          <w:rPr>
            <w:noProof/>
            <w:webHidden/>
          </w:rPr>
          <w:fldChar w:fldCharType="begin"/>
        </w:r>
        <w:r w:rsidR="008E0016">
          <w:rPr>
            <w:noProof/>
            <w:webHidden/>
          </w:rPr>
          <w:instrText xml:space="preserve"> PAGEREF _Toc319314208 \h </w:instrText>
        </w:r>
        <w:r w:rsidR="00A61CBC">
          <w:rPr>
            <w:noProof/>
            <w:webHidden/>
          </w:rPr>
        </w:r>
        <w:r w:rsidR="00A61CBC">
          <w:rPr>
            <w:noProof/>
            <w:webHidden/>
          </w:rPr>
          <w:fldChar w:fldCharType="separate"/>
        </w:r>
        <w:r w:rsidR="00A1561A">
          <w:rPr>
            <w:noProof/>
            <w:webHidden/>
          </w:rPr>
          <w:t>13</w:t>
        </w:r>
        <w:r w:rsidR="00A61CBC">
          <w:rPr>
            <w:noProof/>
            <w:webHidden/>
          </w:rPr>
          <w:fldChar w:fldCharType="end"/>
        </w:r>
      </w:hyperlink>
    </w:p>
    <w:p w:rsidR="0065438A" w:rsidRPr="00C23300" w:rsidRDefault="00A61CBC" w:rsidP="00854067">
      <w:pPr>
        <w:sectPr w:rsidR="0065438A" w:rsidRPr="00C23300">
          <w:footerReference w:type="even" r:id="rId10"/>
          <w:footerReference w:type="default" r:id="rId11"/>
          <w:pgSz w:w="12240" w:h="15840" w:code="1"/>
          <w:pgMar w:top="1440" w:right="1440" w:bottom="1440" w:left="1440" w:header="432" w:footer="432" w:gutter="0"/>
          <w:pgNumType w:fmt="lowerRoman" w:start="1"/>
          <w:cols w:space="720"/>
          <w:docGrid w:linePitch="360"/>
        </w:sectPr>
      </w:pPr>
      <w:r w:rsidRPr="008F5A92">
        <w:fldChar w:fldCharType="end"/>
      </w:r>
      <w:r w:rsidR="0065438A">
        <w:t xml:space="preserve"> </w:t>
      </w:r>
    </w:p>
    <w:p w:rsidR="0065438A" w:rsidRPr="00C23300" w:rsidRDefault="0065438A" w:rsidP="00854067">
      <w:pPr>
        <w:pStyle w:val="Heading1"/>
      </w:pPr>
      <w:bookmarkStart w:id="9" w:name="_Toc151782175"/>
      <w:bookmarkStart w:id="10" w:name="_Toc158526215"/>
      <w:bookmarkStart w:id="11" w:name="_Toc266256591"/>
      <w:bookmarkStart w:id="12" w:name="_Toc286057982"/>
      <w:bookmarkStart w:id="13" w:name="_Toc319314190"/>
      <w:bookmarkStart w:id="14" w:name="_Toc228262817"/>
      <w:bookmarkStart w:id="15" w:name="_Toc200519698"/>
      <w:bookmarkStart w:id="16" w:name="_Toc201299019"/>
      <w:r w:rsidRPr="00C23300">
        <w:lastRenderedPageBreak/>
        <w:t>Justification</w:t>
      </w:r>
      <w:bookmarkEnd w:id="9"/>
      <w:bookmarkEnd w:id="10"/>
      <w:bookmarkEnd w:id="11"/>
      <w:bookmarkEnd w:id="12"/>
      <w:bookmarkEnd w:id="13"/>
    </w:p>
    <w:p w:rsidR="0065438A" w:rsidRDefault="0065438A" w:rsidP="00854067">
      <w:pPr>
        <w:pStyle w:val="Heading2"/>
      </w:pPr>
      <w:bookmarkStart w:id="17" w:name="_Toc266256592"/>
      <w:bookmarkStart w:id="18" w:name="_Toc286057983"/>
      <w:bookmarkStart w:id="19" w:name="_Toc319314191"/>
      <w:r w:rsidRPr="00C23300">
        <w:t>Circumstances Making the Collection of Information Necessary</w:t>
      </w:r>
      <w:bookmarkEnd w:id="17"/>
      <w:bookmarkEnd w:id="18"/>
      <w:bookmarkEnd w:id="19"/>
    </w:p>
    <w:p w:rsidR="000B5C5C" w:rsidRPr="000B5C5C" w:rsidRDefault="000B5C5C" w:rsidP="00C37427">
      <w:pPr>
        <w:jc w:val="both"/>
        <w:rPr>
          <w:rFonts w:cs="Calibri"/>
          <w:color w:val="000000"/>
        </w:rPr>
      </w:pPr>
      <w:bookmarkStart w:id="20" w:name="_Toc151782177"/>
      <w:bookmarkStart w:id="21" w:name="_Toc158526217"/>
      <w:bookmarkStart w:id="22" w:name="_Toc266256593"/>
      <w:bookmarkStart w:id="23" w:name="_Toc286057984"/>
      <w:r w:rsidRPr="000B5C5C">
        <w:rPr>
          <w:rFonts w:cs="Calibri"/>
          <w:color w:val="000000"/>
        </w:rPr>
        <w:t xml:space="preserve">The Office of the National Coordinator for Health Information Technology’s (ONC) Office of Economic </w:t>
      </w:r>
      <w:r w:rsidR="00CF242B">
        <w:rPr>
          <w:rFonts w:cs="Calibri"/>
          <w:color w:val="000000"/>
        </w:rPr>
        <w:t xml:space="preserve">Analysis, Evaluation, and </w:t>
      </w:r>
      <w:r w:rsidRPr="000B5C5C">
        <w:rPr>
          <w:rFonts w:cs="Calibri"/>
          <w:color w:val="000000"/>
        </w:rPr>
        <w:t>Modeling in the Department of Health &amp; Human Services (HHS) requests Office of Management and Budget (OMB) approval to conduct a national survey of clinical laboratories to asses</w:t>
      </w:r>
      <w:r w:rsidR="009D386B">
        <w:rPr>
          <w:rFonts w:cs="Calibri"/>
          <w:color w:val="000000"/>
        </w:rPr>
        <w:t>s</w:t>
      </w:r>
      <w:r w:rsidRPr="000B5C5C">
        <w:rPr>
          <w:rFonts w:cs="Calibri"/>
          <w:color w:val="000000"/>
        </w:rPr>
        <w:t xml:space="preserve"> laboratory information exchange capacity, as part of the evaluation of the State Health Information Exchange (HIE) Cooperative Agreement Program. The Health Information Technology for Economic and Clinical Health (HITECH) Act of 2009 seeks to improve American health care delivery and patient care through an unprecedented investment in health information technology. The provisions of the </w:t>
      </w:r>
      <w:r w:rsidR="00A01C71">
        <w:rPr>
          <w:rFonts w:cs="Calibri"/>
          <w:color w:val="000000"/>
        </w:rPr>
        <w:t>HIT</w:t>
      </w:r>
      <w:r w:rsidRPr="000B5C5C">
        <w:rPr>
          <w:rFonts w:cs="Calibri"/>
          <w:color w:val="000000"/>
        </w:rPr>
        <w:t xml:space="preserve">ECH Act are specifically designed to work together to provide the necessary assistance and technical support to providers, enable coordination and alignment within and among states, establish connectivity to the public health community in case of emergencies, and assure the workforce is properly trained and equipped to be meaningful users of </w:t>
      </w:r>
      <w:r w:rsidR="00CF242B">
        <w:rPr>
          <w:rFonts w:cs="Calibri"/>
          <w:color w:val="000000"/>
        </w:rPr>
        <w:t>e</w:t>
      </w:r>
      <w:r w:rsidR="00CF242B" w:rsidRPr="000B5C5C">
        <w:rPr>
          <w:rFonts w:cs="Calibri"/>
          <w:color w:val="000000"/>
        </w:rPr>
        <w:t xml:space="preserve">lectronic </w:t>
      </w:r>
      <w:r w:rsidR="00CF242B">
        <w:rPr>
          <w:rFonts w:cs="Calibri"/>
          <w:color w:val="000000"/>
        </w:rPr>
        <w:t>h</w:t>
      </w:r>
      <w:r w:rsidR="00CF242B" w:rsidRPr="000B5C5C">
        <w:rPr>
          <w:rFonts w:cs="Calibri"/>
          <w:color w:val="000000"/>
        </w:rPr>
        <w:t xml:space="preserve">ealth </w:t>
      </w:r>
      <w:r w:rsidR="00CF242B">
        <w:rPr>
          <w:rFonts w:cs="Calibri"/>
          <w:color w:val="000000"/>
        </w:rPr>
        <w:t>r</w:t>
      </w:r>
      <w:r w:rsidR="00CF242B" w:rsidRPr="000B5C5C">
        <w:rPr>
          <w:rFonts w:cs="Calibri"/>
          <w:color w:val="000000"/>
        </w:rPr>
        <w:t xml:space="preserve">ecords </w:t>
      </w:r>
      <w:r w:rsidRPr="000B5C5C">
        <w:rPr>
          <w:rFonts w:cs="Calibri"/>
          <w:color w:val="000000"/>
        </w:rPr>
        <w:t>(EHRs). Combined, these programs build the foundation for every American to benefit from an EHR, as part of a modernized, interconnected, and vastly improved system of care delivery.</w:t>
      </w:r>
    </w:p>
    <w:p w:rsidR="000B5C5C" w:rsidRPr="000B5C5C" w:rsidRDefault="000B5C5C" w:rsidP="00C37427">
      <w:pPr>
        <w:jc w:val="both"/>
        <w:rPr>
          <w:rFonts w:cs="Calibri"/>
        </w:rPr>
      </w:pPr>
      <w:r w:rsidRPr="000B5C5C">
        <w:rPr>
          <w:rFonts w:cs="Calibri"/>
        </w:rPr>
        <w:t>The State HIE Program, created under Section 3013 of the Public Health Service Act (PHSA), as amended by the American Recovery and Reinvestment Act (ARRA) of 2009, directed the Secretary of HHS to provide funding to states and territories in the United States to “facilitate and expand the secure, electronic movement and use of health information among organizations according to nationally recognized standards.”</w:t>
      </w:r>
      <w:r w:rsidR="00E6625E">
        <w:rPr>
          <w:rStyle w:val="FootnoteReference"/>
        </w:rPr>
        <w:footnoteReference w:id="1"/>
      </w:r>
      <w:r w:rsidR="004B5519" w:rsidRPr="000B5C5C">
        <w:rPr>
          <w:rFonts w:cs="Calibri"/>
        </w:rPr>
        <w:t xml:space="preserve">  </w:t>
      </w:r>
      <w:r w:rsidR="008207D4">
        <w:rPr>
          <w:rFonts w:cs="Calibri"/>
        </w:rPr>
        <w:t xml:space="preserve">The appropriate and secure electronic exchange and consequent use of health information to improve the quality and coordination of care is a critical enabler of a high performance health care system. </w:t>
      </w:r>
      <w:r w:rsidR="004B5519" w:rsidRPr="000B5C5C">
        <w:rPr>
          <w:rFonts w:cs="Calibri"/>
        </w:rPr>
        <w:t xml:space="preserve">In support of the State HIE Program, ONC’s </w:t>
      </w:r>
      <w:r w:rsidR="00FB6185">
        <w:rPr>
          <w:rFonts w:cs="Calibri"/>
        </w:rPr>
        <w:t>Office of Economic Analysis, Evaluation and Modeling</w:t>
      </w:r>
      <w:r w:rsidR="004B5519" w:rsidRPr="000B5C5C">
        <w:rPr>
          <w:rFonts w:cs="Calibri"/>
        </w:rPr>
        <w:t xml:space="preserve"> is conducting a legislatively mandated program evaluation study.  </w:t>
      </w:r>
      <w:r w:rsidR="00160C6A">
        <w:rPr>
          <w:rFonts w:cs="Calibri"/>
        </w:rPr>
        <w:t xml:space="preserve">There are </w:t>
      </w:r>
      <w:r w:rsidR="00745515">
        <w:rPr>
          <w:rFonts w:cs="Calibri"/>
        </w:rPr>
        <w:t>three</w:t>
      </w:r>
      <w:r w:rsidR="00160C6A">
        <w:rPr>
          <w:rFonts w:cs="Calibri"/>
        </w:rPr>
        <w:t xml:space="preserve"> aims  to the evaluation:</w:t>
      </w:r>
      <w:r w:rsidR="004B5519" w:rsidRPr="000B5C5C">
        <w:rPr>
          <w:rFonts w:cs="Calibri"/>
        </w:rPr>
        <w:t xml:space="preserve"> </w:t>
      </w:r>
      <w:r w:rsidR="00160C6A">
        <w:rPr>
          <w:rFonts w:cs="Calibri"/>
        </w:rPr>
        <w:t>1) characterize the different approaches that states are using to enable information exchange; 2) assess the progress of states and the factors that</w:t>
      </w:r>
      <w:r w:rsidR="0046575C">
        <w:rPr>
          <w:rFonts w:cs="Calibri"/>
        </w:rPr>
        <w:t xml:space="preserve"> are</w:t>
      </w:r>
      <w:r w:rsidR="00160C6A">
        <w:rPr>
          <w:rFonts w:cs="Calibri"/>
        </w:rPr>
        <w:t xml:space="preserve"> associated with more sophisticated information exchange; and 3) </w:t>
      </w:r>
      <w:r w:rsidR="004B5519" w:rsidRPr="000B5C5C">
        <w:rPr>
          <w:rFonts w:cs="Calibri"/>
        </w:rPr>
        <w:t xml:space="preserve">assess the effectiveness of the State HIE Program to </w:t>
      </w:r>
      <w:r w:rsidR="004B5519">
        <w:rPr>
          <w:rFonts w:cs="Calibri"/>
        </w:rPr>
        <w:t>expand</w:t>
      </w:r>
      <w:r w:rsidR="004B5519" w:rsidRPr="000B5C5C">
        <w:rPr>
          <w:rFonts w:cs="Calibri"/>
        </w:rPr>
        <w:t xml:space="preserve"> the secure exchange of health information. </w:t>
      </w:r>
      <w:r w:rsidR="00160C6A">
        <w:rPr>
          <w:rFonts w:cs="Calibri"/>
        </w:rPr>
        <w:t>To assess progress of HIE, the evaluation will include the</w:t>
      </w:r>
      <w:r w:rsidR="004B5519" w:rsidRPr="000B5C5C">
        <w:rPr>
          <w:rFonts w:cs="Calibri"/>
        </w:rPr>
        <w:t xml:space="preserve"> three priority areas </w:t>
      </w:r>
      <w:r w:rsidR="00160C6A">
        <w:rPr>
          <w:rFonts w:cs="Calibri"/>
        </w:rPr>
        <w:t xml:space="preserve">for information exchange </w:t>
      </w:r>
      <w:r w:rsidR="004B5519" w:rsidRPr="000B5C5C">
        <w:rPr>
          <w:rFonts w:cs="Calibri"/>
        </w:rPr>
        <w:t>described in the Centers for Medicare and Medicaid Services’ (CMS) final rule for stage one meaningful use requirements: e-prescribing, receipt of structured laboratory results, and sharing patient care summaries across unaffiliated organizat</w:t>
      </w:r>
      <w:r w:rsidR="004B5519">
        <w:rPr>
          <w:rFonts w:cs="Calibri"/>
        </w:rPr>
        <w:t>ions.</w:t>
      </w:r>
      <w:r w:rsidR="00E6625E">
        <w:rPr>
          <w:rStyle w:val="FootnoteReference"/>
        </w:rPr>
        <w:footnoteReference w:id="2"/>
      </w:r>
      <w:r w:rsidR="004B5519" w:rsidRPr="000B5C5C">
        <w:rPr>
          <w:rFonts w:cs="Calibri"/>
        </w:rPr>
        <w:t xml:space="preserve"> </w:t>
      </w:r>
      <w:r w:rsidRPr="000B5C5C">
        <w:rPr>
          <w:rFonts w:cs="Calibri"/>
        </w:rPr>
        <w:t xml:space="preserve"> While ONC utilizes Surescripts data to monitor e-prescribing</w:t>
      </w:r>
      <w:r w:rsidR="00E1671B">
        <w:rPr>
          <w:rFonts w:cs="Calibri"/>
        </w:rPr>
        <w:t xml:space="preserve"> and pharmacy capacity for information exchange</w:t>
      </w:r>
      <w:r w:rsidR="000E1CFC">
        <w:rPr>
          <w:rFonts w:cs="Calibri"/>
        </w:rPr>
        <w:t xml:space="preserve"> and</w:t>
      </w:r>
      <w:r w:rsidR="00E1671B">
        <w:rPr>
          <w:rFonts w:cs="Calibri"/>
        </w:rPr>
        <w:t xml:space="preserve"> </w:t>
      </w:r>
      <w:r w:rsidRPr="000B5C5C">
        <w:rPr>
          <w:rFonts w:cs="Calibri"/>
        </w:rPr>
        <w:t>results from the National Ambulatory Medical Care Survey (NAMCS)</w:t>
      </w:r>
      <w:r w:rsidR="00160C6A">
        <w:rPr>
          <w:rFonts w:cs="Calibri"/>
        </w:rPr>
        <w:t xml:space="preserve"> </w:t>
      </w:r>
      <w:r w:rsidR="0085147E">
        <w:rPr>
          <w:rFonts w:cs="Calibri"/>
        </w:rPr>
        <w:t>Electronic Medical Record</w:t>
      </w:r>
      <w:r w:rsidR="00160C6A">
        <w:rPr>
          <w:rFonts w:cs="Calibri"/>
        </w:rPr>
        <w:t xml:space="preserve"> Supplement and the </w:t>
      </w:r>
      <w:r w:rsidR="0085147E">
        <w:rPr>
          <w:rFonts w:cs="Calibri"/>
        </w:rPr>
        <w:t xml:space="preserve">American Hospital Association Information </w:t>
      </w:r>
      <w:r w:rsidR="00160C6A">
        <w:rPr>
          <w:rFonts w:cs="Calibri"/>
        </w:rPr>
        <w:t xml:space="preserve">Technology </w:t>
      </w:r>
      <w:r w:rsidR="00E1671B">
        <w:rPr>
          <w:rFonts w:cs="Calibri"/>
        </w:rPr>
        <w:t xml:space="preserve">supplement </w:t>
      </w:r>
      <w:r w:rsidR="00E1671B" w:rsidRPr="000B5C5C">
        <w:rPr>
          <w:rFonts w:cs="Calibri"/>
        </w:rPr>
        <w:t>to</w:t>
      </w:r>
      <w:r w:rsidRPr="000B5C5C">
        <w:rPr>
          <w:rFonts w:cs="Calibri"/>
        </w:rPr>
        <w:t xml:space="preserve"> assess </w:t>
      </w:r>
      <w:r w:rsidR="00E1671B">
        <w:rPr>
          <w:rFonts w:cs="Calibri"/>
        </w:rPr>
        <w:t>information exchange</w:t>
      </w:r>
      <w:r w:rsidRPr="000B5C5C">
        <w:rPr>
          <w:rFonts w:cs="Calibri"/>
        </w:rPr>
        <w:t xml:space="preserve"> across </w:t>
      </w:r>
      <w:r w:rsidR="00E1671B">
        <w:rPr>
          <w:rFonts w:cs="Calibri"/>
        </w:rPr>
        <w:t>provider</w:t>
      </w:r>
      <w:r w:rsidRPr="000B5C5C">
        <w:rPr>
          <w:rFonts w:cs="Calibri"/>
        </w:rPr>
        <w:t xml:space="preserve"> organizations, there are </w:t>
      </w:r>
      <w:r w:rsidR="00E1671B">
        <w:rPr>
          <w:rFonts w:cs="Calibri"/>
        </w:rPr>
        <w:t xml:space="preserve">currently </w:t>
      </w:r>
      <w:r w:rsidRPr="000B5C5C">
        <w:rPr>
          <w:rFonts w:cs="Calibri"/>
        </w:rPr>
        <w:t xml:space="preserve">no </w:t>
      </w:r>
      <w:r w:rsidR="00E1671B">
        <w:rPr>
          <w:rFonts w:cs="Calibri"/>
        </w:rPr>
        <w:t>reliable data sources</w:t>
      </w:r>
      <w:r w:rsidRPr="000B5C5C">
        <w:rPr>
          <w:rFonts w:cs="Calibri"/>
        </w:rPr>
        <w:t xml:space="preserve"> available assessing or monitoring laboratory information exchange across the United States.</w:t>
      </w:r>
    </w:p>
    <w:p w:rsidR="000B5C5C" w:rsidRPr="000B5C5C" w:rsidRDefault="000B5C5C" w:rsidP="00C37427">
      <w:pPr>
        <w:jc w:val="both"/>
        <w:rPr>
          <w:rFonts w:cs="Calibri"/>
        </w:rPr>
      </w:pPr>
      <w:r w:rsidRPr="000B5C5C">
        <w:rPr>
          <w:rFonts w:cs="Calibri"/>
        </w:rPr>
        <w:t>Based on 2007 data from the CMS Online Survey, Certification, and Reporting (OSCAR) database, the Centers for Disease Control and Prevention (CDC) estimates that approximately 6.8 billion laboratory tests are performed annually in the U.S.</w:t>
      </w:r>
      <w:r w:rsidR="00E6625E">
        <w:rPr>
          <w:rStyle w:val="FootnoteReference"/>
        </w:rPr>
        <w:footnoteReference w:id="3"/>
      </w:r>
      <w:r w:rsidR="00DD7CAA">
        <w:rPr>
          <w:rFonts w:cs="Calibri"/>
        </w:rPr>
        <w:t xml:space="preserve"> </w:t>
      </w:r>
      <w:r w:rsidR="00DD7CAA" w:rsidRPr="000B5C5C">
        <w:rPr>
          <w:rFonts w:cs="Calibri"/>
        </w:rPr>
        <w:t xml:space="preserve">These laboratory tests are a critical element in patient care significantly influencing 70 to 80 percent of clinical </w:t>
      </w:r>
      <w:r w:rsidR="00DD7CAA" w:rsidRPr="00960E10">
        <w:rPr>
          <w:rFonts w:cs="Calibri"/>
        </w:rPr>
        <w:t>decisions.</w:t>
      </w:r>
      <w:r w:rsidR="00E6625E">
        <w:rPr>
          <w:rStyle w:val="FootnoteReference"/>
        </w:rPr>
        <w:footnoteReference w:id="4"/>
      </w:r>
      <w:r w:rsidR="00DD7CAA" w:rsidRPr="00960E10">
        <w:rPr>
          <w:rFonts w:cs="Calibri"/>
        </w:rPr>
        <w:t xml:space="preserve"> </w:t>
      </w:r>
      <w:r w:rsidRPr="00960E10">
        <w:rPr>
          <w:rFonts w:cs="Calibri"/>
        </w:rPr>
        <w:t xml:space="preserve"> Further, laboratory</w:t>
      </w:r>
      <w:r w:rsidRPr="000B5C5C">
        <w:rPr>
          <w:rFonts w:cs="Calibri"/>
        </w:rPr>
        <w:t xml:space="preserve"> </w:t>
      </w:r>
      <w:r w:rsidR="00C84798">
        <w:rPr>
          <w:rFonts w:cs="Calibri"/>
        </w:rPr>
        <w:t xml:space="preserve">test </w:t>
      </w:r>
      <w:r w:rsidRPr="000B5C5C">
        <w:rPr>
          <w:rFonts w:cs="Calibri"/>
        </w:rPr>
        <w:t xml:space="preserve">results are a key component of a longitudinal EHR. However, </w:t>
      </w:r>
      <w:r w:rsidR="00C84798">
        <w:rPr>
          <w:rFonts w:cs="Calibri"/>
        </w:rPr>
        <w:t>these</w:t>
      </w:r>
      <w:r w:rsidRPr="000B5C5C">
        <w:rPr>
          <w:rFonts w:cs="Calibri"/>
        </w:rPr>
        <w:t xml:space="preserve"> results are not often readily accessible, affecting providers’ ability to follow-up on test results, affecting the quality of care delivered, and patient safety and satisfaction.</w:t>
      </w:r>
      <w:r w:rsidR="00070811">
        <w:rPr>
          <w:rStyle w:val="FootnoteReference"/>
        </w:rPr>
        <w:footnoteReference w:id="5"/>
      </w:r>
      <w:r w:rsidR="00DD7CAA" w:rsidRPr="000B5C5C">
        <w:rPr>
          <w:rFonts w:cs="Calibri"/>
        </w:rPr>
        <w:t xml:space="preserve"> </w:t>
      </w:r>
      <w:r w:rsidR="00C84798">
        <w:rPr>
          <w:rFonts w:cs="Calibri"/>
        </w:rPr>
        <w:t xml:space="preserve"> </w:t>
      </w:r>
      <w:r w:rsidRPr="000B5C5C">
        <w:rPr>
          <w:rFonts w:cs="Calibri"/>
        </w:rPr>
        <w:t>In addition, there is evidence of unnecessary and duplicate testing among providers in different locations.</w:t>
      </w:r>
      <w:r w:rsidR="00D87F5B">
        <w:rPr>
          <w:rStyle w:val="FootnoteReference"/>
        </w:rPr>
        <w:footnoteReference w:id="6"/>
      </w:r>
      <w:r w:rsidRPr="000B5C5C">
        <w:rPr>
          <w:rFonts w:cs="Calibri"/>
        </w:rPr>
        <w:t xml:space="preserve"> Communication and the subsequent exchange of information among provider offices and clinical laboratories </w:t>
      </w:r>
      <w:r w:rsidR="00D87F5B">
        <w:rPr>
          <w:rFonts w:cs="Calibri"/>
        </w:rPr>
        <w:t>are</w:t>
      </w:r>
      <w:r w:rsidRPr="000B5C5C">
        <w:rPr>
          <w:rFonts w:cs="Calibri"/>
        </w:rPr>
        <w:t xml:space="preserve"> integral to combat these inefficiencies. Bi‐directional interoperability, or the ability to support seamless exchange of information between laboratory information systems and EHRs (primarily laboratory test results), and EHRs and laboratories (primarily laboratory orders) can “reduce medical errors, increase appropriate testing and reduce unnecessary testing, and improve quality and efficiency of health care.”</w:t>
      </w:r>
      <w:r w:rsidR="00837C8E" w:rsidRPr="00837C8E">
        <w:rPr>
          <w:rStyle w:val="FootnoteReference"/>
        </w:rPr>
        <w:footnoteReference w:id="7"/>
      </w:r>
      <w:r w:rsidR="00837C8E" w:rsidRPr="00837C8E">
        <w:rPr>
          <w:rFonts w:cs="Calibri"/>
          <w:vertAlign w:val="superscript"/>
        </w:rPr>
        <w:t>,</w:t>
      </w:r>
      <w:r w:rsidR="00837C8E" w:rsidRPr="00837C8E">
        <w:rPr>
          <w:rStyle w:val="FootnoteReference"/>
        </w:rPr>
        <w:footnoteReference w:id="8"/>
      </w:r>
      <w:r w:rsidRPr="00837C8E">
        <w:rPr>
          <w:rFonts w:cs="Calibri"/>
          <w:vertAlign w:val="superscript"/>
        </w:rPr>
        <w:t xml:space="preserve"> </w:t>
      </w:r>
      <w:r w:rsidR="00C84798">
        <w:rPr>
          <w:rFonts w:cs="Calibri"/>
          <w:vertAlign w:val="superscript"/>
        </w:rPr>
        <w:t xml:space="preserve"> </w:t>
      </w:r>
      <w:r w:rsidRPr="000B5C5C">
        <w:rPr>
          <w:rFonts w:cs="Calibri"/>
        </w:rPr>
        <w:t>Despite the importance of laboratory information exchange, there are no comprehensive data sources providing insight into the capacity of laboratories to exchange clinical data, nor are there resources detailing the frequency of electronic information exchange among laboratories</w:t>
      </w:r>
      <w:r w:rsidR="00C84798">
        <w:rPr>
          <w:rFonts w:cs="Calibri"/>
        </w:rPr>
        <w:t xml:space="preserve"> with healthcare providers</w:t>
      </w:r>
      <w:r w:rsidRPr="000B5C5C">
        <w:rPr>
          <w:rFonts w:cs="Calibri"/>
        </w:rPr>
        <w:t xml:space="preserve">.  </w:t>
      </w:r>
    </w:p>
    <w:p w:rsidR="000B5C5C" w:rsidRPr="000B5C5C" w:rsidRDefault="000B5C5C" w:rsidP="00C37427">
      <w:pPr>
        <w:jc w:val="both"/>
        <w:rPr>
          <w:rFonts w:cs="Calibri"/>
        </w:rPr>
      </w:pPr>
      <w:r w:rsidRPr="000B5C5C">
        <w:rPr>
          <w:rFonts w:cs="Calibri"/>
        </w:rPr>
        <w:t xml:space="preserve">Given the importance of laboratory results to </w:t>
      </w:r>
      <w:r w:rsidR="0058058D">
        <w:rPr>
          <w:rFonts w:cs="Calibri"/>
        </w:rPr>
        <w:t xml:space="preserve">support </w:t>
      </w:r>
      <w:r w:rsidRPr="000B5C5C">
        <w:rPr>
          <w:rFonts w:cs="Calibri"/>
        </w:rPr>
        <w:t xml:space="preserve">clinical care delivery, one of the priorities of the State HIE Program is </w:t>
      </w:r>
      <w:r w:rsidR="0058058D">
        <w:rPr>
          <w:rFonts w:cs="Calibri"/>
        </w:rPr>
        <w:t>for states</w:t>
      </w:r>
      <w:r w:rsidR="00330261">
        <w:rPr>
          <w:rFonts w:cs="Calibri"/>
        </w:rPr>
        <w:t xml:space="preserve"> and state designated entities</w:t>
      </w:r>
      <w:r w:rsidR="0058058D">
        <w:rPr>
          <w:rFonts w:cs="Calibri"/>
        </w:rPr>
        <w:t xml:space="preserve"> </w:t>
      </w:r>
      <w:r w:rsidRPr="000B5C5C">
        <w:rPr>
          <w:rFonts w:cs="Calibri"/>
        </w:rPr>
        <w:t xml:space="preserve">to </w:t>
      </w:r>
      <w:r w:rsidR="00330261">
        <w:rPr>
          <w:rFonts w:cs="Calibri"/>
        </w:rPr>
        <w:t>promote</w:t>
      </w:r>
      <w:r w:rsidRPr="000B5C5C">
        <w:rPr>
          <w:rFonts w:cs="Calibri"/>
        </w:rPr>
        <w:t xml:space="preserve"> the </w:t>
      </w:r>
      <w:r w:rsidR="00330261">
        <w:rPr>
          <w:rFonts w:cs="Calibri"/>
        </w:rPr>
        <w:t xml:space="preserve">electronic </w:t>
      </w:r>
      <w:r w:rsidRPr="000B5C5C">
        <w:rPr>
          <w:rFonts w:cs="Calibri"/>
        </w:rPr>
        <w:t xml:space="preserve">exchange of </w:t>
      </w:r>
      <w:r w:rsidR="0058058D">
        <w:rPr>
          <w:rFonts w:cs="Calibri"/>
        </w:rPr>
        <w:t>structured test results from clinical laboratories to healthcare providers</w:t>
      </w:r>
      <w:r w:rsidRPr="000B5C5C">
        <w:rPr>
          <w:rFonts w:cs="Calibri"/>
        </w:rPr>
        <w:t xml:space="preserve">.  To gain a comprehensive understanding of the baseline level of laboratory information exchange and to assess progress over time, both national and state level information is needed regarding the baseline capacity for clinical laboratory information exchange.  </w:t>
      </w:r>
    </w:p>
    <w:p w:rsidR="000B5C5C" w:rsidRDefault="000B5C5C" w:rsidP="00C37427">
      <w:pPr>
        <w:jc w:val="both"/>
        <w:rPr>
          <w:rFonts w:cs="Calibri"/>
        </w:rPr>
      </w:pPr>
      <w:r w:rsidRPr="000B5C5C">
        <w:rPr>
          <w:rFonts w:cs="Calibri"/>
        </w:rPr>
        <w:t xml:space="preserve">There are approximately 225,000 laboratories in the United States and territories according to the CMS </w:t>
      </w:r>
      <w:r w:rsidR="000E1CFC">
        <w:rPr>
          <w:rFonts w:cs="Calibri"/>
        </w:rPr>
        <w:t xml:space="preserve">Clinical </w:t>
      </w:r>
      <w:r w:rsidRPr="000B5C5C">
        <w:rPr>
          <w:rFonts w:cs="Calibri"/>
        </w:rPr>
        <w:t>Laboratory Improvement Amendments (CLIA) database.</w:t>
      </w:r>
      <w:r w:rsidR="00837C8E">
        <w:rPr>
          <w:rStyle w:val="FootnoteReference"/>
        </w:rPr>
        <w:footnoteReference w:id="9"/>
      </w:r>
      <w:r w:rsidRPr="000B5C5C">
        <w:rPr>
          <w:rFonts w:cs="Calibri"/>
        </w:rPr>
        <w:t xml:space="preserve">  Collecting information from all laboratories would be burdensome, costly, and time-consuming.  This survey will collect key information from a relatively small sample of laboratories to provide estimates of the status of electronic capabilities and practice. </w:t>
      </w:r>
      <w:r w:rsidR="00E24854">
        <w:rPr>
          <w:rFonts w:cs="Calibri"/>
        </w:rPr>
        <w:t xml:space="preserve">A sample size </w:t>
      </w:r>
      <w:r w:rsidR="00E24854" w:rsidRPr="002F5365">
        <w:rPr>
          <w:rFonts w:cs="Calibri"/>
        </w:rPr>
        <w:t xml:space="preserve">of </w:t>
      </w:r>
      <w:r w:rsidR="005D1A87">
        <w:rPr>
          <w:rFonts w:cs="Calibri"/>
        </w:rPr>
        <w:t>13,957</w:t>
      </w:r>
      <w:r w:rsidR="00E24854" w:rsidRPr="002F5365">
        <w:rPr>
          <w:rFonts w:cs="Calibri"/>
        </w:rPr>
        <w:t xml:space="preserve"> laboratories, resulting in </w:t>
      </w:r>
      <w:r w:rsidR="000E1CFC">
        <w:rPr>
          <w:rFonts w:cs="Calibri"/>
        </w:rPr>
        <w:t xml:space="preserve">at least </w:t>
      </w:r>
      <w:r w:rsidR="00174B03">
        <w:rPr>
          <w:rFonts w:cs="Calibri"/>
        </w:rPr>
        <w:t>4,963</w:t>
      </w:r>
      <w:r w:rsidR="00E24854" w:rsidRPr="002F5365">
        <w:rPr>
          <w:rFonts w:cs="Calibri"/>
        </w:rPr>
        <w:t xml:space="preserve"> completed surveys</w:t>
      </w:r>
      <w:r w:rsidR="000E1CFC">
        <w:rPr>
          <w:rFonts w:cs="Calibri"/>
        </w:rPr>
        <w:t>,</w:t>
      </w:r>
      <w:r w:rsidR="00E24854" w:rsidRPr="002F5365">
        <w:rPr>
          <w:rFonts w:cs="Calibri"/>
        </w:rPr>
        <w:t xml:space="preserve"> will provide </w:t>
      </w:r>
      <w:r w:rsidRPr="002F5365">
        <w:rPr>
          <w:rFonts w:cs="Calibri"/>
        </w:rPr>
        <w:t xml:space="preserve">accurate estimates of information exchange capacity of laboratories </w:t>
      </w:r>
      <w:r w:rsidR="00C75950" w:rsidRPr="002F5365">
        <w:rPr>
          <w:rFonts w:cs="Calibri"/>
        </w:rPr>
        <w:t xml:space="preserve">at the national level and </w:t>
      </w:r>
      <w:r w:rsidRPr="002F5365">
        <w:rPr>
          <w:rFonts w:cs="Calibri"/>
        </w:rPr>
        <w:t>in the 50 states, D.C.</w:t>
      </w:r>
      <w:r w:rsidR="00067606">
        <w:rPr>
          <w:rFonts w:cs="Calibri"/>
        </w:rPr>
        <w:t>,</w:t>
      </w:r>
      <w:r w:rsidRPr="002F5365">
        <w:rPr>
          <w:rFonts w:cs="Calibri"/>
        </w:rPr>
        <w:t xml:space="preserve"> and Puerto</w:t>
      </w:r>
      <w:r w:rsidRPr="000B5C5C">
        <w:rPr>
          <w:rFonts w:cs="Calibri"/>
        </w:rPr>
        <w:t xml:space="preserve"> Rico. </w:t>
      </w:r>
      <w:r w:rsidR="00A01C71">
        <w:rPr>
          <w:rFonts w:cs="Calibri"/>
        </w:rPr>
        <w:t xml:space="preserve"> A mail out/mail back mode of survey administration will be used</w:t>
      </w:r>
      <w:r w:rsidR="00AD67FE">
        <w:rPr>
          <w:rFonts w:cs="Calibri"/>
        </w:rPr>
        <w:t xml:space="preserve">, followed by </w:t>
      </w:r>
      <w:r w:rsidR="000E1CFC">
        <w:rPr>
          <w:rFonts w:cs="Calibri"/>
        </w:rPr>
        <w:t xml:space="preserve">email reminders and </w:t>
      </w:r>
      <w:r w:rsidR="00AD67FE">
        <w:rPr>
          <w:rFonts w:cs="Calibri"/>
        </w:rPr>
        <w:t>telephone non-response follow</w:t>
      </w:r>
      <w:r w:rsidR="0069157D">
        <w:rPr>
          <w:rFonts w:cs="Calibri"/>
        </w:rPr>
        <w:t>-</w:t>
      </w:r>
      <w:r w:rsidR="00AD67FE">
        <w:rPr>
          <w:rFonts w:cs="Calibri"/>
        </w:rPr>
        <w:t xml:space="preserve">up.  </w:t>
      </w:r>
      <w:r w:rsidRPr="000B5C5C">
        <w:rPr>
          <w:rFonts w:cs="Calibri"/>
        </w:rPr>
        <w:t xml:space="preserve"> </w:t>
      </w:r>
    </w:p>
    <w:p w:rsidR="000B5C5C" w:rsidRPr="00AC0438" w:rsidRDefault="000B5C5C" w:rsidP="00C37427">
      <w:pPr>
        <w:jc w:val="both"/>
        <w:rPr>
          <w:rFonts w:cs="Calibri"/>
        </w:rPr>
      </w:pPr>
      <w:r w:rsidRPr="00AC0438">
        <w:rPr>
          <w:rFonts w:cs="Calibri"/>
        </w:rPr>
        <w:t xml:space="preserve">This OMB package is for approval of Wave 1 and Wave 2 of the survey.  </w:t>
      </w:r>
      <w:r w:rsidR="00C75950" w:rsidRPr="00AC0438">
        <w:rPr>
          <w:rFonts w:cs="Calibri"/>
        </w:rPr>
        <w:t xml:space="preserve">Wave 1 will be conducted </w:t>
      </w:r>
      <w:r w:rsidR="00DB3AD3">
        <w:rPr>
          <w:rFonts w:cs="Calibri"/>
        </w:rPr>
        <w:t xml:space="preserve">early </w:t>
      </w:r>
      <w:r w:rsidR="00C75950" w:rsidRPr="00AC0438">
        <w:rPr>
          <w:rFonts w:cs="Calibri"/>
        </w:rPr>
        <w:t>in</w:t>
      </w:r>
      <w:r w:rsidR="00DB3AD3">
        <w:rPr>
          <w:rFonts w:cs="Calibri"/>
        </w:rPr>
        <w:t xml:space="preserve"> 2013</w:t>
      </w:r>
      <w:r w:rsidR="00C75950" w:rsidRPr="00AC0438">
        <w:rPr>
          <w:rFonts w:cs="Calibri"/>
        </w:rPr>
        <w:t xml:space="preserve"> and seeks to establish the baseline; Wave 2 is planned for 2014 and will provide sufficient measures to assess improvements.  A</w:t>
      </w:r>
      <w:r w:rsidR="00594162" w:rsidRPr="00AC0438">
        <w:rPr>
          <w:rFonts w:cs="Calibri"/>
        </w:rPr>
        <w:t>t</w:t>
      </w:r>
      <w:r w:rsidR="00C75950" w:rsidRPr="00AC0438">
        <w:rPr>
          <w:rFonts w:cs="Calibri"/>
        </w:rPr>
        <w:t xml:space="preserve"> this time, the content of both Wave 1 and Wave 2 will be the same.  </w:t>
      </w:r>
    </w:p>
    <w:p w:rsidR="0065438A" w:rsidRPr="00C23300" w:rsidRDefault="0065438A" w:rsidP="00854067">
      <w:pPr>
        <w:pStyle w:val="Heading2"/>
      </w:pPr>
      <w:bookmarkStart w:id="24" w:name="_Toc319314192"/>
      <w:r w:rsidRPr="00C23300">
        <w:t>Purpose and Use of Information</w:t>
      </w:r>
      <w:bookmarkEnd w:id="20"/>
      <w:bookmarkEnd w:id="21"/>
      <w:r w:rsidRPr="00C23300">
        <w:t xml:space="preserve"> Collection</w:t>
      </w:r>
      <w:bookmarkEnd w:id="22"/>
      <w:bookmarkEnd w:id="23"/>
      <w:bookmarkEnd w:id="24"/>
    </w:p>
    <w:p w:rsidR="000B5C5C" w:rsidRPr="000B5C5C" w:rsidRDefault="000B5C5C" w:rsidP="00C37427">
      <w:pPr>
        <w:jc w:val="both"/>
        <w:rPr>
          <w:rFonts w:cs="Calibri"/>
        </w:rPr>
      </w:pPr>
      <w:bookmarkStart w:id="25" w:name="_Toc151782178"/>
      <w:bookmarkStart w:id="26" w:name="_Toc158526218"/>
      <w:bookmarkStart w:id="27" w:name="_Toc266256594"/>
      <w:bookmarkStart w:id="28" w:name="_Toc286057985"/>
      <w:r w:rsidRPr="000B5C5C">
        <w:rPr>
          <w:rFonts w:cs="Calibri"/>
        </w:rPr>
        <w:t>ONC is at the forefront of the administration’s health IT efforts</w:t>
      </w:r>
      <w:r w:rsidR="00E149CE">
        <w:rPr>
          <w:rFonts w:cs="Calibri"/>
        </w:rPr>
        <w:t>,</w:t>
      </w:r>
      <w:r w:rsidRPr="000B5C5C">
        <w:rPr>
          <w:rFonts w:cs="Calibri"/>
        </w:rPr>
        <w:t xml:space="preserve"> and is a resource to the entire health system to support the adoption of </w:t>
      </w:r>
      <w:r w:rsidR="0085147E">
        <w:rPr>
          <w:rFonts w:cs="Calibri"/>
        </w:rPr>
        <w:t>health IT</w:t>
      </w:r>
      <w:r w:rsidRPr="000B5C5C">
        <w:rPr>
          <w:rFonts w:cs="Calibri"/>
        </w:rPr>
        <w:t xml:space="preserve"> and the promotion of nationwide HIE to improve health care. </w:t>
      </w:r>
    </w:p>
    <w:p w:rsidR="000B5C5C" w:rsidRPr="000B5C5C" w:rsidRDefault="000B5C5C" w:rsidP="00C37427">
      <w:pPr>
        <w:jc w:val="both"/>
        <w:rPr>
          <w:rFonts w:cs="Calibri"/>
        </w:rPr>
      </w:pPr>
      <w:r w:rsidRPr="000B5C5C">
        <w:rPr>
          <w:rFonts w:cs="Calibri"/>
        </w:rPr>
        <w:t>The goal of the survey is to assess laboratory information exchange capacity and activity a</w:t>
      </w:r>
      <w:r w:rsidR="006D770A">
        <w:rPr>
          <w:rFonts w:cs="Calibri"/>
        </w:rPr>
        <w:t xml:space="preserve">t the </w:t>
      </w:r>
      <w:r w:rsidR="005544F0">
        <w:rPr>
          <w:rFonts w:cs="Calibri"/>
        </w:rPr>
        <w:t xml:space="preserve">state </w:t>
      </w:r>
      <w:r w:rsidR="006D770A">
        <w:rPr>
          <w:rFonts w:cs="Calibri"/>
        </w:rPr>
        <w:t>and national level</w:t>
      </w:r>
      <w:r w:rsidR="00745515">
        <w:rPr>
          <w:rFonts w:cs="Calibri"/>
        </w:rPr>
        <w:t>s</w:t>
      </w:r>
      <w:r w:rsidR="006D770A">
        <w:rPr>
          <w:rFonts w:cs="Calibri"/>
        </w:rPr>
        <w:t xml:space="preserve">. Results will provide crucial information </w:t>
      </w:r>
      <w:r w:rsidR="00E149CE">
        <w:rPr>
          <w:rFonts w:cs="Calibri"/>
        </w:rPr>
        <w:t>about laboratories across the United States</w:t>
      </w:r>
      <w:r w:rsidR="006D770A">
        <w:rPr>
          <w:rFonts w:cs="Calibri"/>
        </w:rPr>
        <w:t xml:space="preserve">, including the volume of laboratory information exchange, laboratory </w:t>
      </w:r>
      <w:r w:rsidR="00E2774C">
        <w:rPr>
          <w:rFonts w:cs="Calibri"/>
        </w:rPr>
        <w:t xml:space="preserve">information </w:t>
      </w:r>
      <w:r w:rsidR="006D770A">
        <w:rPr>
          <w:rFonts w:cs="Calibri"/>
        </w:rPr>
        <w:t xml:space="preserve">exchange standards, current systems and technical architecture, </w:t>
      </w:r>
      <w:r w:rsidR="00C27B35">
        <w:rPr>
          <w:rFonts w:cs="Calibri"/>
        </w:rPr>
        <w:t xml:space="preserve">and </w:t>
      </w:r>
      <w:r w:rsidR="006D770A">
        <w:rPr>
          <w:rFonts w:cs="Calibri"/>
        </w:rPr>
        <w:t>barriers and facilitators of laboratory information exchange</w:t>
      </w:r>
      <w:r w:rsidR="00C27B35">
        <w:rPr>
          <w:rFonts w:cs="Calibri"/>
        </w:rPr>
        <w:t>.</w:t>
      </w:r>
      <w:r w:rsidR="006D770A">
        <w:rPr>
          <w:rFonts w:cs="Calibri"/>
        </w:rPr>
        <w:t xml:space="preserve"> In particular, data will be used to </w:t>
      </w:r>
      <w:r w:rsidRPr="000B5C5C">
        <w:rPr>
          <w:rFonts w:cs="Calibri"/>
        </w:rPr>
        <w:t xml:space="preserve">generate general estimates for </w:t>
      </w:r>
      <w:r w:rsidR="004B5514">
        <w:rPr>
          <w:rFonts w:cs="Calibri"/>
        </w:rPr>
        <w:t xml:space="preserve">two </w:t>
      </w:r>
      <w:r w:rsidRPr="000B5C5C">
        <w:rPr>
          <w:rFonts w:cs="Calibri"/>
        </w:rPr>
        <w:t>key performance measures</w:t>
      </w:r>
      <w:r w:rsidR="00C27B35">
        <w:rPr>
          <w:rFonts w:cs="Calibri"/>
        </w:rPr>
        <w:t>:</w:t>
      </w:r>
    </w:p>
    <w:p w:rsidR="003B19C5" w:rsidRPr="000B5C5C" w:rsidRDefault="003B19C5" w:rsidP="0044233F">
      <w:pPr>
        <w:pStyle w:val="ListParagraph"/>
        <w:numPr>
          <w:ilvl w:val="0"/>
          <w:numId w:val="12"/>
        </w:numPr>
        <w:spacing w:before="0"/>
        <w:contextualSpacing w:val="0"/>
        <w:jc w:val="both"/>
        <w:rPr>
          <w:rFonts w:cs="Calibri"/>
        </w:rPr>
      </w:pPr>
      <w:r w:rsidRPr="000B5C5C">
        <w:rPr>
          <w:rFonts w:cs="Calibri"/>
        </w:rPr>
        <w:t xml:space="preserve">Percentage of laboratory facilities </w:t>
      </w:r>
      <w:r w:rsidRPr="00D33DA8">
        <w:rPr>
          <w:rFonts w:cs="Calibri"/>
          <w:i/>
        </w:rPr>
        <w:t>within each state</w:t>
      </w:r>
      <w:r w:rsidRPr="000B5C5C">
        <w:rPr>
          <w:rFonts w:cs="Calibri"/>
        </w:rPr>
        <w:t xml:space="preserve"> that are able to send structured laboratory results electronically</w:t>
      </w:r>
      <w:r w:rsidR="0085147E">
        <w:rPr>
          <w:rFonts w:cs="Calibri"/>
        </w:rPr>
        <w:t xml:space="preserve"> to </w:t>
      </w:r>
      <w:r w:rsidR="004B5514">
        <w:rPr>
          <w:rFonts w:cs="Calibri"/>
        </w:rPr>
        <w:t>ordering p</w:t>
      </w:r>
      <w:r w:rsidR="00DB3AD3">
        <w:rPr>
          <w:rFonts w:cs="Calibri"/>
        </w:rPr>
        <w:t>roviders</w:t>
      </w:r>
      <w:r w:rsidRPr="000B5C5C">
        <w:rPr>
          <w:rFonts w:cs="Calibri"/>
        </w:rPr>
        <w:t xml:space="preserve">, overall and separately for </w:t>
      </w:r>
      <w:r w:rsidR="00DB7111">
        <w:rPr>
          <w:rFonts w:cs="Calibri"/>
        </w:rPr>
        <w:t>h</w:t>
      </w:r>
      <w:r w:rsidRPr="000B5C5C">
        <w:rPr>
          <w:rFonts w:cs="Calibri"/>
        </w:rPr>
        <w:t xml:space="preserve">ospitals </w:t>
      </w:r>
      <w:r>
        <w:rPr>
          <w:rFonts w:cs="Calibri"/>
        </w:rPr>
        <w:t xml:space="preserve">and </w:t>
      </w:r>
      <w:r w:rsidR="00DB7111">
        <w:rPr>
          <w:rFonts w:cs="Calibri"/>
        </w:rPr>
        <w:t>i</w:t>
      </w:r>
      <w:r w:rsidRPr="000B5C5C">
        <w:rPr>
          <w:rFonts w:cs="Calibri"/>
        </w:rPr>
        <w:t xml:space="preserve">ndependent </w:t>
      </w:r>
      <w:r w:rsidR="00DB7111">
        <w:rPr>
          <w:rFonts w:cs="Calibri"/>
        </w:rPr>
        <w:t>l</w:t>
      </w:r>
      <w:r w:rsidRPr="000B5C5C">
        <w:rPr>
          <w:rFonts w:cs="Calibri"/>
        </w:rPr>
        <w:t>aboratories.</w:t>
      </w:r>
      <w:r>
        <w:rPr>
          <w:rFonts w:cs="Calibri"/>
        </w:rPr>
        <w:t xml:space="preserve"> </w:t>
      </w:r>
      <w:r w:rsidRPr="000B5C5C">
        <w:rPr>
          <w:rFonts w:cs="Calibri"/>
        </w:rPr>
        <w:t xml:space="preserve">Percentage of laboratory facilities </w:t>
      </w:r>
      <w:r w:rsidRPr="00D33DA8">
        <w:rPr>
          <w:rFonts w:cs="Calibri"/>
          <w:i/>
        </w:rPr>
        <w:t>nationally</w:t>
      </w:r>
      <w:r>
        <w:rPr>
          <w:rFonts w:cs="Calibri"/>
        </w:rPr>
        <w:t xml:space="preserve"> t</w:t>
      </w:r>
      <w:r w:rsidRPr="000B5C5C">
        <w:rPr>
          <w:rFonts w:cs="Calibri"/>
        </w:rPr>
        <w:t>hat are able to send structured laboratory results electronically</w:t>
      </w:r>
      <w:r w:rsidR="0085147E">
        <w:rPr>
          <w:rFonts w:cs="Calibri"/>
        </w:rPr>
        <w:t xml:space="preserve"> to </w:t>
      </w:r>
      <w:r w:rsidR="004B5514">
        <w:rPr>
          <w:rFonts w:cs="Calibri"/>
        </w:rPr>
        <w:t>ordering</w:t>
      </w:r>
      <w:r w:rsidR="00DB3AD3">
        <w:rPr>
          <w:rFonts w:cs="Calibri"/>
        </w:rPr>
        <w:t xml:space="preserve"> providers</w:t>
      </w:r>
      <w:r w:rsidRPr="000B5C5C">
        <w:rPr>
          <w:rFonts w:cs="Calibri"/>
        </w:rPr>
        <w:t xml:space="preserve"> overall and separately for </w:t>
      </w:r>
      <w:r w:rsidR="005544F0">
        <w:rPr>
          <w:rFonts w:cs="Calibri"/>
        </w:rPr>
        <w:t>h</w:t>
      </w:r>
      <w:r w:rsidR="005544F0" w:rsidRPr="000B5C5C">
        <w:rPr>
          <w:rFonts w:cs="Calibri"/>
        </w:rPr>
        <w:t>ospitals</w:t>
      </w:r>
      <w:r w:rsidR="005544F0">
        <w:rPr>
          <w:rFonts w:cs="Calibri"/>
        </w:rPr>
        <w:t xml:space="preserve"> </w:t>
      </w:r>
      <w:r w:rsidR="00595A14">
        <w:rPr>
          <w:rFonts w:cs="Calibri"/>
        </w:rPr>
        <w:t>and</w:t>
      </w:r>
      <w:r w:rsidRPr="000B5C5C">
        <w:rPr>
          <w:rFonts w:cs="Calibri"/>
        </w:rPr>
        <w:t xml:space="preserve"> </w:t>
      </w:r>
      <w:r w:rsidR="005544F0">
        <w:rPr>
          <w:rFonts w:cs="Calibri"/>
        </w:rPr>
        <w:t>i</w:t>
      </w:r>
      <w:r w:rsidR="005544F0" w:rsidRPr="000B5C5C">
        <w:rPr>
          <w:rFonts w:cs="Calibri"/>
        </w:rPr>
        <w:t>ndepen</w:t>
      </w:r>
      <w:r w:rsidR="005544F0">
        <w:rPr>
          <w:rFonts w:cs="Calibri"/>
        </w:rPr>
        <w:t>dent laboratories</w:t>
      </w:r>
      <w:r w:rsidRPr="000B5C5C">
        <w:rPr>
          <w:rFonts w:cs="Calibri"/>
        </w:rPr>
        <w:t>.</w:t>
      </w:r>
    </w:p>
    <w:p w:rsidR="003B19C5" w:rsidRPr="00E244D6" w:rsidRDefault="003B19C5" w:rsidP="00C37427">
      <w:pPr>
        <w:pStyle w:val="ListParagraph"/>
        <w:numPr>
          <w:ilvl w:val="0"/>
          <w:numId w:val="12"/>
        </w:numPr>
        <w:spacing w:before="0" w:after="200"/>
        <w:jc w:val="both"/>
        <w:rPr>
          <w:rFonts w:cs="Calibri"/>
        </w:rPr>
      </w:pPr>
      <w:r w:rsidRPr="000B5C5C">
        <w:rPr>
          <w:rFonts w:cs="Calibri"/>
        </w:rPr>
        <w:t xml:space="preserve">Percentage of </w:t>
      </w:r>
      <w:r w:rsidR="00F247CE">
        <w:rPr>
          <w:rFonts w:cs="Calibri"/>
        </w:rPr>
        <w:t xml:space="preserve">laboratory </w:t>
      </w:r>
      <w:r w:rsidR="004B5514">
        <w:rPr>
          <w:rFonts w:cs="Calibri"/>
        </w:rPr>
        <w:t xml:space="preserve">results </w:t>
      </w:r>
      <w:r w:rsidRPr="00D33DA8">
        <w:rPr>
          <w:rFonts w:cs="Calibri"/>
          <w:i/>
        </w:rPr>
        <w:t>within each state</w:t>
      </w:r>
      <w:r w:rsidRPr="000B5C5C">
        <w:rPr>
          <w:rFonts w:cs="Calibri"/>
        </w:rPr>
        <w:t xml:space="preserve"> that are currently being sent electronically</w:t>
      </w:r>
      <w:r w:rsidR="0085147E">
        <w:rPr>
          <w:rFonts w:cs="Calibri"/>
        </w:rPr>
        <w:t xml:space="preserve"> </w:t>
      </w:r>
      <w:r w:rsidR="004B5514">
        <w:rPr>
          <w:rFonts w:cs="Calibri"/>
        </w:rPr>
        <w:t xml:space="preserve">in coded format </w:t>
      </w:r>
      <w:r w:rsidR="0085147E">
        <w:rPr>
          <w:rFonts w:cs="Calibri"/>
        </w:rPr>
        <w:t>to</w:t>
      </w:r>
      <w:r w:rsidR="0069157D">
        <w:rPr>
          <w:rFonts w:cs="Calibri"/>
        </w:rPr>
        <w:t xml:space="preserve"> </w:t>
      </w:r>
      <w:r w:rsidR="004B5514">
        <w:rPr>
          <w:rFonts w:cs="Calibri"/>
        </w:rPr>
        <w:t xml:space="preserve">ordering </w:t>
      </w:r>
      <w:r w:rsidR="00DB3AD3">
        <w:rPr>
          <w:rFonts w:cs="Calibri"/>
        </w:rPr>
        <w:t>providers</w:t>
      </w:r>
      <w:r w:rsidRPr="000B5C5C">
        <w:rPr>
          <w:rFonts w:cs="Calibri"/>
        </w:rPr>
        <w:t xml:space="preserve">, overall and separately for </w:t>
      </w:r>
      <w:r w:rsidR="005544F0">
        <w:rPr>
          <w:rFonts w:cs="Calibri"/>
        </w:rPr>
        <w:t>h</w:t>
      </w:r>
      <w:r w:rsidR="005544F0" w:rsidRPr="000B5C5C">
        <w:rPr>
          <w:rFonts w:cs="Calibri"/>
        </w:rPr>
        <w:t xml:space="preserve">ospitals </w:t>
      </w:r>
      <w:r>
        <w:rPr>
          <w:rFonts w:cs="Calibri"/>
        </w:rPr>
        <w:t xml:space="preserve">and </w:t>
      </w:r>
      <w:r w:rsidR="005544F0">
        <w:rPr>
          <w:rFonts w:cs="Calibri"/>
        </w:rPr>
        <w:t>i</w:t>
      </w:r>
      <w:r w:rsidR="005544F0" w:rsidRPr="000B5C5C">
        <w:rPr>
          <w:rFonts w:cs="Calibri"/>
        </w:rPr>
        <w:t xml:space="preserve">ndependent </w:t>
      </w:r>
      <w:r w:rsidR="005544F0">
        <w:rPr>
          <w:rFonts w:cs="Calibri"/>
        </w:rPr>
        <w:t>l</w:t>
      </w:r>
      <w:r w:rsidR="005544F0" w:rsidRPr="000B5C5C">
        <w:rPr>
          <w:rFonts w:cs="Calibri"/>
        </w:rPr>
        <w:t>aboratories</w:t>
      </w:r>
      <w:r w:rsidRPr="000B5C5C">
        <w:rPr>
          <w:rFonts w:cs="Calibri"/>
        </w:rPr>
        <w:t>.</w:t>
      </w:r>
      <w:r>
        <w:rPr>
          <w:rFonts w:cs="Calibri"/>
        </w:rPr>
        <w:t xml:space="preserve"> </w:t>
      </w:r>
      <w:r w:rsidRPr="000B5C5C">
        <w:rPr>
          <w:rFonts w:cs="Calibri"/>
        </w:rPr>
        <w:t xml:space="preserve">Percentage of </w:t>
      </w:r>
      <w:r w:rsidR="00F247CE">
        <w:rPr>
          <w:rFonts w:cs="Calibri"/>
        </w:rPr>
        <w:t xml:space="preserve">laboratory </w:t>
      </w:r>
      <w:r w:rsidR="004B5514">
        <w:rPr>
          <w:rFonts w:cs="Calibri"/>
        </w:rPr>
        <w:t xml:space="preserve">results </w:t>
      </w:r>
      <w:r w:rsidRPr="00D33DA8">
        <w:rPr>
          <w:rFonts w:cs="Calibri"/>
          <w:i/>
        </w:rPr>
        <w:t>nationally</w:t>
      </w:r>
      <w:r w:rsidRPr="000B5C5C">
        <w:rPr>
          <w:rFonts w:cs="Calibri"/>
        </w:rPr>
        <w:t xml:space="preserve"> that are currently being sent electronically</w:t>
      </w:r>
      <w:r w:rsidR="004B5514">
        <w:rPr>
          <w:rFonts w:cs="Calibri"/>
        </w:rPr>
        <w:t xml:space="preserve"> in coded format to ordering</w:t>
      </w:r>
      <w:r w:rsidR="00DB3AD3">
        <w:rPr>
          <w:rFonts w:cs="Calibri"/>
        </w:rPr>
        <w:t xml:space="preserve"> providers</w:t>
      </w:r>
      <w:r w:rsidRPr="000B5C5C">
        <w:rPr>
          <w:rFonts w:cs="Calibri"/>
        </w:rPr>
        <w:t xml:space="preserve">, overall and separately for </w:t>
      </w:r>
      <w:r w:rsidR="005544F0">
        <w:rPr>
          <w:rFonts w:cs="Calibri"/>
        </w:rPr>
        <w:t>h</w:t>
      </w:r>
      <w:r w:rsidR="005544F0" w:rsidRPr="000B5C5C">
        <w:rPr>
          <w:rFonts w:cs="Calibri"/>
        </w:rPr>
        <w:t>ospitals</w:t>
      </w:r>
      <w:r w:rsidR="005544F0">
        <w:rPr>
          <w:rFonts w:cs="Calibri"/>
        </w:rPr>
        <w:t xml:space="preserve"> </w:t>
      </w:r>
      <w:r w:rsidR="00595A14">
        <w:rPr>
          <w:rFonts w:cs="Calibri"/>
        </w:rPr>
        <w:t>and</w:t>
      </w:r>
      <w:r w:rsidRPr="000B5C5C">
        <w:rPr>
          <w:rFonts w:cs="Calibri"/>
        </w:rPr>
        <w:t xml:space="preserve"> </w:t>
      </w:r>
      <w:r w:rsidR="005544F0">
        <w:rPr>
          <w:rFonts w:cs="Calibri"/>
        </w:rPr>
        <w:t>i</w:t>
      </w:r>
      <w:r w:rsidR="005544F0" w:rsidRPr="000B5C5C">
        <w:rPr>
          <w:rFonts w:cs="Calibri"/>
        </w:rPr>
        <w:t>nd</w:t>
      </w:r>
      <w:r w:rsidR="005544F0">
        <w:rPr>
          <w:rFonts w:cs="Calibri"/>
        </w:rPr>
        <w:t>ependent laboratories</w:t>
      </w:r>
      <w:r w:rsidRPr="000B5C5C">
        <w:rPr>
          <w:rFonts w:cs="Calibri"/>
        </w:rPr>
        <w:t>.</w:t>
      </w:r>
    </w:p>
    <w:p w:rsidR="00CD462F" w:rsidRDefault="000B5C5C" w:rsidP="00C37427">
      <w:pPr>
        <w:jc w:val="both"/>
        <w:rPr>
          <w:rFonts w:cs="Calibri"/>
        </w:rPr>
      </w:pPr>
      <w:r w:rsidRPr="000B5C5C">
        <w:rPr>
          <w:rFonts w:cs="Calibri"/>
        </w:rPr>
        <w:t xml:space="preserve">The survey is integral to nationwide efforts to promote </w:t>
      </w:r>
      <w:r w:rsidR="00615DE7">
        <w:rPr>
          <w:rFonts w:cs="Calibri"/>
        </w:rPr>
        <w:t xml:space="preserve">electronic </w:t>
      </w:r>
      <w:r w:rsidRPr="000B5C5C">
        <w:rPr>
          <w:rFonts w:cs="Calibri"/>
        </w:rPr>
        <w:t xml:space="preserve">laboratory information exchange, as it will yield invaluable information on laboratory </w:t>
      </w:r>
      <w:r w:rsidR="00E2774C">
        <w:rPr>
          <w:rFonts w:cs="Calibri"/>
        </w:rPr>
        <w:t>information</w:t>
      </w:r>
      <w:r w:rsidR="00615DE7">
        <w:rPr>
          <w:rFonts w:cs="Calibri"/>
        </w:rPr>
        <w:t xml:space="preserve"> electronic</w:t>
      </w:r>
      <w:r w:rsidR="00E2774C">
        <w:rPr>
          <w:rFonts w:cs="Calibri"/>
        </w:rPr>
        <w:t xml:space="preserve"> </w:t>
      </w:r>
      <w:r w:rsidRPr="000B5C5C">
        <w:rPr>
          <w:rFonts w:cs="Calibri"/>
        </w:rPr>
        <w:t xml:space="preserve">exchange capacity and activity at the </w:t>
      </w:r>
      <w:r w:rsidR="005544F0">
        <w:rPr>
          <w:rFonts w:cs="Calibri"/>
        </w:rPr>
        <w:t>s</w:t>
      </w:r>
      <w:r w:rsidR="005544F0" w:rsidRPr="000B5C5C">
        <w:rPr>
          <w:rFonts w:cs="Calibri"/>
        </w:rPr>
        <w:t xml:space="preserve">tate </w:t>
      </w:r>
      <w:r w:rsidRPr="000B5C5C">
        <w:rPr>
          <w:rFonts w:cs="Calibri"/>
        </w:rPr>
        <w:t>and national level</w:t>
      </w:r>
      <w:r w:rsidR="00745515">
        <w:rPr>
          <w:rFonts w:cs="Calibri"/>
        </w:rPr>
        <w:t>s</w:t>
      </w:r>
      <w:r w:rsidRPr="000B5C5C">
        <w:rPr>
          <w:rFonts w:cs="Calibri"/>
        </w:rPr>
        <w:t xml:space="preserve">. </w:t>
      </w:r>
      <w:r w:rsidR="00615DE7">
        <w:rPr>
          <w:rFonts w:cs="Calibri"/>
        </w:rPr>
        <w:t xml:space="preserve"> </w:t>
      </w:r>
      <w:r w:rsidRPr="000B5C5C">
        <w:rPr>
          <w:rFonts w:cs="Calibri"/>
        </w:rPr>
        <w:t xml:space="preserve">ONC will use these findings to develop a comprehensive understanding of the baseline level of laboratory </w:t>
      </w:r>
      <w:r w:rsidR="00E2774C">
        <w:rPr>
          <w:rFonts w:cs="Calibri"/>
        </w:rPr>
        <w:t xml:space="preserve">information </w:t>
      </w:r>
      <w:r w:rsidRPr="000B5C5C">
        <w:rPr>
          <w:rFonts w:cs="Calibri"/>
        </w:rPr>
        <w:t xml:space="preserve">exchange in order to inform program activities to promote laboratory </w:t>
      </w:r>
      <w:r w:rsidR="00E2774C">
        <w:rPr>
          <w:rFonts w:cs="Calibri"/>
        </w:rPr>
        <w:t xml:space="preserve">information </w:t>
      </w:r>
      <w:r w:rsidRPr="000B5C5C">
        <w:rPr>
          <w:rFonts w:cs="Calibri"/>
        </w:rPr>
        <w:t>exchange</w:t>
      </w:r>
      <w:r w:rsidR="00745515">
        <w:rPr>
          <w:rFonts w:cs="Calibri"/>
        </w:rPr>
        <w:t xml:space="preserve"> </w:t>
      </w:r>
      <w:r w:rsidRPr="000B5C5C">
        <w:rPr>
          <w:rFonts w:cs="Calibri"/>
        </w:rPr>
        <w:t xml:space="preserve">and provide more targeted assistance to states and territories in developing their laboratory </w:t>
      </w:r>
      <w:r w:rsidR="00E2774C">
        <w:rPr>
          <w:rFonts w:cs="Calibri"/>
        </w:rPr>
        <w:t xml:space="preserve">information </w:t>
      </w:r>
      <w:r w:rsidR="00E149CE">
        <w:rPr>
          <w:rFonts w:cs="Calibri"/>
        </w:rPr>
        <w:t>exchange strategies</w:t>
      </w:r>
      <w:r w:rsidRPr="000B5C5C">
        <w:rPr>
          <w:rFonts w:cs="Calibri"/>
        </w:rPr>
        <w:t>. The information will also be used by states and territories to refine their approaches to promoting laboratory information exchange. As time and program funding are limited, it is critical that they have access to quality and comprehensive information in order to quickly refine their interventions.</w:t>
      </w:r>
      <w:r w:rsidR="00CD462F" w:rsidRPr="00CD462F">
        <w:rPr>
          <w:rFonts w:cs="Calibri"/>
        </w:rPr>
        <w:t xml:space="preserve"> </w:t>
      </w:r>
      <w:r w:rsidR="00CD462F" w:rsidRPr="000B5C5C">
        <w:rPr>
          <w:rFonts w:cs="Calibri"/>
        </w:rPr>
        <w:t xml:space="preserve">Finally, the information will be used to assess the </w:t>
      </w:r>
      <w:r w:rsidR="00CD462F">
        <w:rPr>
          <w:rFonts w:cs="Calibri"/>
        </w:rPr>
        <w:t>effectiveness</w:t>
      </w:r>
      <w:r w:rsidR="00CD462F" w:rsidRPr="000B5C5C">
        <w:rPr>
          <w:rFonts w:cs="Calibri"/>
        </w:rPr>
        <w:t xml:space="preserve"> of the program </w:t>
      </w:r>
      <w:r w:rsidR="00CD462F">
        <w:rPr>
          <w:rFonts w:cs="Calibri"/>
        </w:rPr>
        <w:t>i</w:t>
      </w:r>
      <w:r w:rsidR="00CD462F" w:rsidRPr="000B5C5C">
        <w:rPr>
          <w:rFonts w:cs="Calibri"/>
        </w:rPr>
        <w:t xml:space="preserve">n </w:t>
      </w:r>
      <w:r w:rsidR="00CD462F">
        <w:rPr>
          <w:rFonts w:cs="Calibri"/>
        </w:rPr>
        <w:t xml:space="preserve">facilitating the electronic </w:t>
      </w:r>
      <w:r w:rsidR="00CD462F" w:rsidRPr="000B5C5C">
        <w:rPr>
          <w:rFonts w:cs="Calibri"/>
        </w:rPr>
        <w:t xml:space="preserve">exchange </w:t>
      </w:r>
      <w:r w:rsidR="00A65A5E">
        <w:rPr>
          <w:rFonts w:cs="Calibri"/>
        </w:rPr>
        <w:t xml:space="preserve">of </w:t>
      </w:r>
      <w:r w:rsidR="00CD462F" w:rsidRPr="000B5C5C">
        <w:rPr>
          <w:rFonts w:cs="Calibri"/>
        </w:rPr>
        <w:t xml:space="preserve">laboratory information, a critical aspect of clinical care. Ultimately, the information will guide ONC and other federal agencies on future policy for laboratory </w:t>
      </w:r>
      <w:r w:rsidR="00CD462F">
        <w:rPr>
          <w:rFonts w:cs="Calibri"/>
        </w:rPr>
        <w:t xml:space="preserve">information </w:t>
      </w:r>
      <w:r w:rsidR="00CD462F" w:rsidRPr="000B5C5C">
        <w:rPr>
          <w:rFonts w:cs="Calibri"/>
        </w:rPr>
        <w:t>exchange.</w:t>
      </w:r>
    </w:p>
    <w:p w:rsidR="000B5C5C" w:rsidRPr="000B5C5C" w:rsidRDefault="00CD462F" w:rsidP="00C37427">
      <w:pPr>
        <w:jc w:val="both"/>
        <w:rPr>
          <w:rFonts w:cs="Calibri"/>
        </w:rPr>
      </w:pPr>
      <w:r>
        <w:rPr>
          <w:rFonts w:cs="Calibri"/>
        </w:rPr>
        <w:t>ONC</w:t>
      </w:r>
      <w:r w:rsidRPr="00CD462F">
        <w:rPr>
          <w:rFonts w:cs="Calibri"/>
        </w:rPr>
        <w:t xml:space="preserve"> </w:t>
      </w:r>
      <w:r>
        <w:rPr>
          <w:rFonts w:cs="Calibri"/>
        </w:rPr>
        <w:t xml:space="preserve">also </w:t>
      </w:r>
      <w:r w:rsidRPr="00CD462F">
        <w:rPr>
          <w:rFonts w:cs="Calibri"/>
        </w:rPr>
        <w:t>intend</w:t>
      </w:r>
      <w:r>
        <w:rPr>
          <w:rFonts w:cs="Calibri"/>
        </w:rPr>
        <w:t>s</w:t>
      </w:r>
      <w:r w:rsidRPr="00CD462F">
        <w:rPr>
          <w:rFonts w:cs="Calibri"/>
        </w:rPr>
        <w:t xml:space="preserve"> to link survey responses from hospital laboratories to data ONC </w:t>
      </w:r>
      <w:r w:rsidR="00DB3AD3">
        <w:rPr>
          <w:rFonts w:cs="Calibri"/>
        </w:rPr>
        <w:t>obtains</w:t>
      </w:r>
      <w:r w:rsidRPr="00CD462F">
        <w:rPr>
          <w:rFonts w:cs="Calibri"/>
        </w:rPr>
        <w:t xml:space="preserve"> from the American Hospital Association’s Annual Survey.  This </w:t>
      </w:r>
      <w:r>
        <w:rPr>
          <w:rFonts w:cs="Calibri"/>
        </w:rPr>
        <w:t xml:space="preserve">linkage </w:t>
      </w:r>
      <w:r w:rsidRPr="00CD462F">
        <w:rPr>
          <w:rFonts w:cs="Calibri"/>
        </w:rPr>
        <w:t xml:space="preserve">will enable </w:t>
      </w:r>
      <w:r>
        <w:rPr>
          <w:rFonts w:cs="Calibri"/>
        </w:rPr>
        <w:t>ONC</w:t>
      </w:r>
      <w:r w:rsidRPr="00CD462F">
        <w:rPr>
          <w:rFonts w:cs="Calibri"/>
        </w:rPr>
        <w:t xml:space="preserve"> to better understand hospital and area characteristics of the surveyed entity, without burdening them with additional questions.  Having th</w:t>
      </w:r>
      <w:r>
        <w:rPr>
          <w:rFonts w:cs="Calibri"/>
        </w:rPr>
        <w:t>ese</w:t>
      </w:r>
      <w:r w:rsidRPr="00CD462F">
        <w:rPr>
          <w:rFonts w:cs="Calibri"/>
        </w:rPr>
        <w:t xml:space="preserve"> data will allow </w:t>
      </w:r>
      <w:r>
        <w:rPr>
          <w:rFonts w:cs="Calibri"/>
        </w:rPr>
        <w:t>ONC</w:t>
      </w:r>
      <w:r w:rsidRPr="00CD462F">
        <w:rPr>
          <w:rFonts w:cs="Calibri"/>
        </w:rPr>
        <w:t xml:space="preserve"> to understand if factors such as hospital bed size, teaching status, whether the hospital is part of a network of hospitals or single entity, and EHR adoption status affect a hospital’s capability to exchange laboratory test results electronically. </w:t>
      </w:r>
    </w:p>
    <w:p w:rsidR="0065438A" w:rsidRPr="00C23300" w:rsidRDefault="0065438A" w:rsidP="00854067">
      <w:pPr>
        <w:pStyle w:val="Heading2"/>
      </w:pPr>
      <w:bookmarkStart w:id="29" w:name="_Toc319314193"/>
      <w:r w:rsidRPr="00C23300">
        <w:t>Use of Improved Information Technology</w:t>
      </w:r>
      <w:bookmarkEnd w:id="25"/>
      <w:bookmarkEnd w:id="26"/>
      <w:r w:rsidRPr="00C23300">
        <w:t xml:space="preserve"> and Burden Reduction</w:t>
      </w:r>
      <w:bookmarkEnd w:id="27"/>
      <w:bookmarkEnd w:id="28"/>
      <w:bookmarkEnd w:id="29"/>
    </w:p>
    <w:p w:rsidR="007B06BE" w:rsidRPr="00C66744" w:rsidRDefault="00362C13" w:rsidP="0055736D">
      <w:pPr>
        <w:pStyle w:val="NoSpacing"/>
        <w:spacing w:before="240"/>
        <w:jc w:val="both"/>
        <w:rPr>
          <w:rFonts w:cs="Calibri"/>
        </w:rPr>
      </w:pPr>
      <w:r w:rsidRPr="00AC0438">
        <w:rPr>
          <w:rFonts w:cs="Calibri"/>
        </w:rPr>
        <w:t xml:space="preserve">This study will rely on data gathered from self-administered </w:t>
      </w:r>
      <w:r w:rsidR="00081DC5" w:rsidRPr="00AC0438">
        <w:rPr>
          <w:rFonts w:cs="Calibri"/>
        </w:rPr>
        <w:t xml:space="preserve">hardcopy </w:t>
      </w:r>
      <w:r w:rsidRPr="00AC0438">
        <w:rPr>
          <w:rFonts w:cs="Calibri"/>
        </w:rPr>
        <w:t xml:space="preserve">surveys of </w:t>
      </w:r>
      <w:r w:rsidR="007B06BE" w:rsidRPr="00AC0438">
        <w:rPr>
          <w:rFonts w:cs="Calibri"/>
        </w:rPr>
        <w:t xml:space="preserve">key informants (i.e. </w:t>
      </w:r>
      <w:r w:rsidR="00F247CE">
        <w:rPr>
          <w:rFonts w:cs="Calibri"/>
        </w:rPr>
        <w:t xml:space="preserve">Laboratory </w:t>
      </w:r>
      <w:r w:rsidR="004C20C8">
        <w:rPr>
          <w:rFonts w:cs="Calibri"/>
        </w:rPr>
        <w:t>M</w:t>
      </w:r>
      <w:r w:rsidR="007B06BE" w:rsidRPr="00AC0438">
        <w:rPr>
          <w:rFonts w:cs="Calibri"/>
        </w:rPr>
        <w:t xml:space="preserve">anagers or </w:t>
      </w:r>
      <w:r w:rsidR="004C20C8">
        <w:rPr>
          <w:rFonts w:cs="Calibri"/>
        </w:rPr>
        <w:t>D</w:t>
      </w:r>
      <w:r w:rsidR="007B06BE" w:rsidRPr="00AC0438">
        <w:rPr>
          <w:rFonts w:cs="Calibri"/>
        </w:rPr>
        <w:t>irectors</w:t>
      </w:r>
      <w:r w:rsidR="004C20C8">
        <w:rPr>
          <w:rFonts w:cs="Calibri"/>
        </w:rPr>
        <w:t xml:space="preserve"> and </w:t>
      </w:r>
      <w:r w:rsidR="00F247CE">
        <w:rPr>
          <w:rFonts w:cs="Calibri"/>
        </w:rPr>
        <w:t xml:space="preserve">Laboratory </w:t>
      </w:r>
      <w:r w:rsidR="004C20C8">
        <w:rPr>
          <w:rFonts w:cs="Calibri"/>
        </w:rPr>
        <w:t xml:space="preserve">Information System </w:t>
      </w:r>
      <w:r w:rsidR="005544F0">
        <w:rPr>
          <w:rFonts w:cs="Calibri"/>
        </w:rPr>
        <w:t>Specialists</w:t>
      </w:r>
      <w:r w:rsidR="007B06BE" w:rsidRPr="00AC0438">
        <w:rPr>
          <w:rFonts w:cs="Calibri"/>
        </w:rPr>
        <w:t xml:space="preserve">) </w:t>
      </w:r>
      <w:r w:rsidR="003523A2" w:rsidRPr="00AC0438">
        <w:rPr>
          <w:rFonts w:cs="Calibri"/>
        </w:rPr>
        <w:t xml:space="preserve">at </w:t>
      </w:r>
      <w:r w:rsidR="007B06BE" w:rsidRPr="00AC0438">
        <w:rPr>
          <w:rFonts w:cs="Calibri"/>
        </w:rPr>
        <w:t xml:space="preserve">the </w:t>
      </w:r>
      <w:r w:rsidR="003523A2" w:rsidRPr="00AC0438">
        <w:rPr>
          <w:rFonts w:cs="Calibri"/>
        </w:rPr>
        <w:t xml:space="preserve">sampled </w:t>
      </w:r>
      <w:r w:rsidR="00F247CE">
        <w:rPr>
          <w:rFonts w:cs="Calibri"/>
        </w:rPr>
        <w:t>laboratories</w:t>
      </w:r>
      <w:r w:rsidR="003523A2" w:rsidRPr="00AC0438">
        <w:rPr>
          <w:rFonts w:cs="Calibri"/>
        </w:rPr>
        <w:t xml:space="preserve">.  </w:t>
      </w:r>
      <w:r w:rsidR="00A01C71">
        <w:rPr>
          <w:rFonts w:cs="Calibri"/>
        </w:rPr>
        <w:t xml:space="preserve">Employing a hard copy questionnaire will be most effective since completion of survey questions will </w:t>
      </w:r>
      <w:r w:rsidR="004C20C8">
        <w:rPr>
          <w:rFonts w:cs="Calibri"/>
        </w:rPr>
        <w:t xml:space="preserve">likely </w:t>
      </w:r>
      <w:r w:rsidR="00A01C71">
        <w:rPr>
          <w:rFonts w:cs="Calibri"/>
        </w:rPr>
        <w:t xml:space="preserve">require consultation with more than one respondent.  Respondents will also be contacted via email </w:t>
      </w:r>
      <w:r w:rsidR="00DB3AD3">
        <w:rPr>
          <w:rFonts w:cs="Calibri"/>
        </w:rPr>
        <w:t xml:space="preserve">and phone </w:t>
      </w:r>
      <w:r w:rsidR="00A01C71">
        <w:rPr>
          <w:rFonts w:cs="Calibri"/>
        </w:rPr>
        <w:t>and survey responses can be provided by mail</w:t>
      </w:r>
      <w:r w:rsidR="00DB3AD3">
        <w:rPr>
          <w:rFonts w:cs="Calibri"/>
        </w:rPr>
        <w:t>, phone</w:t>
      </w:r>
      <w:r w:rsidR="00745515">
        <w:rPr>
          <w:rFonts w:cs="Calibri"/>
        </w:rPr>
        <w:t xml:space="preserve"> or fax</w:t>
      </w:r>
      <w:r w:rsidR="00A01C71">
        <w:rPr>
          <w:rFonts w:cs="Calibri"/>
        </w:rPr>
        <w:t xml:space="preserve">. </w:t>
      </w:r>
      <w:r w:rsidR="007B06BE" w:rsidRPr="00C66744">
        <w:rPr>
          <w:rFonts w:cs="Calibri"/>
        </w:rPr>
        <w:t xml:space="preserve">Data collection costs are reduced by </w:t>
      </w:r>
      <w:r w:rsidR="00A01C71">
        <w:rPr>
          <w:rFonts w:cs="Calibri"/>
        </w:rPr>
        <w:t xml:space="preserve">reducing the </w:t>
      </w:r>
      <w:r w:rsidR="00AD6FD9">
        <w:rPr>
          <w:rFonts w:cs="Calibri"/>
        </w:rPr>
        <w:t xml:space="preserve">number of response modes (e.g., not conducting web or personal visit data collection).  </w:t>
      </w:r>
      <w:r w:rsidR="00745515">
        <w:rPr>
          <w:rFonts w:cs="Calibri"/>
        </w:rPr>
        <w:t>C</w:t>
      </w:r>
      <w:r w:rsidR="00AD6FD9">
        <w:rPr>
          <w:rFonts w:cs="Calibri"/>
        </w:rPr>
        <w:t xml:space="preserve">onsultations with grantees who have conducted state-based surveys with clinical laboratories have indicated that </w:t>
      </w:r>
      <w:r w:rsidR="00F37778">
        <w:rPr>
          <w:rFonts w:cs="Calibri"/>
        </w:rPr>
        <w:t xml:space="preserve">the majority of </w:t>
      </w:r>
      <w:r w:rsidR="00AD6FD9">
        <w:rPr>
          <w:rFonts w:cs="Calibri"/>
        </w:rPr>
        <w:t xml:space="preserve">laboratory staff </w:t>
      </w:r>
      <w:r w:rsidR="00F37778">
        <w:rPr>
          <w:rFonts w:cs="Calibri"/>
        </w:rPr>
        <w:t xml:space="preserve">is expected to </w:t>
      </w:r>
      <w:r w:rsidR="00AD6FD9">
        <w:rPr>
          <w:rFonts w:cs="Calibri"/>
        </w:rPr>
        <w:t xml:space="preserve">prefer filling out a hard copy questionnaire.  </w:t>
      </w:r>
    </w:p>
    <w:p w:rsidR="00B71A02" w:rsidRPr="000F7409" w:rsidRDefault="00B71A02" w:rsidP="00B71A02">
      <w:pPr>
        <w:pStyle w:val="BodyText"/>
        <w:spacing w:before="240" w:line="240" w:lineRule="auto"/>
        <w:jc w:val="both"/>
        <w:rPr>
          <w:rFonts w:ascii="Calibri" w:hAnsi="Calibri" w:cs="Calibri"/>
          <w:sz w:val="22"/>
          <w:szCs w:val="22"/>
        </w:rPr>
      </w:pPr>
      <w:r w:rsidRPr="00C64289">
        <w:rPr>
          <w:rFonts w:ascii="Calibri" w:hAnsi="Calibri" w:cs="Calibri"/>
          <w:sz w:val="22"/>
          <w:szCs w:val="22"/>
        </w:rPr>
        <w:t>Al</w:t>
      </w:r>
      <w:r w:rsidR="004C20C8" w:rsidRPr="00C64289">
        <w:rPr>
          <w:rFonts w:ascii="Calibri" w:hAnsi="Calibri" w:cs="Calibri"/>
          <w:sz w:val="22"/>
          <w:szCs w:val="22"/>
        </w:rPr>
        <w:t xml:space="preserve">l respondents will be mailed an advance </w:t>
      </w:r>
      <w:r w:rsidRPr="00C64289">
        <w:rPr>
          <w:rFonts w:ascii="Calibri" w:hAnsi="Calibri" w:cs="Calibri"/>
          <w:sz w:val="22"/>
          <w:szCs w:val="22"/>
        </w:rPr>
        <w:t>invitation letter informing them of the purpose and importance of the survey.  The advance letter will be followed by a mailed packet</w:t>
      </w:r>
      <w:r w:rsidR="004C20C8" w:rsidRPr="00C64289">
        <w:rPr>
          <w:rFonts w:ascii="Calibri" w:hAnsi="Calibri" w:cs="Calibri"/>
          <w:sz w:val="22"/>
          <w:szCs w:val="22"/>
        </w:rPr>
        <w:t xml:space="preserve">.  The packet will contain a cover letter, a hard copy questionnaire and a postage paid return envelope. </w:t>
      </w:r>
      <w:r w:rsidRPr="00C64289">
        <w:rPr>
          <w:rFonts w:ascii="Calibri" w:hAnsi="Calibri" w:cs="Calibri"/>
          <w:sz w:val="22"/>
          <w:szCs w:val="22"/>
        </w:rPr>
        <w:t xml:space="preserve">  In order to maximize the response rates to the survey, non-responders will </w:t>
      </w:r>
      <w:r w:rsidR="00C64289">
        <w:rPr>
          <w:rFonts w:ascii="Calibri" w:hAnsi="Calibri" w:cs="Calibri"/>
          <w:sz w:val="22"/>
          <w:szCs w:val="22"/>
        </w:rPr>
        <w:t xml:space="preserve">be mailed a </w:t>
      </w:r>
      <w:r w:rsidRPr="00C64289">
        <w:rPr>
          <w:rFonts w:ascii="Calibri" w:hAnsi="Calibri" w:cs="Calibri"/>
          <w:sz w:val="22"/>
          <w:szCs w:val="22"/>
        </w:rPr>
        <w:t xml:space="preserve">reminder </w:t>
      </w:r>
      <w:r w:rsidR="004C20C8" w:rsidRPr="00C64289">
        <w:rPr>
          <w:rFonts w:ascii="Calibri" w:hAnsi="Calibri" w:cs="Calibri"/>
          <w:sz w:val="22"/>
          <w:szCs w:val="22"/>
        </w:rPr>
        <w:t xml:space="preserve">packet, </w:t>
      </w:r>
      <w:r w:rsidRPr="00C64289">
        <w:rPr>
          <w:rFonts w:ascii="Calibri" w:hAnsi="Calibri" w:cs="Calibri"/>
          <w:sz w:val="22"/>
          <w:szCs w:val="22"/>
        </w:rPr>
        <w:t xml:space="preserve">a post card reminder, and a final reminder </w:t>
      </w:r>
      <w:r w:rsidR="004C20C8" w:rsidRPr="00C64289">
        <w:rPr>
          <w:rFonts w:ascii="Calibri" w:hAnsi="Calibri" w:cs="Calibri"/>
          <w:sz w:val="22"/>
          <w:szCs w:val="22"/>
        </w:rPr>
        <w:t>packet</w:t>
      </w:r>
      <w:r w:rsidRPr="00C64289">
        <w:rPr>
          <w:rFonts w:ascii="Calibri" w:hAnsi="Calibri" w:cs="Calibri"/>
          <w:sz w:val="22"/>
          <w:szCs w:val="22"/>
        </w:rPr>
        <w:t xml:space="preserve"> if needed. </w:t>
      </w:r>
      <w:r w:rsidR="004C20C8" w:rsidRPr="00C64289">
        <w:rPr>
          <w:rFonts w:ascii="Calibri" w:hAnsi="Calibri" w:cs="Calibri"/>
          <w:sz w:val="22"/>
          <w:szCs w:val="22"/>
        </w:rPr>
        <w:t xml:space="preserve">The reminder </w:t>
      </w:r>
      <w:r w:rsidR="00C64289">
        <w:rPr>
          <w:rFonts w:ascii="Calibri" w:hAnsi="Calibri" w:cs="Calibri"/>
          <w:sz w:val="22"/>
          <w:szCs w:val="22"/>
        </w:rPr>
        <w:t>packets</w:t>
      </w:r>
      <w:r w:rsidR="004C20C8" w:rsidRPr="00C64289">
        <w:rPr>
          <w:rFonts w:ascii="Calibri" w:hAnsi="Calibri" w:cs="Calibri"/>
          <w:sz w:val="22"/>
          <w:szCs w:val="22"/>
        </w:rPr>
        <w:t xml:space="preserve"> will again include cover letters stressing the importance of the survey and urging participation, hardcopy versions of the questionnaire</w:t>
      </w:r>
      <w:r w:rsidR="00745515">
        <w:rPr>
          <w:rFonts w:ascii="Calibri" w:hAnsi="Calibri" w:cs="Calibri"/>
          <w:sz w:val="22"/>
          <w:szCs w:val="22"/>
        </w:rPr>
        <w:t>,</w:t>
      </w:r>
      <w:r w:rsidR="004C20C8" w:rsidRPr="00C64289">
        <w:rPr>
          <w:rFonts w:ascii="Calibri" w:hAnsi="Calibri" w:cs="Calibri"/>
          <w:sz w:val="22"/>
          <w:szCs w:val="22"/>
        </w:rPr>
        <w:t xml:space="preserve"> and postage paid return envelopes.  For cases where an email address is also available, periodic emails encouraging response during the data collection period will also be sent to respondents.  Finally, non responders will be contacted by telephone and </w:t>
      </w:r>
      <w:r w:rsidR="000F7409">
        <w:rPr>
          <w:rFonts w:ascii="Calibri" w:hAnsi="Calibri" w:cs="Calibri"/>
          <w:sz w:val="22"/>
          <w:szCs w:val="22"/>
        </w:rPr>
        <w:t xml:space="preserve">respondents may complete the survey at that time over the telephone if desired. </w:t>
      </w:r>
    </w:p>
    <w:p w:rsidR="00577DF4" w:rsidRDefault="003A5033" w:rsidP="00F37778">
      <w:pPr>
        <w:pStyle w:val="BodyText"/>
        <w:spacing w:after="0" w:line="240" w:lineRule="auto"/>
        <w:jc w:val="both"/>
        <w:rPr>
          <w:rFonts w:ascii="Calibri" w:hAnsi="Calibri" w:cs="Calibri"/>
          <w:sz w:val="22"/>
          <w:szCs w:val="22"/>
        </w:rPr>
      </w:pPr>
      <w:r w:rsidRPr="00C66744">
        <w:rPr>
          <w:rFonts w:ascii="Calibri" w:hAnsi="Calibri" w:cs="Calibri"/>
          <w:sz w:val="22"/>
          <w:szCs w:val="22"/>
        </w:rPr>
        <w:t xml:space="preserve">There will be two versions of the questionnaire – </w:t>
      </w:r>
      <w:r w:rsidR="00CD5BEF" w:rsidRPr="00C66744">
        <w:rPr>
          <w:rFonts w:ascii="Calibri" w:hAnsi="Calibri" w:cs="Calibri"/>
          <w:sz w:val="22"/>
          <w:szCs w:val="22"/>
        </w:rPr>
        <w:t xml:space="preserve">one for hospital-based </w:t>
      </w:r>
      <w:r w:rsidR="00F247CE">
        <w:rPr>
          <w:rFonts w:ascii="Calibri" w:hAnsi="Calibri" w:cs="Calibri"/>
          <w:sz w:val="22"/>
          <w:szCs w:val="22"/>
        </w:rPr>
        <w:t>laboratories</w:t>
      </w:r>
      <w:r w:rsidR="00CD5BEF" w:rsidRPr="00C66744">
        <w:rPr>
          <w:rFonts w:ascii="Calibri" w:hAnsi="Calibri" w:cs="Calibri"/>
          <w:sz w:val="22"/>
          <w:szCs w:val="22"/>
        </w:rPr>
        <w:t xml:space="preserve"> and one for</w:t>
      </w:r>
      <w:r w:rsidR="00294D36">
        <w:rPr>
          <w:rFonts w:ascii="Calibri" w:hAnsi="Calibri" w:cs="Calibri"/>
          <w:sz w:val="22"/>
          <w:szCs w:val="22"/>
        </w:rPr>
        <w:t xml:space="preserve"> independent </w:t>
      </w:r>
      <w:r w:rsidR="00F247CE">
        <w:rPr>
          <w:rFonts w:ascii="Calibri" w:hAnsi="Calibri" w:cs="Calibri"/>
          <w:sz w:val="22"/>
          <w:szCs w:val="22"/>
        </w:rPr>
        <w:t>laboratories</w:t>
      </w:r>
      <w:r w:rsidR="00294D36">
        <w:rPr>
          <w:rFonts w:ascii="Calibri" w:hAnsi="Calibri" w:cs="Calibri"/>
          <w:sz w:val="22"/>
          <w:szCs w:val="22"/>
        </w:rPr>
        <w:t>.</w:t>
      </w:r>
      <w:r w:rsidR="00CD5BEF" w:rsidRPr="00C66744">
        <w:rPr>
          <w:rFonts w:ascii="Calibri" w:hAnsi="Calibri" w:cs="Calibri"/>
          <w:sz w:val="22"/>
          <w:szCs w:val="22"/>
        </w:rPr>
        <w:t xml:space="preserve">  </w:t>
      </w:r>
      <w:r w:rsidR="009F2B88" w:rsidRPr="00C66744">
        <w:rPr>
          <w:rFonts w:ascii="Calibri" w:hAnsi="Calibri" w:cs="Calibri"/>
          <w:sz w:val="22"/>
          <w:szCs w:val="22"/>
        </w:rPr>
        <w:t xml:space="preserve">Based on </w:t>
      </w:r>
      <w:r w:rsidR="009B034D" w:rsidRPr="00C66744">
        <w:rPr>
          <w:rFonts w:ascii="Calibri" w:hAnsi="Calibri" w:cs="Calibri"/>
          <w:sz w:val="22"/>
          <w:szCs w:val="22"/>
        </w:rPr>
        <w:t>information contained in the sample file about the</w:t>
      </w:r>
      <w:r w:rsidR="00925831" w:rsidRPr="00C66744">
        <w:rPr>
          <w:rFonts w:ascii="Calibri" w:hAnsi="Calibri" w:cs="Calibri"/>
          <w:sz w:val="22"/>
          <w:szCs w:val="22"/>
        </w:rPr>
        <w:t xml:space="preserve"> </w:t>
      </w:r>
      <w:r w:rsidR="00F247CE">
        <w:rPr>
          <w:rFonts w:ascii="Calibri" w:hAnsi="Calibri" w:cs="Calibri"/>
          <w:sz w:val="22"/>
          <w:szCs w:val="22"/>
        </w:rPr>
        <w:t xml:space="preserve">laboratory </w:t>
      </w:r>
      <w:r w:rsidR="009B034D" w:rsidRPr="00C66744">
        <w:rPr>
          <w:rFonts w:ascii="Calibri" w:hAnsi="Calibri" w:cs="Calibri"/>
          <w:sz w:val="22"/>
          <w:szCs w:val="22"/>
        </w:rPr>
        <w:t>classification</w:t>
      </w:r>
      <w:r w:rsidR="00CD5BEF" w:rsidRPr="00C66744">
        <w:rPr>
          <w:rFonts w:ascii="Calibri" w:hAnsi="Calibri" w:cs="Calibri"/>
          <w:sz w:val="22"/>
          <w:szCs w:val="22"/>
        </w:rPr>
        <w:t xml:space="preserve">, each sampled </w:t>
      </w:r>
      <w:r w:rsidR="00F247CE">
        <w:rPr>
          <w:rFonts w:ascii="Calibri" w:hAnsi="Calibri" w:cs="Calibri"/>
          <w:sz w:val="22"/>
          <w:szCs w:val="22"/>
        </w:rPr>
        <w:t xml:space="preserve">laboratory </w:t>
      </w:r>
      <w:r w:rsidR="00CD5BEF" w:rsidRPr="00C66744">
        <w:rPr>
          <w:rFonts w:ascii="Calibri" w:hAnsi="Calibri" w:cs="Calibri"/>
          <w:sz w:val="22"/>
          <w:szCs w:val="22"/>
        </w:rPr>
        <w:t xml:space="preserve">will be </w:t>
      </w:r>
      <w:r w:rsidR="009F2B88" w:rsidRPr="00C66744">
        <w:rPr>
          <w:rFonts w:ascii="Calibri" w:hAnsi="Calibri" w:cs="Calibri"/>
          <w:sz w:val="22"/>
          <w:szCs w:val="22"/>
        </w:rPr>
        <w:t xml:space="preserve">assigned to </w:t>
      </w:r>
      <w:r w:rsidR="00CD5BEF" w:rsidRPr="00C66744">
        <w:rPr>
          <w:rFonts w:ascii="Calibri" w:hAnsi="Calibri" w:cs="Calibri"/>
          <w:sz w:val="22"/>
          <w:szCs w:val="22"/>
        </w:rPr>
        <w:t xml:space="preserve">the “hospital </w:t>
      </w:r>
      <w:r w:rsidR="00F247CE">
        <w:rPr>
          <w:rFonts w:ascii="Calibri" w:hAnsi="Calibri" w:cs="Calibri"/>
          <w:sz w:val="22"/>
          <w:szCs w:val="22"/>
        </w:rPr>
        <w:t>laboratories</w:t>
      </w:r>
      <w:r w:rsidR="00CD5BEF" w:rsidRPr="00C66744">
        <w:rPr>
          <w:rFonts w:ascii="Calibri" w:hAnsi="Calibri" w:cs="Calibri"/>
          <w:sz w:val="22"/>
          <w:szCs w:val="22"/>
        </w:rPr>
        <w:t>” group or the “</w:t>
      </w:r>
      <w:r w:rsidR="00294D36">
        <w:rPr>
          <w:rFonts w:ascii="Calibri" w:hAnsi="Calibri" w:cs="Calibri"/>
          <w:sz w:val="22"/>
          <w:szCs w:val="22"/>
        </w:rPr>
        <w:t xml:space="preserve">independent </w:t>
      </w:r>
      <w:r w:rsidR="00CD5BEF" w:rsidRPr="00C66744">
        <w:rPr>
          <w:rFonts w:ascii="Calibri" w:hAnsi="Calibri" w:cs="Calibri"/>
          <w:sz w:val="22"/>
          <w:szCs w:val="22"/>
        </w:rPr>
        <w:t xml:space="preserve"> </w:t>
      </w:r>
      <w:r w:rsidR="00F247CE">
        <w:rPr>
          <w:rFonts w:ascii="Calibri" w:hAnsi="Calibri" w:cs="Calibri"/>
          <w:sz w:val="22"/>
          <w:szCs w:val="22"/>
        </w:rPr>
        <w:t>laboratories</w:t>
      </w:r>
      <w:r w:rsidR="00CD5BEF" w:rsidRPr="00C66744">
        <w:rPr>
          <w:rFonts w:ascii="Calibri" w:hAnsi="Calibri" w:cs="Calibri"/>
          <w:sz w:val="22"/>
          <w:szCs w:val="22"/>
        </w:rPr>
        <w:t xml:space="preserve">” group.  </w:t>
      </w:r>
      <w:r w:rsidR="00BD4DF2" w:rsidRPr="00C66744">
        <w:rPr>
          <w:rFonts w:ascii="Calibri" w:hAnsi="Calibri" w:cs="Calibri"/>
          <w:sz w:val="22"/>
          <w:szCs w:val="22"/>
        </w:rPr>
        <w:t>Dividing the sample in this way</w:t>
      </w:r>
      <w:r w:rsidR="009F2B88" w:rsidRPr="00C66744">
        <w:rPr>
          <w:rFonts w:ascii="Calibri" w:hAnsi="Calibri" w:cs="Calibri"/>
          <w:sz w:val="22"/>
          <w:szCs w:val="22"/>
        </w:rPr>
        <w:t xml:space="preserve"> will ensure that respondents receive the appropriate version of the questionnaire</w:t>
      </w:r>
      <w:r w:rsidR="00F37778">
        <w:rPr>
          <w:rFonts w:ascii="Calibri" w:hAnsi="Calibri" w:cs="Calibri"/>
          <w:sz w:val="22"/>
          <w:szCs w:val="22"/>
        </w:rPr>
        <w:t>.</w:t>
      </w:r>
      <w:r w:rsidR="009F2B88" w:rsidRPr="00C66744">
        <w:rPr>
          <w:rFonts w:ascii="Calibri" w:hAnsi="Calibri" w:cs="Calibri"/>
          <w:sz w:val="22"/>
          <w:szCs w:val="22"/>
        </w:rPr>
        <w:t xml:space="preserve">  </w:t>
      </w:r>
      <w:r w:rsidR="00294D36">
        <w:rPr>
          <w:rFonts w:ascii="Calibri" w:hAnsi="Calibri" w:cs="Calibri"/>
          <w:sz w:val="22"/>
          <w:szCs w:val="22"/>
        </w:rPr>
        <w:t xml:space="preserve">While the content of the two questionnaire versions are similar, customizing these questionnaires to hospitals and independent </w:t>
      </w:r>
      <w:r w:rsidR="00F247CE">
        <w:rPr>
          <w:rFonts w:ascii="Calibri" w:hAnsi="Calibri" w:cs="Calibri"/>
          <w:sz w:val="22"/>
          <w:szCs w:val="22"/>
        </w:rPr>
        <w:t>laboratories</w:t>
      </w:r>
      <w:r w:rsidR="00294D36">
        <w:rPr>
          <w:rFonts w:ascii="Calibri" w:hAnsi="Calibri" w:cs="Calibri"/>
          <w:sz w:val="22"/>
          <w:szCs w:val="22"/>
        </w:rPr>
        <w:t xml:space="preserve"> w</w:t>
      </w:r>
      <w:r w:rsidR="00BD4DF2" w:rsidRPr="00C66744">
        <w:rPr>
          <w:rFonts w:ascii="Calibri" w:hAnsi="Calibri" w:cs="Calibri"/>
          <w:sz w:val="22"/>
          <w:szCs w:val="22"/>
        </w:rPr>
        <w:t xml:space="preserve">ill alleviate respondent burden by ensuring that respondents only receive the questions that are appropriate to their type of </w:t>
      </w:r>
      <w:r w:rsidR="00F247CE">
        <w:rPr>
          <w:rFonts w:ascii="Calibri" w:hAnsi="Calibri" w:cs="Calibri"/>
          <w:sz w:val="22"/>
          <w:szCs w:val="22"/>
        </w:rPr>
        <w:t xml:space="preserve">laboratory </w:t>
      </w:r>
      <w:r w:rsidR="00BD4DF2" w:rsidRPr="00C66744">
        <w:rPr>
          <w:rFonts w:ascii="Calibri" w:hAnsi="Calibri" w:cs="Calibri"/>
          <w:sz w:val="22"/>
          <w:szCs w:val="22"/>
        </w:rPr>
        <w:t xml:space="preserve">and are not asked to answer questions that are not applicable.  In addition to minimizing respondent burden, this should also help reduce any potential nonresponse by limiting the number of survey questions. </w:t>
      </w:r>
      <w:r w:rsidR="007A320F" w:rsidRPr="00C66744">
        <w:rPr>
          <w:rFonts w:ascii="Calibri" w:hAnsi="Calibri" w:cs="Calibri"/>
          <w:sz w:val="22"/>
          <w:szCs w:val="22"/>
        </w:rPr>
        <w:t xml:space="preserve"> </w:t>
      </w:r>
    </w:p>
    <w:p w:rsidR="00F37778" w:rsidRPr="00F37778" w:rsidRDefault="00F37778" w:rsidP="00F37778">
      <w:pPr>
        <w:pStyle w:val="BodyText"/>
        <w:spacing w:after="0" w:line="240" w:lineRule="auto"/>
        <w:jc w:val="both"/>
      </w:pPr>
    </w:p>
    <w:p w:rsidR="00577DF4" w:rsidRPr="00C66744" w:rsidRDefault="00577DF4" w:rsidP="0055736D">
      <w:pPr>
        <w:pStyle w:val="BodyText"/>
        <w:spacing w:line="240" w:lineRule="auto"/>
        <w:jc w:val="both"/>
        <w:rPr>
          <w:rFonts w:ascii="Calibri" w:hAnsi="Calibri"/>
          <w:sz w:val="22"/>
          <w:szCs w:val="22"/>
        </w:rPr>
      </w:pPr>
      <w:r w:rsidRPr="00C66744">
        <w:rPr>
          <w:rFonts w:ascii="Calibri" w:hAnsi="Calibri"/>
          <w:sz w:val="22"/>
          <w:szCs w:val="22"/>
        </w:rPr>
        <w:t xml:space="preserve">The survey will have a centralized case management system (CMS), linked to locating and receipt control systems for </w:t>
      </w:r>
      <w:r w:rsidR="00F37778">
        <w:rPr>
          <w:rFonts w:ascii="Calibri" w:hAnsi="Calibri"/>
          <w:sz w:val="22"/>
          <w:szCs w:val="22"/>
        </w:rPr>
        <w:t xml:space="preserve">all </w:t>
      </w:r>
      <w:r w:rsidRPr="00C66744">
        <w:rPr>
          <w:rFonts w:ascii="Calibri" w:hAnsi="Calibri"/>
          <w:sz w:val="22"/>
          <w:szCs w:val="22"/>
        </w:rPr>
        <w:t>mailings and returns of completed hardcopy questionnaires,</w:t>
      </w:r>
      <w:r w:rsidR="00C64289">
        <w:rPr>
          <w:rFonts w:ascii="Calibri" w:hAnsi="Calibri"/>
          <w:sz w:val="22"/>
          <w:szCs w:val="22"/>
        </w:rPr>
        <w:t xml:space="preserve"> emails and phone calls</w:t>
      </w:r>
      <w:r w:rsidRPr="00C66744">
        <w:rPr>
          <w:rFonts w:ascii="Calibri" w:hAnsi="Calibri"/>
          <w:sz w:val="22"/>
          <w:szCs w:val="22"/>
        </w:rPr>
        <w:t xml:space="preserve"> which will allow for the review of case status at any time.  This will allow for effective follow-up, including ensuring that respondents do not receive any additional mailings once </w:t>
      </w:r>
      <w:r w:rsidR="00C64289">
        <w:rPr>
          <w:rFonts w:ascii="Calibri" w:hAnsi="Calibri"/>
          <w:sz w:val="22"/>
          <w:szCs w:val="22"/>
        </w:rPr>
        <w:t xml:space="preserve">a </w:t>
      </w:r>
      <w:r w:rsidRPr="00C66744">
        <w:rPr>
          <w:rFonts w:ascii="Calibri" w:hAnsi="Calibri"/>
          <w:sz w:val="22"/>
          <w:szCs w:val="22"/>
        </w:rPr>
        <w:t>hardcopy questionnaire</w:t>
      </w:r>
      <w:r w:rsidR="00C64289">
        <w:rPr>
          <w:rFonts w:ascii="Calibri" w:hAnsi="Calibri"/>
          <w:sz w:val="22"/>
          <w:szCs w:val="22"/>
        </w:rPr>
        <w:t xml:space="preserve"> is received</w:t>
      </w:r>
      <w:r w:rsidRPr="00C66744">
        <w:rPr>
          <w:rFonts w:ascii="Calibri" w:hAnsi="Calibri"/>
          <w:sz w:val="22"/>
          <w:szCs w:val="22"/>
        </w:rPr>
        <w:t>.</w:t>
      </w:r>
    </w:p>
    <w:p w:rsidR="0065438A" w:rsidRPr="00C23300" w:rsidRDefault="0065438A" w:rsidP="00854067">
      <w:pPr>
        <w:pStyle w:val="Heading2"/>
      </w:pPr>
      <w:bookmarkStart w:id="30" w:name="_Toc151782179"/>
      <w:bookmarkStart w:id="31" w:name="_Toc158526219"/>
      <w:bookmarkStart w:id="32" w:name="_Toc266256595"/>
      <w:bookmarkStart w:id="33" w:name="_Toc286057986"/>
      <w:bookmarkStart w:id="34" w:name="_Toc319314194"/>
      <w:r w:rsidRPr="00C23300">
        <w:t>Efforts to Identify Duplication</w:t>
      </w:r>
      <w:bookmarkEnd w:id="30"/>
      <w:bookmarkEnd w:id="31"/>
      <w:r w:rsidRPr="00C23300">
        <w:t xml:space="preserve"> and Use of Similar Information</w:t>
      </w:r>
      <w:bookmarkEnd w:id="32"/>
      <w:bookmarkEnd w:id="33"/>
      <w:bookmarkEnd w:id="34"/>
    </w:p>
    <w:p w:rsidR="000B5C5C" w:rsidRPr="000B5C5C" w:rsidRDefault="000B5C5C" w:rsidP="00E554A3">
      <w:pPr>
        <w:jc w:val="both"/>
        <w:rPr>
          <w:rFonts w:cs="Calibri"/>
        </w:rPr>
      </w:pPr>
      <w:bookmarkStart w:id="35" w:name="_Toc151782180"/>
      <w:bookmarkStart w:id="36" w:name="_Toc158526220"/>
      <w:bookmarkStart w:id="37" w:name="_Toc266256596"/>
      <w:bookmarkStart w:id="38" w:name="_Toc286057987"/>
      <w:r w:rsidRPr="000B5C5C">
        <w:rPr>
          <w:rFonts w:cs="Calibri"/>
        </w:rPr>
        <w:t xml:space="preserve">The purpose of this survey is to collect national and state –level data from clinical laboratories to assess laboratory information exchange capacity and activity.  A review of the literature and discussions with key informants did not identify any other efforts to collect data of this scale and focus.  No </w:t>
      </w:r>
      <w:r w:rsidR="00C64289">
        <w:rPr>
          <w:rFonts w:cs="Calibri"/>
        </w:rPr>
        <w:t xml:space="preserve">other </w:t>
      </w:r>
      <w:r w:rsidRPr="000B5C5C">
        <w:rPr>
          <w:rFonts w:cs="Calibri"/>
        </w:rPr>
        <w:t>known projects assessing the capacity of laboratory information exchange of this scale have been funded by the federal government or private entities</w:t>
      </w:r>
      <w:r w:rsidR="00C64289">
        <w:rPr>
          <w:rFonts w:cs="Calibri"/>
        </w:rPr>
        <w:t>.</w:t>
      </w:r>
    </w:p>
    <w:p w:rsidR="0065438A" w:rsidRPr="00C23300" w:rsidRDefault="0065438A" w:rsidP="00854067">
      <w:pPr>
        <w:pStyle w:val="Heading2"/>
      </w:pPr>
      <w:bookmarkStart w:id="39" w:name="_Toc319314195"/>
      <w:r w:rsidRPr="00C23300">
        <w:t>Impact on Small Businesses or Other Small Entities</w:t>
      </w:r>
      <w:bookmarkEnd w:id="35"/>
      <w:bookmarkEnd w:id="36"/>
      <w:bookmarkEnd w:id="37"/>
      <w:bookmarkEnd w:id="38"/>
      <w:bookmarkEnd w:id="39"/>
    </w:p>
    <w:p w:rsidR="0065438A" w:rsidRPr="00C23300" w:rsidRDefault="0065438A" w:rsidP="00854067">
      <w:bookmarkStart w:id="40" w:name="_Toc151782181"/>
      <w:bookmarkStart w:id="41" w:name="_Toc158526221"/>
      <w:r w:rsidRPr="00C23300">
        <w:t>No information will be collected from small businesses or other sma</w:t>
      </w:r>
      <w:r w:rsidR="008D74A3">
        <w:t xml:space="preserve">ll entities.  </w:t>
      </w:r>
    </w:p>
    <w:p w:rsidR="0065438A" w:rsidRPr="00C23300" w:rsidRDefault="0065438A" w:rsidP="00854067">
      <w:pPr>
        <w:pStyle w:val="Heading2"/>
      </w:pPr>
      <w:bookmarkStart w:id="42" w:name="_Toc266256597"/>
      <w:bookmarkStart w:id="43" w:name="_Toc286057988"/>
      <w:bookmarkStart w:id="44" w:name="_Toc319314196"/>
      <w:r w:rsidRPr="00C23300">
        <w:t>Consequences of Collecting the Information Less Frequently</w:t>
      </w:r>
      <w:bookmarkEnd w:id="40"/>
      <w:bookmarkEnd w:id="41"/>
      <w:bookmarkEnd w:id="42"/>
      <w:bookmarkEnd w:id="43"/>
      <w:bookmarkEnd w:id="44"/>
    </w:p>
    <w:p w:rsidR="000B5C5C" w:rsidRPr="000B5C5C" w:rsidRDefault="000B5C5C" w:rsidP="00E554A3">
      <w:pPr>
        <w:jc w:val="both"/>
        <w:rPr>
          <w:rFonts w:cs="Calibri"/>
        </w:rPr>
      </w:pPr>
      <w:bookmarkStart w:id="45" w:name="_Toc151782182"/>
      <w:bookmarkStart w:id="46" w:name="_Toc158526222"/>
      <w:bookmarkStart w:id="47" w:name="_Toc266256598"/>
      <w:bookmarkStart w:id="48" w:name="_Toc286057989"/>
      <w:r w:rsidRPr="000B5C5C">
        <w:rPr>
          <w:rFonts w:cs="Calibri"/>
        </w:rPr>
        <w:t xml:space="preserve">The design of the survey requires </w:t>
      </w:r>
      <w:r w:rsidR="00C64289">
        <w:rPr>
          <w:rFonts w:cs="Calibri"/>
        </w:rPr>
        <w:t xml:space="preserve">only </w:t>
      </w:r>
      <w:r w:rsidRPr="000B5C5C">
        <w:rPr>
          <w:rFonts w:cs="Calibri"/>
        </w:rPr>
        <w:t>two data collection activities per respondent</w:t>
      </w:r>
      <w:r w:rsidR="00C64289">
        <w:rPr>
          <w:rFonts w:cs="Calibri"/>
        </w:rPr>
        <w:t xml:space="preserve"> within a </w:t>
      </w:r>
      <w:r w:rsidR="00DB3AD3">
        <w:rPr>
          <w:rFonts w:cs="Calibri"/>
        </w:rPr>
        <w:t xml:space="preserve">two </w:t>
      </w:r>
      <w:r w:rsidR="00C64289">
        <w:rPr>
          <w:rFonts w:cs="Calibri"/>
        </w:rPr>
        <w:t>year time frame</w:t>
      </w:r>
      <w:r w:rsidRPr="000B5C5C">
        <w:rPr>
          <w:rFonts w:cs="Calibri"/>
        </w:rPr>
        <w:t xml:space="preserve">.  It is critically important to survey laboratories at baseline and follow-up in order to assess </w:t>
      </w:r>
      <w:r w:rsidR="003331B1">
        <w:rPr>
          <w:rFonts w:cs="Calibri"/>
        </w:rPr>
        <w:t xml:space="preserve">changes in </w:t>
      </w:r>
      <w:r w:rsidRPr="000B5C5C">
        <w:rPr>
          <w:rFonts w:cs="Calibri"/>
        </w:rPr>
        <w:t xml:space="preserve">the level of laboratory information exchange across the United States. Without collecting these data, the evaluation will lack essential information about laboratory </w:t>
      </w:r>
      <w:r w:rsidR="00E2774C">
        <w:rPr>
          <w:rFonts w:cs="Calibri"/>
        </w:rPr>
        <w:t xml:space="preserve">information </w:t>
      </w:r>
      <w:r w:rsidRPr="000B5C5C">
        <w:rPr>
          <w:rFonts w:cs="Calibri"/>
        </w:rPr>
        <w:t xml:space="preserve">exchange activity and capacity.  </w:t>
      </w:r>
    </w:p>
    <w:p w:rsidR="000B5C5C" w:rsidRPr="000B5C5C" w:rsidRDefault="000B5C5C" w:rsidP="00E554A3">
      <w:pPr>
        <w:jc w:val="both"/>
        <w:rPr>
          <w:rFonts w:cs="Calibri"/>
        </w:rPr>
      </w:pPr>
      <w:r w:rsidRPr="000B5C5C">
        <w:rPr>
          <w:rFonts w:cs="Calibri"/>
        </w:rPr>
        <w:t xml:space="preserve">The federal government will find enormous benefit in having </w:t>
      </w:r>
      <w:r w:rsidR="00C64289">
        <w:rPr>
          <w:rFonts w:cs="Calibri"/>
        </w:rPr>
        <w:t xml:space="preserve">national and </w:t>
      </w:r>
      <w:r w:rsidRPr="000B5C5C">
        <w:rPr>
          <w:rFonts w:cs="Calibri"/>
        </w:rPr>
        <w:t>state</w:t>
      </w:r>
      <w:r w:rsidR="00745515">
        <w:rPr>
          <w:rFonts w:cs="Calibri"/>
        </w:rPr>
        <w:t xml:space="preserve"> </w:t>
      </w:r>
      <w:r w:rsidRPr="000B5C5C">
        <w:rPr>
          <w:rFonts w:cs="Calibri"/>
        </w:rPr>
        <w:t xml:space="preserve">level estimates particularly in regards to efforts to promote laboratory </w:t>
      </w:r>
      <w:r w:rsidR="00E2774C">
        <w:rPr>
          <w:rFonts w:cs="Calibri"/>
        </w:rPr>
        <w:t xml:space="preserve">information </w:t>
      </w:r>
      <w:r w:rsidRPr="000B5C5C">
        <w:rPr>
          <w:rFonts w:cs="Calibri"/>
        </w:rPr>
        <w:t xml:space="preserve">exchange capacity. Survey results will enable ONC to best promote laboratory </w:t>
      </w:r>
      <w:r w:rsidR="00E2774C">
        <w:rPr>
          <w:rFonts w:cs="Calibri"/>
        </w:rPr>
        <w:t xml:space="preserve">information </w:t>
      </w:r>
      <w:r w:rsidRPr="000B5C5C">
        <w:rPr>
          <w:rFonts w:cs="Calibri"/>
        </w:rPr>
        <w:t>exchange, inform states</w:t>
      </w:r>
      <w:r w:rsidR="00E12643">
        <w:rPr>
          <w:rFonts w:cs="Calibri"/>
        </w:rPr>
        <w:t>, D</w:t>
      </w:r>
      <w:r w:rsidR="00745515">
        <w:rPr>
          <w:rFonts w:cs="Calibri"/>
        </w:rPr>
        <w:t>.</w:t>
      </w:r>
      <w:r w:rsidR="00E12643">
        <w:rPr>
          <w:rFonts w:cs="Calibri"/>
        </w:rPr>
        <w:t>C</w:t>
      </w:r>
      <w:r w:rsidR="00745515">
        <w:rPr>
          <w:rFonts w:cs="Calibri"/>
        </w:rPr>
        <w:t>.</w:t>
      </w:r>
      <w:r w:rsidR="00E12643">
        <w:rPr>
          <w:rFonts w:cs="Calibri"/>
        </w:rPr>
        <w:t xml:space="preserve"> and Puerto Rico </w:t>
      </w:r>
      <w:r w:rsidR="00E2774C">
        <w:rPr>
          <w:rFonts w:cs="Calibri"/>
        </w:rPr>
        <w:t>of</w:t>
      </w:r>
      <w:r w:rsidR="00E12643">
        <w:rPr>
          <w:rFonts w:cs="Calibri"/>
        </w:rPr>
        <w:t xml:space="preserve"> </w:t>
      </w:r>
      <w:r w:rsidRPr="000B5C5C">
        <w:rPr>
          <w:rFonts w:cs="Calibri"/>
        </w:rPr>
        <w:t xml:space="preserve">approaches to enhance laboratory </w:t>
      </w:r>
      <w:r w:rsidR="00E2774C">
        <w:rPr>
          <w:rFonts w:cs="Calibri"/>
        </w:rPr>
        <w:t xml:space="preserve">information </w:t>
      </w:r>
      <w:r w:rsidRPr="000B5C5C">
        <w:rPr>
          <w:rFonts w:cs="Calibri"/>
        </w:rPr>
        <w:t xml:space="preserve">exchange efforts, and augment program evaluation efforts to </w:t>
      </w:r>
      <w:r w:rsidR="00067606">
        <w:rPr>
          <w:rFonts w:cs="Calibri"/>
        </w:rPr>
        <w:t>assess the effectiveness</w:t>
      </w:r>
      <w:r w:rsidRPr="000B5C5C">
        <w:rPr>
          <w:rFonts w:cs="Calibri"/>
        </w:rPr>
        <w:t xml:space="preserve"> of the State HIE Program on </w:t>
      </w:r>
      <w:r w:rsidR="00615DE7">
        <w:rPr>
          <w:rFonts w:cs="Calibri"/>
        </w:rPr>
        <w:t xml:space="preserve">facilitating electronic </w:t>
      </w:r>
      <w:r w:rsidRPr="000B5C5C">
        <w:rPr>
          <w:rFonts w:cs="Calibri"/>
        </w:rPr>
        <w:t>laboratory information exchange.  In addition, results will be used by ONC and other federal agencies to inform policy decisions regarding laboratory information exchange.</w:t>
      </w:r>
    </w:p>
    <w:p w:rsidR="0065438A" w:rsidRPr="00C23300" w:rsidRDefault="0065438A" w:rsidP="00854067">
      <w:pPr>
        <w:pStyle w:val="Heading2"/>
      </w:pPr>
      <w:bookmarkStart w:id="49" w:name="_Toc319314197"/>
      <w:r w:rsidRPr="00C23300">
        <w:t>Special Circumstances</w:t>
      </w:r>
      <w:bookmarkEnd w:id="45"/>
      <w:bookmarkEnd w:id="46"/>
      <w:r w:rsidRPr="00C23300">
        <w:t xml:space="preserve"> Relating to the Guidelines of 5 CFR 1320.5</w:t>
      </w:r>
      <w:bookmarkEnd w:id="47"/>
      <w:bookmarkEnd w:id="48"/>
      <w:bookmarkEnd w:id="49"/>
    </w:p>
    <w:p w:rsidR="0065438A" w:rsidRPr="00C23300" w:rsidRDefault="0065438A" w:rsidP="00E554A3">
      <w:pPr>
        <w:jc w:val="both"/>
      </w:pPr>
      <w:r w:rsidRPr="00C23300">
        <w:t>No special circumstances apply</w:t>
      </w:r>
      <w:r>
        <w:t>; t</w:t>
      </w:r>
      <w:r w:rsidRPr="00C23300">
        <w:t xml:space="preserve">his request is consistent with the general information collection guidelines of 5 CFR 1320.5(d)(2). </w:t>
      </w:r>
    </w:p>
    <w:p w:rsidR="0065438A" w:rsidRPr="00C23300" w:rsidRDefault="0065438A" w:rsidP="006C4820">
      <w:pPr>
        <w:pStyle w:val="Heading2"/>
        <w:tabs>
          <w:tab w:val="clear" w:pos="432"/>
          <w:tab w:val="clear" w:pos="720"/>
          <w:tab w:val="num" w:pos="450"/>
        </w:tabs>
        <w:ind w:left="450" w:hanging="450"/>
      </w:pPr>
      <w:bookmarkStart w:id="50" w:name="_Toc266256599"/>
      <w:bookmarkStart w:id="51" w:name="_Toc286057990"/>
      <w:bookmarkStart w:id="52" w:name="_Toc319314198"/>
      <w:r w:rsidRPr="00C23300">
        <w:t>Comments in Response to Federal Register Notice/Outside Consultations</w:t>
      </w:r>
      <w:bookmarkEnd w:id="50"/>
      <w:bookmarkEnd w:id="51"/>
      <w:bookmarkEnd w:id="52"/>
    </w:p>
    <w:p w:rsidR="0065438A" w:rsidRPr="00C23300" w:rsidRDefault="0065438A" w:rsidP="00854067">
      <w:pPr>
        <w:pStyle w:val="Heading6"/>
      </w:pPr>
      <w:r w:rsidRPr="006A26C3">
        <w:t>Comments in Response to Federal Register Notice</w:t>
      </w:r>
    </w:p>
    <w:p w:rsidR="00DB3AD3" w:rsidRDefault="0065438A" w:rsidP="00C53027">
      <w:pPr>
        <w:jc w:val="both"/>
      </w:pPr>
      <w:r w:rsidRPr="00C23300">
        <w:t xml:space="preserve">As required by 5 CFR 1320.8(d), notice was published in the </w:t>
      </w:r>
      <w:r w:rsidRPr="004B5FEE">
        <w:rPr>
          <w:i/>
        </w:rPr>
        <w:t>Federal Register</w:t>
      </w:r>
      <w:r w:rsidRPr="00C23300">
        <w:t xml:space="preserve"> on </w:t>
      </w:r>
      <w:r w:rsidR="00864A99">
        <w:t>6/</w:t>
      </w:r>
      <w:r w:rsidR="00864A99" w:rsidRPr="00864A99">
        <w:t>20/2012</w:t>
      </w:r>
      <w:r w:rsidR="00B56B2A" w:rsidRPr="00864A99">
        <w:t xml:space="preserve"> p</w:t>
      </w:r>
      <w:r w:rsidRPr="00864A99">
        <w:t xml:space="preserve">age </w:t>
      </w:r>
      <w:r w:rsidR="00864A99" w:rsidRPr="00864A99">
        <w:t>37047</w:t>
      </w:r>
      <w:r w:rsidR="001E752E" w:rsidRPr="00864A99">
        <w:t xml:space="preserve"> </w:t>
      </w:r>
      <w:r w:rsidR="004B5FEE" w:rsidRPr="00864A99">
        <w:t xml:space="preserve"> </w:t>
      </w:r>
      <w:r w:rsidR="004B5FEE" w:rsidRPr="004B5FEE">
        <w:t>announcing ONC’s intention to request an OMB review of data collection activities and providing a 60-day period for public comments</w:t>
      </w:r>
      <w:r w:rsidRPr="004B5FEE">
        <w:t>.</w:t>
      </w:r>
      <w:r w:rsidR="001E752E">
        <w:t xml:space="preserve">  </w:t>
      </w:r>
    </w:p>
    <w:p w:rsidR="00F02796" w:rsidRDefault="00F02796" w:rsidP="00F02796">
      <w:pPr>
        <w:autoSpaceDE w:val="0"/>
        <w:autoSpaceDN w:val="0"/>
        <w:adjustRightInd w:val="0"/>
        <w:spacing w:after="240"/>
        <w:jc w:val="both"/>
        <w:rPr>
          <w:color w:val="000000"/>
        </w:rPr>
      </w:pPr>
      <w:r>
        <w:rPr>
          <w:color w:val="000000"/>
        </w:rPr>
        <w:t xml:space="preserve">During the 60-day comment period, one set of comments was received from the American Clinical Laboratory Association (ACLA) on 8/17/2012. These comments are summarized below and are provided in their entirety in Attachment D. </w:t>
      </w:r>
    </w:p>
    <w:p w:rsidR="0079320A" w:rsidRDefault="00F02796" w:rsidP="00F02796">
      <w:pPr>
        <w:autoSpaceDE w:val="0"/>
        <w:autoSpaceDN w:val="0"/>
        <w:adjustRightInd w:val="0"/>
        <w:spacing w:after="240"/>
        <w:jc w:val="both"/>
        <w:rPr>
          <w:color w:val="000000"/>
        </w:rPr>
      </w:pPr>
      <w:r w:rsidRPr="00337EC4">
        <w:rPr>
          <w:color w:val="000000"/>
        </w:rPr>
        <w:t xml:space="preserve">Many of the ACLA comments are consistent with recommendations NORC received from </w:t>
      </w:r>
      <w:r>
        <w:rPr>
          <w:color w:val="000000"/>
        </w:rPr>
        <w:t xml:space="preserve">consultations with experts </w:t>
      </w:r>
      <w:r w:rsidRPr="00337EC4">
        <w:rPr>
          <w:color w:val="000000"/>
        </w:rPr>
        <w:t xml:space="preserve">as well as findings from the cognitive interviews. </w:t>
      </w:r>
      <w:r w:rsidR="0079320A">
        <w:rPr>
          <w:color w:val="000000"/>
        </w:rPr>
        <w:t xml:space="preserve"> </w:t>
      </w:r>
      <w:r w:rsidR="0094733C">
        <w:rPr>
          <w:color w:val="000000"/>
        </w:rPr>
        <w:t>T</w:t>
      </w:r>
      <w:r w:rsidR="0079320A">
        <w:rPr>
          <w:color w:val="000000"/>
        </w:rPr>
        <w:t xml:space="preserve">he following </w:t>
      </w:r>
      <w:r w:rsidR="0094733C">
        <w:rPr>
          <w:color w:val="000000"/>
        </w:rPr>
        <w:t xml:space="preserve">key </w:t>
      </w:r>
      <w:r w:rsidR="0079320A">
        <w:rPr>
          <w:color w:val="000000"/>
        </w:rPr>
        <w:t>changes were made based on the results from the cognitive interviews</w:t>
      </w:r>
      <w:r w:rsidR="0094733C">
        <w:rPr>
          <w:color w:val="000000"/>
        </w:rPr>
        <w:t xml:space="preserve"> and discussions with experts</w:t>
      </w:r>
      <w:r w:rsidR="0079320A">
        <w:rPr>
          <w:color w:val="000000"/>
        </w:rPr>
        <w:t>:</w:t>
      </w:r>
    </w:p>
    <w:p w:rsidR="0094733C" w:rsidRDefault="0094733C" w:rsidP="0094733C">
      <w:pPr>
        <w:pStyle w:val="ListParagraph"/>
        <w:numPr>
          <w:ilvl w:val="0"/>
          <w:numId w:val="28"/>
        </w:numPr>
        <w:autoSpaceDE w:val="0"/>
        <w:autoSpaceDN w:val="0"/>
        <w:adjustRightInd w:val="0"/>
        <w:spacing w:after="240"/>
        <w:jc w:val="both"/>
        <w:rPr>
          <w:color w:val="000000"/>
        </w:rPr>
      </w:pPr>
      <w:r>
        <w:rPr>
          <w:color w:val="000000"/>
        </w:rPr>
        <w:t>Add</w:t>
      </w:r>
      <w:r w:rsidR="002D49BD">
        <w:rPr>
          <w:color w:val="000000"/>
        </w:rPr>
        <w:t>ed</w:t>
      </w:r>
      <w:r>
        <w:rPr>
          <w:color w:val="000000"/>
        </w:rPr>
        <w:t xml:space="preserve"> a question that clarifies whether the respondent is reporting for a single laboratory or multiple laboratories</w:t>
      </w:r>
    </w:p>
    <w:p w:rsidR="0094733C" w:rsidRDefault="0094733C" w:rsidP="0094733C">
      <w:pPr>
        <w:pStyle w:val="ListParagraph"/>
        <w:numPr>
          <w:ilvl w:val="0"/>
          <w:numId w:val="28"/>
        </w:numPr>
        <w:autoSpaceDE w:val="0"/>
        <w:autoSpaceDN w:val="0"/>
        <w:adjustRightInd w:val="0"/>
        <w:spacing w:after="240"/>
        <w:jc w:val="both"/>
        <w:rPr>
          <w:color w:val="000000"/>
        </w:rPr>
      </w:pPr>
      <w:r>
        <w:rPr>
          <w:color w:val="000000"/>
        </w:rPr>
        <w:t>Expand</w:t>
      </w:r>
      <w:r w:rsidR="002D49BD">
        <w:rPr>
          <w:color w:val="000000"/>
        </w:rPr>
        <w:t>ed</w:t>
      </w:r>
      <w:r>
        <w:rPr>
          <w:color w:val="000000"/>
        </w:rPr>
        <w:t xml:space="preserve"> the response categories for the laboratory’s organizational affiliation and the job title of the respondent</w:t>
      </w:r>
    </w:p>
    <w:p w:rsidR="0094733C" w:rsidRDefault="0094733C" w:rsidP="0094733C">
      <w:pPr>
        <w:pStyle w:val="ListParagraph"/>
        <w:numPr>
          <w:ilvl w:val="0"/>
          <w:numId w:val="28"/>
        </w:numPr>
        <w:autoSpaceDE w:val="0"/>
        <w:autoSpaceDN w:val="0"/>
        <w:adjustRightInd w:val="0"/>
        <w:spacing w:after="240"/>
        <w:jc w:val="both"/>
        <w:rPr>
          <w:color w:val="000000"/>
        </w:rPr>
      </w:pPr>
      <w:r>
        <w:rPr>
          <w:color w:val="000000"/>
        </w:rPr>
        <w:t>Include</w:t>
      </w:r>
      <w:r w:rsidR="002D49BD">
        <w:rPr>
          <w:color w:val="000000"/>
        </w:rPr>
        <w:t>d</w:t>
      </w:r>
      <w:r>
        <w:rPr>
          <w:color w:val="000000"/>
        </w:rPr>
        <w:t xml:space="preserve"> a question that provides details on the kinds of clinical pathology tests performed by the laboratory</w:t>
      </w:r>
    </w:p>
    <w:p w:rsidR="0094733C" w:rsidRDefault="0094733C" w:rsidP="0094733C">
      <w:pPr>
        <w:pStyle w:val="ListParagraph"/>
        <w:numPr>
          <w:ilvl w:val="0"/>
          <w:numId w:val="28"/>
        </w:numPr>
        <w:autoSpaceDE w:val="0"/>
        <w:autoSpaceDN w:val="0"/>
        <w:adjustRightInd w:val="0"/>
        <w:spacing w:after="240"/>
        <w:jc w:val="both"/>
        <w:rPr>
          <w:color w:val="000000"/>
        </w:rPr>
      </w:pPr>
      <w:r>
        <w:rPr>
          <w:color w:val="000000"/>
        </w:rPr>
        <w:t>Use</w:t>
      </w:r>
      <w:r w:rsidR="002D49BD">
        <w:rPr>
          <w:color w:val="000000"/>
        </w:rPr>
        <w:t>d</w:t>
      </w:r>
      <w:r>
        <w:rPr>
          <w:color w:val="000000"/>
        </w:rPr>
        <w:t xml:space="preserve"> the phrase ‘ordering </w:t>
      </w:r>
      <w:r w:rsidR="00A1561A">
        <w:rPr>
          <w:color w:val="000000"/>
        </w:rPr>
        <w:t>practitioners</w:t>
      </w:r>
      <w:r>
        <w:rPr>
          <w:color w:val="000000"/>
        </w:rPr>
        <w:t xml:space="preserve">’ rather than ‘providers’ </w:t>
      </w:r>
    </w:p>
    <w:p w:rsidR="0094733C" w:rsidRPr="0094733C" w:rsidRDefault="0094733C" w:rsidP="0094733C">
      <w:pPr>
        <w:pStyle w:val="ListParagraph"/>
        <w:numPr>
          <w:ilvl w:val="0"/>
          <w:numId w:val="28"/>
        </w:numPr>
        <w:autoSpaceDE w:val="0"/>
        <w:autoSpaceDN w:val="0"/>
        <w:adjustRightInd w:val="0"/>
        <w:spacing w:after="240"/>
        <w:jc w:val="both"/>
        <w:rPr>
          <w:color w:val="000000"/>
        </w:rPr>
      </w:pPr>
      <w:r>
        <w:rPr>
          <w:color w:val="000000"/>
        </w:rPr>
        <w:t>Add</w:t>
      </w:r>
      <w:r w:rsidR="002D49BD">
        <w:rPr>
          <w:color w:val="000000"/>
        </w:rPr>
        <w:t>ed</w:t>
      </w:r>
      <w:r>
        <w:rPr>
          <w:color w:val="000000"/>
        </w:rPr>
        <w:t xml:space="preserve"> instructions defining ‘lab tests’ and ‘electronically in a structured format’</w:t>
      </w:r>
    </w:p>
    <w:p w:rsidR="0079320A" w:rsidRDefault="0079320A" w:rsidP="00F02796">
      <w:pPr>
        <w:autoSpaceDE w:val="0"/>
        <w:autoSpaceDN w:val="0"/>
        <w:adjustRightInd w:val="0"/>
        <w:spacing w:after="240"/>
        <w:jc w:val="both"/>
        <w:rPr>
          <w:color w:val="000000"/>
        </w:rPr>
      </w:pPr>
    </w:p>
    <w:p w:rsidR="00A1561A" w:rsidRDefault="00A1561A" w:rsidP="00F02796">
      <w:pPr>
        <w:autoSpaceDE w:val="0"/>
        <w:autoSpaceDN w:val="0"/>
        <w:adjustRightInd w:val="0"/>
        <w:spacing w:after="240"/>
        <w:jc w:val="both"/>
        <w:rPr>
          <w:color w:val="000000"/>
        </w:rPr>
      </w:pPr>
    </w:p>
    <w:p w:rsidR="00F02796" w:rsidRPr="00337EC4" w:rsidRDefault="0094733C" w:rsidP="00F02796">
      <w:pPr>
        <w:autoSpaceDE w:val="0"/>
        <w:autoSpaceDN w:val="0"/>
        <w:adjustRightInd w:val="0"/>
        <w:spacing w:after="240"/>
        <w:jc w:val="both"/>
        <w:rPr>
          <w:i/>
          <w:color w:val="000000"/>
        </w:rPr>
      </w:pPr>
      <w:r>
        <w:rPr>
          <w:color w:val="000000"/>
        </w:rPr>
        <w:t xml:space="preserve"> Other changes as described below were made in response to the ACLA comments. </w:t>
      </w:r>
      <w:r w:rsidR="00F02796" w:rsidRPr="00337EC4">
        <w:rPr>
          <w:i/>
          <w:color w:val="000000"/>
        </w:rPr>
        <w:t>“Billable” tests</w:t>
      </w:r>
      <w:r w:rsidR="00A1561A">
        <w:rPr>
          <w:i/>
          <w:color w:val="000000"/>
        </w:rPr>
        <w:t xml:space="preserve">. </w:t>
      </w:r>
    </w:p>
    <w:p w:rsidR="00F02796" w:rsidRPr="00337EC4" w:rsidRDefault="00F02796" w:rsidP="00F02796">
      <w:pPr>
        <w:autoSpaceDE w:val="0"/>
        <w:autoSpaceDN w:val="0"/>
        <w:adjustRightInd w:val="0"/>
        <w:spacing w:after="240"/>
        <w:jc w:val="both"/>
        <w:rPr>
          <w:color w:val="000000"/>
        </w:rPr>
      </w:pPr>
      <w:r>
        <w:rPr>
          <w:color w:val="000000"/>
        </w:rPr>
        <w:t>ONC</w:t>
      </w:r>
      <w:r w:rsidRPr="00337EC4">
        <w:rPr>
          <w:color w:val="000000"/>
        </w:rPr>
        <w:t xml:space="preserve"> agrees with ACLA’s suggestion to remove the word “billable” in describing a laboratory test that is (1) ordered by a provider; (2) performed on received specimens; and (3) finalized and results have been produced.  NORC has removed references to “billable” tests and now refers to “final test results” throughout the survey instrument. In addition to meeting the criteria above, final test results describes that the laboratory has incorporated and calculated reference data to produce the results referenced. This change is consistent with the recommendations from the cognitive interviews, in which respondents were confused by the term “billable” tests, and thus </w:t>
      </w:r>
      <w:r>
        <w:rPr>
          <w:color w:val="000000"/>
        </w:rPr>
        <w:t>ONC</w:t>
      </w:r>
      <w:r w:rsidRPr="00337EC4">
        <w:rPr>
          <w:color w:val="000000"/>
        </w:rPr>
        <w:t xml:space="preserve"> recommended changing it to “final test results.”</w:t>
      </w:r>
    </w:p>
    <w:p w:rsidR="00F02796" w:rsidRPr="00337EC4" w:rsidRDefault="00F02796" w:rsidP="00F02796">
      <w:pPr>
        <w:autoSpaceDE w:val="0"/>
        <w:autoSpaceDN w:val="0"/>
        <w:adjustRightInd w:val="0"/>
        <w:spacing w:after="240"/>
        <w:jc w:val="both"/>
        <w:rPr>
          <w:i/>
          <w:color w:val="000000"/>
        </w:rPr>
      </w:pPr>
      <w:r w:rsidRPr="00337EC4">
        <w:rPr>
          <w:i/>
          <w:color w:val="000000"/>
        </w:rPr>
        <w:t xml:space="preserve">Addressing Wave 2 sample </w:t>
      </w:r>
    </w:p>
    <w:p w:rsidR="00F02796" w:rsidRPr="00337EC4" w:rsidRDefault="00F02796" w:rsidP="00F02796">
      <w:pPr>
        <w:autoSpaceDE w:val="0"/>
        <w:autoSpaceDN w:val="0"/>
        <w:adjustRightInd w:val="0"/>
        <w:spacing w:after="240"/>
        <w:jc w:val="both"/>
        <w:rPr>
          <w:color w:val="000000"/>
        </w:rPr>
      </w:pPr>
      <w:r>
        <w:rPr>
          <w:color w:val="000000"/>
        </w:rPr>
        <w:t>ONC</w:t>
      </w:r>
      <w:r w:rsidRPr="00337EC4">
        <w:rPr>
          <w:color w:val="000000"/>
        </w:rPr>
        <w:t xml:space="preserve"> agrees with ACLA’s suggestion to use the same sample for Wave 2 of the survey in order to measure progress made in exchanging health information. Rather than including this information on the survey instrument itself, NORC proposes addressing it in the cover letter, which will accompany the survey instrument. </w:t>
      </w:r>
    </w:p>
    <w:p w:rsidR="00F02796" w:rsidRPr="00337EC4" w:rsidRDefault="00F02796" w:rsidP="00F02796">
      <w:pPr>
        <w:autoSpaceDE w:val="0"/>
        <w:autoSpaceDN w:val="0"/>
        <w:adjustRightInd w:val="0"/>
        <w:spacing w:after="240"/>
        <w:jc w:val="both"/>
        <w:rPr>
          <w:i/>
          <w:color w:val="000000"/>
        </w:rPr>
      </w:pPr>
      <w:r w:rsidRPr="00337EC4">
        <w:rPr>
          <w:i/>
          <w:color w:val="000000"/>
        </w:rPr>
        <w:t>LIMS/LIS Questions</w:t>
      </w:r>
    </w:p>
    <w:p w:rsidR="00F02796" w:rsidRPr="00337EC4" w:rsidRDefault="00F02796" w:rsidP="00F02796">
      <w:pPr>
        <w:autoSpaceDE w:val="0"/>
        <w:autoSpaceDN w:val="0"/>
        <w:adjustRightInd w:val="0"/>
        <w:spacing w:after="240"/>
        <w:jc w:val="both"/>
        <w:rPr>
          <w:color w:val="000000"/>
        </w:rPr>
      </w:pPr>
      <w:r w:rsidRPr="00337EC4">
        <w:rPr>
          <w:color w:val="000000"/>
        </w:rPr>
        <w:t xml:space="preserve">ACLA expressed concern that the LIMS/LIS questions diverge from the purpose of this survey, which is to measure exchange. </w:t>
      </w:r>
      <w:r>
        <w:rPr>
          <w:color w:val="000000"/>
        </w:rPr>
        <w:t xml:space="preserve">ONC </w:t>
      </w:r>
      <w:r w:rsidRPr="00337EC4">
        <w:rPr>
          <w:color w:val="000000"/>
        </w:rPr>
        <w:t xml:space="preserve">suggests retaining these questions as they serve two important purposes in the survey. First, </w:t>
      </w:r>
      <w:r>
        <w:rPr>
          <w:color w:val="000000"/>
        </w:rPr>
        <w:t xml:space="preserve">there may be an association between the systems that labs have purchased and electronic capability.  In other words we may see trends where certain labs are more or less likely to be involved in electronic exchange depending on their LIS/LIMS. Secondly from a survey design perspective the questions on LIS/LIMS serve a priming effect.  These questions are presented early on the survey so get survey respondents comfortable with the survey and prepare them for the more detailed technical questions on standards and system capabilities that follow later in the survey instrument. </w:t>
      </w:r>
      <w:r w:rsidRPr="00337EC4">
        <w:rPr>
          <w:color w:val="000000"/>
        </w:rPr>
        <w:t xml:space="preserve">This information could help us see if there is a relationship between electronic connectivity and certain systems. </w:t>
      </w:r>
    </w:p>
    <w:p w:rsidR="00F02796" w:rsidRPr="00337EC4" w:rsidRDefault="00F02796" w:rsidP="00F02796">
      <w:pPr>
        <w:autoSpaceDE w:val="0"/>
        <w:autoSpaceDN w:val="0"/>
        <w:adjustRightInd w:val="0"/>
        <w:spacing w:after="240"/>
        <w:jc w:val="both"/>
        <w:rPr>
          <w:i/>
          <w:color w:val="000000"/>
        </w:rPr>
      </w:pPr>
      <w:r w:rsidRPr="00337EC4">
        <w:rPr>
          <w:i/>
          <w:color w:val="000000"/>
        </w:rPr>
        <w:t>Providing write-in answers for final test results</w:t>
      </w:r>
    </w:p>
    <w:p w:rsidR="00F02796" w:rsidRPr="00337EC4" w:rsidRDefault="00F02796" w:rsidP="00F02796">
      <w:pPr>
        <w:autoSpaceDE w:val="0"/>
        <w:autoSpaceDN w:val="0"/>
        <w:adjustRightInd w:val="0"/>
        <w:spacing w:after="240"/>
        <w:jc w:val="both"/>
        <w:rPr>
          <w:color w:val="000000"/>
        </w:rPr>
      </w:pPr>
      <w:r w:rsidRPr="00337EC4">
        <w:rPr>
          <w:color w:val="000000"/>
        </w:rPr>
        <w:t xml:space="preserve">ACLA suggested that their members would object to writing in the number of final test results sent in 2012, but they would be willing to select a corresponding range. </w:t>
      </w:r>
      <w:r>
        <w:rPr>
          <w:color w:val="000000"/>
        </w:rPr>
        <w:t>ONC</w:t>
      </w:r>
      <w:r w:rsidRPr="00337EC4">
        <w:rPr>
          <w:color w:val="000000"/>
        </w:rPr>
        <w:t xml:space="preserve"> </w:t>
      </w:r>
      <w:r w:rsidR="00DA7561">
        <w:rPr>
          <w:color w:val="000000"/>
        </w:rPr>
        <w:t>a</w:t>
      </w:r>
      <w:r w:rsidR="0094733C">
        <w:rPr>
          <w:color w:val="000000"/>
        </w:rPr>
        <w:t xml:space="preserve">grees with this comment and retained </w:t>
      </w:r>
      <w:r w:rsidR="00DA7561">
        <w:rPr>
          <w:color w:val="000000"/>
        </w:rPr>
        <w:t xml:space="preserve">an option for respondents to respond to this item by selecting a range that best represents the volume of test results.  </w:t>
      </w:r>
    </w:p>
    <w:p w:rsidR="00F02796" w:rsidRPr="00337EC4" w:rsidRDefault="00F02796" w:rsidP="00F02796">
      <w:pPr>
        <w:autoSpaceDE w:val="0"/>
        <w:autoSpaceDN w:val="0"/>
        <w:adjustRightInd w:val="0"/>
        <w:spacing w:after="240"/>
        <w:jc w:val="both"/>
        <w:rPr>
          <w:i/>
          <w:color w:val="000000"/>
        </w:rPr>
      </w:pPr>
      <w:r w:rsidRPr="00337EC4">
        <w:rPr>
          <w:i/>
          <w:color w:val="000000"/>
        </w:rPr>
        <w:t>Unlinking references to SNOMED and LOINC</w:t>
      </w:r>
    </w:p>
    <w:p w:rsidR="00F02796" w:rsidRPr="00337EC4" w:rsidRDefault="00F02796" w:rsidP="00F02796">
      <w:pPr>
        <w:autoSpaceDE w:val="0"/>
        <w:autoSpaceDN w:val="0"/>
        <w:adjustRightInd w:val="0"/>
        <w:spacing w:after="240"/>
        <w:jc w:val="both"/>
        <w:rPr>
          <w:color w:val="000000"/>
        </w:rPr>
      </w:pPr>
      <w:r w:rsidRPr="00337EC4">
        <w:rPr>
          <w:color w:val="000000"/>
        </w:rPr>
        <w:t xml:space="preserve">Previous to ACLA’s comment about unlinking questions on SNOMED and LOINC, </w:t>
      </w:r>
      <w:r>
        <w:rPr>
          <w:color w:val="000000"/>
        </w:rPr>
        <w:t>ONC</w:t>
      </w:r>
      <w:r w:rsidRPr="00337EC4">
        <w:rPr>
          <w:color w:val="000000"/>
        </w:rPr>
        <w:t xml:space="preserve"> removed all references to SNOMED. In discussions, experts suggested that SNOMED and LOINC are two different </w:t>
      </w:r>
      <w:r>
        <w:rPr>
          <w:color w:val="000000"/>
        </w:rPr>
        <w:t xml:space="preserve">concepts. Since the real focus is understanding lab capabilities around the delivery of structured lab results which in the recent certification and standards criteria for meaningful use stage 2 has been specified to include LOINC, </w:t>
      </w:r>
      <w:r w:rsidRPr="00337EC4">
        <w:rPr>
          <w:color w:val="000000"/>
        </w:rPr>
        <w:t xml:space="preserve"> </w:t>
      </w:r>
      <w:r>
        <w:rPr>
          <w:color w:val="000000"/>
        </w:rPr>
        <w:t>the questions have been revised to focus on LOINC only.</w:t>
      </w:r>
      <w:r w:rsidRPr="00337EC4">
        <w:rPr>
          <w:color w:val="000000"/>
        </w:rPr>
        <w:t xml:space="preserve"> To eliminate confusion and increase survey efficiency, NORC is only asking questions about LOINC. </w:t>
      </w:r>
    </w:p>
    <w:p w:rsidR="00A1561A" w:rsidRDefault="00A1561A" w:rsidP="00F02796">
      <w:pPr>
        <w:autoSpaceDE w:val="0"/>
        <w:autoSpaceDN w:val="0"/>
        <w:adjustRightInd w:val="0"/>
        <w:spacing w:after="240"/>
        <w:jc w:val="both"/>
        <w:rPr>
          <w:i/>
          <w:color w:val="000000"/>
        </w:rPr>
      </w:pPr>
    </w:p>
    <w:p w:rsidR="00F02796" w:rsidRPr="00AF1AF8" w:rsidRDefault="00F02796" w:rsidP="00F02796">
      <w:pPr>
        <w:autoSpaceDE w:val="0"/>
        <w:autoSpaceDN w:val="0"/>
        <w:adjustRightInd w:val="0"/>
        <w:spacing w:after="240"/>
        <w:jc w:val="both"/>
        <w:rPr>
          <w:i/>
          <w:color w:val="000000"/>
        </w:rPr>
      </w:pPr>
      <w:r w:rsidRPr="00AF1AF8">
        <w:rPr>
          <w:i/>
          <w:color w:val="000000"/>
        </w:rPr>
        <w:t>National survey’s relationship to state surveys</w:t>
      </w:r>
    </w:p>
    <w:p w:rsidR="00D03411" w:rsidRDefault="00D03411" w:rsidP="00D03411">
      <w:pPr>
        <w:pStyle w:val="BodyText"/>
        <w:spacing w:line="276" w:lineRule="auto"/>
        <w:rPr>
          <w:rFonts w:ascii="Calibri" w:hAnsi="Calibri" w:cs="Calibri"/>
        </w:rPr>
      </w:pPr>
      <w:r w:rsidRPr="00AF1AF8">
        <w:rPr>
          <w:rFonts w:ascii="Calibri" w:hAnsi="Calibri" w:cs="Calibri"/>
          <w:sz w:val="22"/>
          <w:szCs w:val="22"/>
        </w:rPr>
        <w:t>ACLA inquired how the goals of the national survey compare with surveys conducted by states and what role the survey will play in the future.  Grantees of the State HIE Program have been involved in efforts to understand the landscape of laboratory exchange within their state, identify gaps in exchange capability, and promote the electronic exchange of test results by targeting and supporting laboratories that lack this capability.  These efforts enable states to set goals related to the exchange of structured lab data and perform targeted outreach during the short duration of their grant period.  The methods used by grantees to collect information are not consistent across states, preventing the aggregation of data on the key measures required for ONC to evaluate health information exchange in clinical laboratories nationally.  To balance the needs of the grantees supported by the State HIE Program and this information collection effort, ONC has encouraged grantees to focus their monitoring and outreach efforts on labs they have previously identified as not sending structured results to providers electronically, and those not using LOINC vocabulary coding.  This balance will minimize respondent burden and provide ONC with important measures not captured by the grantees, including national data on systems and technical architecture, detailed information on volume of lab exchange, messaging and vocabulary standards, barriers to laboratory information exchange, and implementation of guidelines and regulations</w:t>
      </w:r>
      <w:r>
        <w:rPr>
          <w:rFonts w:ascii="Calibri" w:hAnsi="Calibri" w:cs="Calibri"/>
        </w:rPr>
        <w:t xml:space="preserve">.  </w:t>
      </w:r>
    </w:p>
    <w:p w:rsidR="0065438A" w:rsidRPr="001E752E" w:rsidRDefault="001E752E" w:rsidP="00C53027">
      <w:pPr>
        <w:jc w:val="both"/>
      </w:pPr>
      <w:r>
        <w:t xml:space="preserve">  </w:t>
      </w:r>
    </w:p>
    <w:p w:rsidR="0065438A" w:rsidRPr="00C23300" w:rsidRDefault="0065438A" w:rsidP="00854067">
      <w:pPr>
        <w:pStyle w:val="Heading6"/>
      </w:pPr>
      <w:r w:rsidRPr="00C23300">
        <w:t>Outside Consultations</w:t>
      </w:r>
    </w:p>
    <w:p w:rsidR="00452475" w:rsidRPr="00463C62" w:rsidRDefault="004C6929" w:rsidP="00452475">
      <w:pPr>
        <w:jc w:val="both"/>
        <w:rPr>
          <w:rFonts w:asciiTheme="minorHAnsi" w:hAnsiTheme="minorHAnsi" w:cstheme="minorHAnsi"/>
        </w:rPr>
      </w:pPr>
      <w:r>
        <w:rPr>
          <w:rFonts w:cs="Calibri"/>
        </w:rPr>
        <w:t xml:space="preserve">ONC and </w:t>
      </w:r>
      <w:r w:rsidR="00452475">
        <w:rPr>
          <w:rFonts w:cs="Calibri"/>
        </w:rPr>
        <w:t xml:space="preserve">our contractor, </w:t>
      </w:r>
      <w:r w:rsidR="00AB05F3">
        <w:rPr>
          <w:rFonts w:cs="Calibri"/>
        </w:rPr>
        <w:t xml:space="preserve">NORC </w:t>
      </w:r>
      <w:r w:rsidR="0095760D">
        <w:rPr>
          <w:rFonts w:cs="Calibri"/>
        </w:rPr>
        <w:t>at the University of Chicago</w:t>
      </w:r>
      <w:r w:rsidR="00452475">
        <w:rPr>
          <w:rFonts w:cs="Calibri"/>
        </w:rPr>
        <w:t>,</w:t>
      </w:r>
      <w:r w:rsidR="00463C62">
        <w:rPr>
          <w:rFonts w:cs="Calibri"/>
        </w:rPr>
        <w:t xml:space="preserve"> </w:t>
      </w:r>
      <w:r w:rsidR="00452475">
        <w:rPr>
          <w:rFonts w:cs="Calibri"/>
        </w:rPr>
        <w:t>consulted with many subject matter experts</w:t>
      </w:r>
      <w:r w:rsidR="00463C62">
        <w:rPr>
          <w:rFonts w:cs="Calibri"/>
        </w:rPr>
        <w:t>, survey methodologists and sampling statisticians</w:t>
      </w:r>
      <w:r w:rsidR="00452475">
        <w:rPr>
          <w:rFonts w:cs="Calibri"/>
        </w:rPr>
        <w:t xml:space="preserve"> within our respective organizations.  Representatives from the Laboratory Corporation of America (LabCorp) and Quest Diagnostics Incorporated (Quest) </w:t>
      </w:r>
      <w:r w:rsidR="00FC123E">
        <w:rPr>
          <w:rFonts w:cs="Calibri"/>
        </w:rPr>
        <w:t xml:space="preserve">discussed draft survey questions with us. </w:t>
      </w:r>
      <w:r w:rsidR="00463C62">
        <w:rPr>
          <w:rFonts w:cs="Calibri"/>
        </w:rPr>
        <w:t xml:space="preserve"> R</w:t>
      </w:r>
      <w:r w:rsidR="00452475">
        <w:rPr>
          <w:rFonts w:cs="Calibri"/>
        </w:rPr>
        <w:t>epresentatives from states that previously conducted statewide surveys of their laboratories provided input on the survey instrument</w:t>
      </w:r>
      <w:r w:rsidR="00FC123E">
        <w:rPr>
          <w:rFonts w:cs="Calibri"/>
        </w:rPr>
        <w:t>s</w:t>
      </w:r>
      <w:r w:rsidR="00452475">
        <w:rPr>
          <w:rFonts w:cs="Calibri"/>
        </w:rPr>
        <w:t xml:space="preserve">. </w:t>
      </w:r>
      <w:r w:rsidR="00463C62">
        <w:rPr>
          <w:rFonts w:cs="Calibri"/>
        </w:rPr>
        <w:t xml:space="preserve"> </w:t>
      </w:r>
      <w:r w:rsidR="00452475">
        <w:rPr>
          <w:rFonts w:cs="Calibri"/>
        </w:rPr>
        <w:t>In addition, the data collection methodology, sampling design and survey instrument</w:t>
      </w:r>
      <w:r w:rsidR="00FC123E">
        <w:rPr>
          <w:rFonts w:cs="Calibri"/>
        </w:rPr>
        <w:t>s</w:t>
      </w:r>
      <w:r w:rsidR="00452475">
        <w:rPr>
          <w:rFonts w:cs="Calibri"/>
        </w:rPr>
        <w:t xml:space="preserve"> were developed with input from subject matter experts at the College of American </w:t>
      </w:r>
      <w:r w:rsidR="00452475" w:rsidRPr="00463C62">
        <w:rPr>
          <w:rFonts w:asciiTheme="minorHAnsi" w:hAnsiTheme="minorHAnsi" w:cstheme="minorHAnsi"/>
        </w:rPr>
        <w:t>Pathologists and HLN Consulting including the following two individuals</w:t>
      </w:r>
      <w:r w:rsidR="00745515">
        <w:rPr>
          <w:rFonts w:asciiTheme="minorHAnsi" w:hAnsiTheme="minorHAnsi" w:cstheme="minorHAnsi"/>
        </w:rPr>
        <w:t>:</w:t>
      </w:r>
      <w:r w:rsidR="00452475" w:rsidRPr="00463C62">
        <w:rPr>
          <w:rFonts w:asciiTheme="minorHAnsi" w:hAnsiTheme="minorHAnsi" w:cstheme="minorHAnsi"/>
        </w:rPr>
        <w:t xml:space="preserve"> </w:t>
      </w:r>
    </w:p>
    <w:p w:rsidR="00452475" w:rsidRPr="00463C62" w:rsidRDefault="00452475" w:rsidP="00463C62">
      <w:pPr>
        <w:contextualSpacing/>
        <w:rPr>
          <w:rFonts w:asciiTheme="minorHAnsi" w:hAnsiTheme="minorHAnsi" w:cstheme="minorHAnsi"/>
        </w:rPr>
      </w:pPr>
      <w:r w:rsidRPr="00463C62">
        <w:rPr>
          <w:rFonts w:asciiTheme="minorHAnsi" w:hAnsiTheme="minorHAnsi" w:cstheme="minorHAnsi"/>
        </w:rPr>
        <w:t>Ron Ranauro</w:t>
      </w:r>
      <w:r w:rsidRPr="00463C62">
        <w:rPr>
          <w:rFonts w:asciiTheme="minorHAnsi" w:hAnsiTheme="minorHAnsi" w:cstheme="minorHAnsi"/>
        </w:rPr>
        <w:br/>
        <w:t>Director, Diagnostic Intelligence, Health IT</w:t>
      </w:r>
      <w:r w:rsidRPr="00463C62">
        <w:rPr>
          <w:rFonts w:asciiTheme="minorHAnsi" w:hAnsiTheme="minorHAnsi" w:cstheme="minorHAnsi"/>
        </w:rPr>
        <w:br/>
        <w:t>College of American Pathologists</w:t>
      </w:r>
      <w:r w:rsidRPr="00463C62">
        <w:rPr>
          <w:rFonts w:asciiTheme="minorHAnsi" w:hAnsiTheme="minorHAnsi" w:cstheme="minorHAnsi"/>
        </w:rPr>
        <w:br/>
        <w:t>325 Waukegan Road</w:t>
      </w:r>
    </w:p>
    <w:p w:rsidR="00452475" w:rsidRPr="00463C62" w:rsidRDefault="00452475" w:rsidP="00463C62">
      <w:pPr>
        <w:contextualSpacing/>
        <w:rPr>
          <w:rFonts w:asciiTheme="minorHAnsi" w:hAnsiTheme="minorHAnsi" w:cstheme="minorHAnsi"/>
        </w:rPr>
      </w:pPr>
      <w:r w:rsidRPr="00463C62">
        <w:rPr>
          <w:rFonts w:asciiTheme="minorHAnsi" w:hAnsiTheme="minorHAnsi" w:cstheme="minorHAnsi"/>
        </w:rPr>
        <w:t>Northfield, IL 60093</w:t>
      </w:r>
    </w:p>
    <w:p w:rsidR="00452475" w:rsidRPr="00463C62" w:rsidRDefault="00BE40C3" w:rsidP="00463C62">
      <w:pPr>
        <w:contextualSpacing/>
        <w:rPr>
          <w:rFonts w:asciiTheme="minorHAnsi" w:hAnsiTheme="minorHAnsi" w:cstheme="minorHAnsi"/>
        </w:rPr>
      </w:pPr>
      <w:hyperlink r:id="rId12" w:tgtFrame="_blank" w:history="1">
        <w:r w:rsidR="00452475" w:rsidRPr="00463C62">
          <w:rPr>
            <w:rStyle w:val="Hyperlink"/>
            <w:rFonts w:asciiTheme="minorHAnsi" w:hAnsiTheme="minorHAnsi" w:cstheme="minorHAnsi"/>
          </w:rPr>
          <w:t>rranaur@cap.org</w:t>
        </w:r>
      </w:hyperlink>
    </w:p>
    <w:p w:rsidR="00452475" w:rsidRPr="00463C62" w:rsidRDefault="00452475" w:rsidP="00463C62">
      <w:pPr>
        <w:contextualSpacing/>
        <w:rPr>
          <w:rFonts w:asciiTheme="minorHAnsi" w:hAnsiTheme="minorHAnsi" w:cstheme="minorHAnsi"/>
        </w:rPr>
      </w:pPr>
    </w:p>
    <w:p w:rsidR="00452475" w:rsidRPr="00463C62" w:rsidRDefault="00452475" w:rsidP="00463C62">
      <w:pPr>
        <w:contextualSpacing/>
        <w:rPr>
          <w:rFonts w:asciiTheme="minorHAnsi" w:hAnsiTheme="minorHAnsi" w:cstheme="minorHAnsi"/>
        </w:rPr>
      </w:pPr>
      <w:r w:rsidRPr="00463C62">
        <w:rPr>
          <w:rFonts w:asciiTheme="minorHAnsi" w:hAnsiTheme="minorHAnsi" w:cstheme="minorHAnsi"/>
        </w:rPr>
        <w:t>Gregory J. Farnum</w:t>
      </w:r>
    </w:p>
    <w:p w:rsidR="00452475" w:rsidRPr="00463C62" w:rsidRDefault="00452475" w:rsidP="00463C62">
      <w:pPr>
        <w:contextualSpacing/>
        <w:rPr>
          <w:rFonts w:asciiTheme="minorHAnsi" w:hAnsiTheme="minorHAnsi" w:cstheme="minorHAnsi"/>
        </w:rPr>
      </w:pPr>
      <w:r w:rsidRPr="00463C62">
        <w:rPr>
          <w:rFonts w:asciiTheme="minorHAnsi" w:hAnsiTheme="minorHAnsi" w:cstheme="minorHAnsi"/>
        </w:rPr>
        <w:t>HLN Consulting,  LLC.</w:t>
      </w:r>
    </w:p>
    <w:p w:rsidR="00452475" w:rsidRPr="00463C62" w:rsidRDefault="00BE40C3" w:rsidP="00463C62">
      <w:pPr>
        <w:contextualSpacing/>
        <w:rPr>
          <w:rFonts w:asciiTheme="minorHAnsi" w:hAnsiTheme="minorHAnsi" w:cstheme="minorHAnsi"/>
        </w:rPr>
      </w:pPr>
      <w:hyperlink r:id="rId13" w:history="1">
        <w:r w:rsidR="00452475" w:rsidRPr="00463C62">
          <w:rPr>
            <w:rStyle w:val="Hyperlink"/>
            <w:rFonts w:asciiTheme="minorHAnsi" w:hAnsiTheme="minorHAnsi" w:cstheme="minorHAnsi"/>
            <w:color w:val="auto"/>
          </w:rPr>
          <w:t>gfarnum@hln.com</w:t>
        </w:r>
      </w:hyperlink>
    </w:p>
    <w:p w:rsidR="00452475" w:rsidRDefault="00452475" w:rsidP="00AF548F">
      <w:pPr>
        <w:jc w:val="both"/>
        <w:rPr>
          <w:rFonts w:cs="Calibri"/>
        </w:rPr>
      </w:pPr>
    </w:p>
    <w:p w:rsidR="0065438A" w:rsidRDefault="0065438A" w:rsidP="00854067">
      <w:pPr>
        <w:pStyle w:val="Heading2"/>
      </w:pPr>
      <w:bookmarkStart w:id="53" w:name="_Toc457285506"/>
      <w:bookmarkStart w:id="54" w:name="_Toc58725294"/>
      <w:bookmarkStart w:id="55" w:name="_Toc151782184"/>
      <w:bookmarkStart w:id="56" w:name="_Toc158526224"/>
      <w:bookmarkStart w:id="57" w:name="_Toc266256600"/>
      <w:bookmarkStart w:id="58" w:name="_Toc286057991"/>
      <w:bookmarkStart w:id="59" w:name="_Toc319314199"/>
      <w:r w:rsidRPr="008D74A3">
        <w:t>Explanation of any Payments/Gifts to Respondents</w:t>
      </w:r>
      <w:bookmarkEnd w:id="53"/>
      <w:bookmarkEnd w:id="54"/>
      <w:bookmarkEnd w:id="55"/>
      <w:bookmarkEnd w:id="56"/>
      <w:bookmarkEnd w:id="57"/>
      <w:bookmarkEnd w:id="58"/>
      <w:bookmarkEnd w:id="59"/>
    </w:p>
    <w:p w:rsidR="00745515" w:rsidRDefault="00745515" w:rsidP="00745515">
      <w:r>
        <w:t>No incentive is proposed for this projec</w:t>
      </w:r>
      <w:r w:rsidR="0069157D">
        <w:t xml:space="preserve">t.  Respondents will </w:t>
      </w:r>
      <w:r>
        <w:t xml:space="preserve">be offered a report of the survey </w:t>
      </w:r>
      <w:r w:rsidR="00A75FD0">
        <w:t>findings, which</w:t>
      </w:r>
      <w:r>
        <w:t xml:space="preserve"> should be of interest to Laboratory Managers and their staff.</w:t>
      </w:r>
    </w:p>
    <w:p w:rsidR="0065438A" w:rsidRPr="00C23300" w:rsidRDefault="0065438A" w:rsidP="00854067">
      <w:pPr>
        <w:pStyle w:val="Heading2"/>
      </w:pPr>
      <w:bookmarkStart w:id="60" w:name="_Toc151782185"/>
      <w:bookmarkStart w:id="61" w:name="_Toc158526225"/>
      <w:bookmarkStart w:id="62" w:name="_Toc266256601"/>
      <w:bookmarkStart w:id="63" w:name="_Toc286057992"/>
      <w:bookmarkStart w:id="64" w:name="_Toc319314200"/>
      <w:r w:rsidRPr="00C23300">
        <w:t>Assurance of Confidentiality</w:t>
      </w:r>
      <w:bookmarkEnd w:id="60"/>
      <w:bookmarkEnd w:id="61"/>
      <w:r w:rsidRPr="00C23300">
        <w:t xml:space="preserve"> Provided to Respondents</w:t>
      </w:r>
      <w:bookmarkEnd w:id="62"/>
      <w:bookmarkEnd w:id="63"/>
      <w:bookmarkEnd w:id="64"/>
    </w:p>
    <w:p w:rsidR="006E4E2F" w:rsidRPr="0016477B" w:rsidRDefault="006E4E2F" w:rsidP="00AF548F">
      <w:pPr>
        <w:spacing w:before="0" w:after="0"/>
        <w:jc w:val="both"/>
        <w:rPr>
          <w:rFonts w:ascii="Times New Roman" w:hAnsi="Times New Roman"/>
          <w:sz w:val="24"/>
          <w:szCs w:val="24"/>
        </w:rPr>
      </w:pPr>
      <w:r w:rsidRPr="006E4E2F">
        <w:rPr>
          <w:rFonts w:cs="Calibri"/>
        </w:rPr>
        <w:t xml:space="preserve">Participation in </w:t>
      </w:r>
      <w:r w:rsidR="00DE6F34">
        <w:rPr>
          <w:rFonts w:cs="Calibri"/>
        </w:rPr>
        <w:t>this survey</w:t>
      </w:r>
      <w:r w:rsidR="002F5365">
        <w:rPr>
          <w:rFonts w:cs="Calibri"/>
        </w:rPr>
        <w:t xml:space="preserve"> </w:t>
      </w:r>
      <w:r w:rsidR="00DE6F34">
        <w:rPr>
          <w:rFonts w:cs="Calibri"/>
        </w:rPr>
        <w:t xml:space="preserve">is </w:t>
      </w:r>
      <w:r w:rsidRPr="006E4E2F">
        <w:rPr>
          <w:rFonts w:cs="Calibri"/>
        </w:rPr>
        <w:t xml:space="preserve">voluntary.  Responses by </w:t>
      </w:r>
      <w:r w:rsidR="00DE6F34">
        <w:rPr>
          <w:rFonts w:cs="Calibri"/>
        </w:rPr>
        <w:t>laboratories</w:t>
      </w:r>
      <w:r w:rsidRPr="006E4E2F">
        <w:rPr>
          <w:rFonts w:cs="Calibri"/>
        </w:rPr>
        <w:t xml:space="preserve"> will be kept private to the extent allowed by law. Under Section 934(c) of the Public Health Service</w:t>
      </w:r>
      <w:r w:rsidR="0093712A">
        <w:rPr>
          <w:rFonts w:cs="Calibri"/>
        </w:rPr>
        <w:t xml:space="preserve"> Act, 42 USC 299c-3(c), r</w:t>
      </w:r>
      <w:r>
        <w:t>espondents</w:t>
      </w:r>
      <w:r w:rsidRPr="00C23300">
        <w:t xml:space="preserve"> will be told the purposes for which the information is collected and </w:t>
      </w:r>
      <w:r>
        <w:t>that, in accordance with this statute, any identifiable information will not be used or disclosed for any other purpose</w:t>
      </w:r>
      <w:r w:rsidRPr="00C23300">
        <w:t xml:space="preserve">. </w:t>
      </w:r>
      <w:r w:rsidR="00FC0F67" w:rsidRPr="006E4E2F">
        <w:rPr>
          <w:rFonts w:cs="Calibri"/>
        </w:rPr>
        <w:t>Data will be collected in conformance with the Privacy Act of 1974</w:t>
      </w:r>
    </w:p>
    <w:p w:rsidR="006E4E2F" w:rsidRPr="00796B70" w:rsidRDefault="006E4E2F" w:rsidP="00AF548F">
      <w:pPr>
        <w:jc w:val="both"/>
      </w:pPr>
      <w:r w:rsidRPr="00212876">
        <w:t xml:space="preserve">As required by Federal law and ethical research standards, all projects involving primary data collection (or identifiable secondary data) must undergo review by NORC’s Institutional Review Board (IRB), which is registered with the HHS </w:t>
      </w:r>
      <w:r w:rsidRPr="00067606">
        <w:t>Office of Human Research Protection</w:t>
      </w:r>
      <w:r w:rsidRPr="00212876">
        <w:t xml:space="preserve"> (OHRP). In turn, OHRP has the right to </w:t>
      </w:r>
      <w:r w:rsidRPr="00796B70">
        <w:t>audit NORC’s IRB records or any study's procedures at any time to assure that they are in compliance with the federal regulations regarding research with human subjects.</w:t>
      </w:r>
    </w:p>
    <w:p w:rsidR="00FC0F67" w:rsidRDefault="002E5F17" w:rsidP="00FC0F67">
      <w:pPr>
        <w:jc w:val="both"/>
      </w:pPr>
      <w:r w:rsidRPr="00796B70">
        <w:t xml:space="preserve">During data </w:t>
      </w:r>
      <w:r w:rsidR="0095760D" w:rsidRPr="00796B70">
        <w:t>collection,</w:t>
      </w:r>
      <w:r w:rsidRPr="00796B70">
        <w:t xml:space="preserve"> our Federal contractor, NORC</w:t>
      </w:r>
      <w:r w:rsidR="008E28B6" w:rsidRPr="00796B70">
        <w:t xml:space="preserve"> at the University of Chicago</w:t>
      </w:r>
      <w:r w:rsidRPr="00796B70">
        <w:t xml:space="preserve">, </w:t>
      </w:r>
      <w:r w:rsidR="006E4E2F" w:rsidRPr="00796B70">
        <w:t xml:space="preserve">will incorporate numerous safeguards for the data. Each </w:t>
      </w:r>
      <w:r w:rsidR="005C2FC7" w:rsidRPr="00796B70">
        <w:t xml:space="preserve">sampled </w:t>
      </w:r>
      <w:r w:rsidR="00F247CE">
        <w:t xml:space="preserve">laboratory </w:t>
      </w:r>
      <w:r w:rsidR="006E4E2F" w:rsidRPr="00796B70">
        <w:t xml:space="preserve">will be assigned a unique identifier, and this identifier will be used </w:t>
      </w:r>
      <w:r w:rsidR="005C2FC7" w:rsidRPr="00796B70">
        <w:t>on all hardcopy survey materials</w:t>
      </w:r>
      <w:r w:rsidR="006E4E2F" w:rsidRPr="00796B70">
        <w:t>.</w:t>
      </w:r>
      <w:r w:rsidR="00C57BF7" w:rsidRPr="00796B70">
        <w:t xml:space="preserve"> While collecting data, information that could identify a particular sampled </w:t>
      </w:r>
      <w:r w:rsidR="00F247CE">
        <w:t xml:space="preserve">laboratory </w:t>
      </w:r>
      <w:r w:rsidR="00C57BF7" w:rsidRPr="00796B70">
        <w:t xml:space="preserve">or respondent, such as contact information, will be stored in a separate file from </w:t>
      </w:r>
      <w:r w:rsidR="009A29C4" w:rsidRPr="00796B70">
        <w:t xml:space="preserve">the </w:t>
      </w:r>
      <w:r w:rsidR="00C57BF7" w:rsidRPr="00796B70">
        <w:t xml:space="preserve">survey </w:t>
      </w:r>
      <w:r w:rsidR="009A29C4" w:rsidRPr="00796B70">
        <w:t xml:space="preserve">response </w:t>
      </w:r>
      <w:r w:rsidR="00C57BF7" w:rsidRPr="00796B70">
        <w:t>data collected for that case.</w:t>
      </w:r>
      <w:r w:rsidR="00FC0F67">
        <w:t xml:space="preserve"> </w:t>
      </w:r>
    </w:p>
    <w:p w:rsidR="006E4E2F" w:rsidRPr="00796B70" w:rsidRDefault="006E4E2F" w:rsidP="00AF548F">
      <w:pPr>
        <w:pStyle w:val="BodyText"/>
        <w:spacing w:line="240" w:lineRule="auto"/>
        <w:jc w:val="both"/>
        <w:rPr>
          <w:rFonts w:ascii="Calibri" w:hAnsi="Calibri"/>
          <w:sz w:val="22"/>
          <w:szCs w:val="22"/>
        </w:rPr>
      </w:pPr>
      <w:r w:rsidRPr="00796B70">
        <w:rPr>
          <w:rFonts w:ascii="Calibri" w:hAnsi="Calibri"/>
          <w:sz w:val="22"/>
          <w:szCs w:val="22"/>
        </w:rPr>
        <w:t xml:space="preserve">The electronic systems for data collection and data storage </w:t>
      </w:r>
      <w:r w:rsidR="00820BAF" w:rsidRPr="00796B70">
        <w:rPr>
          <w:rFonts w:ascii="Calibri" w:hAnsi="Calibri"/>
          <w:sz w:val="22"/>
          <w:szCs w:val="22"/>
        </w:rPr>
        <w:t xml:space="preserve">at NORC </w:t>
      </w:r>
      <w:r w:rsidRPr="00796B70">
        <w:rPr>
          <w:rFonts w:ascii="Calibri" w:hAnsi="Calibri"/>
          <w:sz w:val="22"/>
          <w:szCs w:val="22"/>
        </w:rPr>
        <w:t xml:space="preserve">are on a local area network (LAN). All systems used to store electronic survey data are secure by design and protected by passwords only available to authorized </w:t>
      </w:r>
      <w:r w:rsidR="00820BAF" w:rsidRPr="00796B70">
        <w:rPr>
          <w:rFonts w:ascii="Calibri" w:hAnsi="Calibri"/>
          <w:sz w:val="22"/>
          <w:szCs w:val="22"/>
        </w:rPr>
        <w:t>survey</w:t>
      </w:r>
      <w:r w:rsidRPr="00796B70">
        <w:rPr>
          <w:rFonts w:ascii="Calibri" w:hAnsi="Calibri"/>
          <w:sz w:val="22"/>
          <w:szCs w:val="22"/>
        </w:rPr>
        <w:t xml:space="preserve"> staff.   </w:t>
      </w:r>
    </w:p>
    <w:p w:rsidR="006E4E2F" w:rsidRDefault="00783510" w:rsidP="00AF548F">
      <w:pPr>
        <w:spacing w:after="0"/>
        <w:jc w:val="both"/>
        <w:rPr>
          <w:rFonts w:cs="Calibri"/>
        </w:rPr>
      </w:pPr>
      <w:r w:rsidRPr="00796B70">
        <w:t>All</w:t>
      </w:r>
      <w:r w:rsidRPr="00581C0F">
        <w:t xml:space="preserve"> of </w:t>
      </w:r>
      <w:r>
        <w:t>the survey’s</w:t>
      </w:r>
      <w:r w:rsidRPr="00581C0F">
        <w:t xml:space="preserve"> data collection and processing sites are located in highly restricted areas that are readily protected by security systems, including video cameras or the previously mentioned keycard systems or trained guards. Only those employees who have read and signed a copy of NORC's confidentiality pledge (or their escorted gues</w:t>
      </w:r>
      <w:r>
        <w:t xml:space="preserve">ts) are allowed on the premises. All of NORC’s employees sign a confidentiality pledge at time of hire. </w:t>
      </w:r>
      <w:r w:rsidR="006E4E2F">
        <w:rPr>
          <w:rFonts w:cs="Calibri"/>
        </w:rPr>
        <w:t xml:space="preserve">All completed hardcopy survey questionnaires will be stored in locked file cabinets accessible only to authorized project staff.    </w:t>
      </w:r>
    </w:p>
    <w:p w:rsidR="00327716" w:rsidRDefault="00327716" w:rsidP="00AF548F">
      <w:pPr>
        <w:spacing w:after="0"/>
        <w:jc w:val="both"/>
        <w:rPr>
          <w:rFonts w:cs="Calibri"/>
        </w:rPr>
      </w:pPr>
      <w:r>
        <w:rPr>
          <w:rFonts w:cs="Calibri"/>
        </w:rPr>
        <w:t>As is done with many surveys of businesses and establishments, the instrument design has taken into consideration possible concerns respondents may have regarding proprietary information.  Response options have been provided that permit the respondent to report ranges and estimates rather than reporting of actual figures or numbers.</w:t>
      </w:r>
    </w:p>
    <w:p w:rsidR="00FC0F67" w:rsidRDefault="00FC0F67" w:rsidP="00AF548F">
      <w:pPr>
        <w:spacing w:after="0"/>
        <w:jc w:val="both"/>
        <w:rPr>
          <w:rFonts w:cs="Calibri"/>
        </w:rPr>
      </w:pPr>
    </w:p>
    <w:p w:rsidR="0065438A" w:rsidRPr="00C23300" w:rsidRDefault="0065438A" w:rsidP="00854067">
      <w:pPr>
        <w:pStyle w:val="Heading2"/>
        <w:tabs>
          <w:tab w:val="clear" w:pos="720"/>
        </w:tabs>
        <w:ind w:left="432" w:hanging="432"/>
      </w:pPr>
      <w:bookmarkStart w:id="65" w:name="_Toc151782186"/>
      <w:bookmarkStart w:id="66" w:name="_Toc158526226"/>
      <w:bookmarkStart w:id="67" w:name="_Toc266256602"/>
      <w:bookmarkStart w:id="68" w:name="_Toc286057993"/>
      <w:bookmarkStart w:id="69" w:name="_Toc319314201"/>
      <w:r w:rsidRPr="00C23300">
        <w:t>Questions of a Sensitive Nature</w:t>
      </w:r>
      <w:bookmarkEnd w:id="65"/>
      <w:bookmarkEnd w:id="66"/>
      <w:bookmarkEnd w:id="67"/>
      <w:bookmarkEnd w:id="68"/>
      <w:bookmarkEnd w:id="69"/>
    </w:p>
    <w:p w:rsidR="007267CC" w:rsidRDefault="007267CC" w:rsidP="00AF548F">
      <w:pPr>
        <w:spacing w:before="0" w:after="0"/>
        <w:jc w:val="both"/>
        <w:rPr>
          <w:highlight w:val="yellow"/>
        </w:rPr>
      </w:pPr>
      <w:r w:rsidRPr="007267CC">
        <w:t>The su</w:t>
      </w:r>
      <w:r>
        <w:t xml:space="preserve">rvey questionnaire will ask </w:t>
      </w:r>
      <w:r w:rsidR="00783510">
        <w:t>respondents</w:t>
      </w:r>
      <w:r w:rsidRPr="007267CC">
        <w:t xml:space="preserve"> </w:t>
      </w:r>
      <w:r>
        <w:t>abo</w:t>
      </w:r>
      <w:r w:rsidR="00F4122F">
        <w:t>ut the lab’s electronic</w:t>
      </w:r>
      <w:r w:rsidR="00212876">
        <w:t xml:space="preserve"> transfer of health information</w:t>
      </w:r>
      <w:r>
        <w:t xml:space="preserve">.  None of the questions in the questionnaire are considered to be of a sensitive nature.  </w:t>
      </w:r>
    </w:p>
    <w:p w:rsidR="0065438A" w:rsidRPr="00C23300" w:rsidRDefault="004C3660" w:rsidP="00854067">
      <w:pPr>
        <w:spacing w:before="0" w:after="0"/>
      </w:pPr>
      <w:r w:rsidRPr="00783510">
        <w:t xml:space="preserve">The </w:t>
      </w:r>
      <w:r w:rsidR="00FC123E">
        <w:t xml:space="preserve">two versions of the </w:t>
      </w:r>
      <w:r w:rsidR="00F4517C" w:rsidRPr="00783510">
        <w:t xml:space="preserve">survey </w:t>
      </w:r>
      <w:r w:rsidRPr="00783510">
        <w:t>questionnaire</w:t>
      </w:r>
      <w:r w:rsidR="00FC123E">
        <w:t>s</w:t>
      </w:r>
      <w:r w:rsidRPr="00783510">
        <w:t xml:space="preserve"> can be seen in Attachment</w:t>
      </w:r>
      <w:r w:rsidR="00AD486B">
        <w:t>s</w:t>
      </w:r>
      <w:r w:rsidRPr="00783510">
        <w:t xml:space="preserve"> </w:t>
      </w:r>
      <w:r w:rsidR="005B4E11">
        <w:t xml:space="preserve">A </w:t>
      </w:r>
      <w:r w:rsidR="00AD486B">
        <w:t>and</w:t>
      </w:r>
      <w:r w:rsidR="00F37778">
        <w:t xml:space="preserve"> </w:t>
      </w:r>
      <w:r w:rsidR="005B4E11">
        <w:t>B</w:t>
      </w:r>
      <w:r w:rsidR="00AD486B">
        <w:t xml:space="preserve">. </w:t>
      </w:r>
    </w:p>
    <w:p w:rsidR="0065438A" w:rsidRPr="00C23300" w:rsidRDefault="0065438A" w:rsidP="00854067">
      <w:pPr>
        <w:pStyle w:val="Heading2"/>
      </w:pPr>
      <w:bookmarkStart w:id="70" w:name="_Toc151782187"/>
      <w:bookmarkStart w:id="71" w:name="_Toc158526227"/>
      <w:bookmarkStart w:id="72" w:name="_Toc266256603"/>
      <w:bookmarkStart w:id="73" w:name="_Toc286057994"/>
      <w:bookmarkStart w:id="74" w:name="_Toc319314202"/>
      <w:r w:rsidRPr="00C23300">
        <w:t>Estimates of Annualized Burden Hours and Costs</w:t>
      </w:r>
      <w:bookmarkEnd w:id="70"/>
      <w:bookmarkEnd w:id="71"/>
      <w:bookmarkEnd w:id="72"/>
      <w:bookmarkEnd w:id="73"/>
      <w:bookmarkEnd w:id="74"/>
    </w:p>
    <w:p w:rsidR="0065438A" w:rsidRDefault="00690055" w:rsidP="00AF548F">
      <w:pPr>
        <w:spacing w:before="0" w:after="0"/>
        <w:jc w:val="both"/>
      </w:pPr>
      <w:bookmarkStart w:id="75" w:name="_Toc151782188"/>
      <w:bookmarkStart w:id="76" w:name="_Toc158526228"/>
      <w:r>
        <w:t>Exhibit 1</w:t>
      </w:r>
      <w:r w:rsidR="009D5049">
        <w:t xml:space="preserve"> </w:t>
      </w:r>
      <w:r w:rsidR="0065438A" w:rsidRPr="00C23300">
        <w:t xml:space="preserve">shows the estimated annualized </w:t>
      </w:r>
      <w:r w:rsidR="009D5049">
        <w:t xml:space="preserve">respondent </w:t>
      </w:r>
      <w:r w:rsidR="0065438A" w:rsidRPr="00C23300">
        <w:t>burden for the proposed project.</w:t>
      </w:r>
    </w:p>
    <w:p w:rsidR="000553A7" w:rsidRPr="00C23300" w:rsidRDefault="000553A7" w:rsidP="00AF548F">
      <w:pPr>
        <w:spacing w:before="0" w:after="0"/>
        <w:jc w:val="both"/>
      </w:pPr>
    </w:p>
    <w:p w:rsidR="007D5C2E" w:rsidRPr="00463C62" w:rsidRDefault="0065438A" w:rsidP="002C3DB3">
      <w:pPr>
        <w:spacing w:before="0" w:after="0"/>
        <w:jc w:val="both"/>
        <w:rPr>
          <w:rFonts w:asciiTheme="minorHAnsi" w:hAnsiTheme="minorHAnsi" w:cstheme="minorHAnsi"/>
        </w:rPr>
      </w:pPr>
      <w:r w:rsidRPr="00AC0438">
        <w:t xml:space="preserve">The burden hours are based on an estimated length of approximately </w:t>
      </w:r>
      <w:r w:rsidR="008A7C2B" w:rsidRPr="00AC0438">
        <w:t>20</w:t>
      </w:r>
      <w:r w:rsidRPr="00AC0438">
        <w:t xml:space="preserve"> minutes per completed survey</w:t>
      </w:r>
      <w:r w:rsidR="00C60B44">
        <w:t xml:space="preserve"> for the hospital </w:t>
      </w:r>
      <w:r w:rsidR="00F247CE">
        <w:t>laboratories</w:t>
      </w:r>
      <w:r w:rsidR="00C60B44">
        <w:t xml:space="preserve"> </w:t>
      </w:r>
      <w:r w:rsidR="00183223">
        <w:t xml:space="preserve">and </w:t>
      </w:r>
      <w:r w:rsidR="00C60B44">
        <w:t xml:space="preserve">independent </w:t>
      </w:r>
      <w:r w:rsidR="00F247CE">
        <w:t>laboratories</w:t>
      </w:r>
      <w:r w:rsidR="00C60B44">
        <w:t xml:space="preserve"> and</w:t>
      </w:r>
      <w:r w:rsidR="00AA2C6C">
        <w:t xml:space="preserve"> approximately</w:t>
      </w:r>
      <w:r w:rsidR="00C60B44">
        <w:t xml:space="preserve"> 10 minutes for the LabCorp and Quest </w:t>
      </w:r>
      <w:r w:rsidR="00F247CE">
        <w:t>laboratories</w:t>
      </w:r>
      <w:r w:rsidRPr="00AC0438">
        <w:t xml:space="preserve">. </w:t>
      </w:r>
      <w:r w:rsidR="007D5C2E" w:rsidRPr="00AC0438">
        <w:t xml:space="preserve">We expect </w:t>
      </w:r>
      <w:r w:rsidR="007D5C2E">
        <w:t>4,963</w:t>
      </w:r>
      <w:r w:rsidR="007D5C2E" w:rsidRPr="00AC0438">
        <w:t xml:space="preserve"> respondents to complete the survey in Wave 1 and </w:t>
      </w:r>
      <w:r w:rsidR="007D5C2E" w:rsidRPr="00FB3E0F">
        <w:t>4,</w:t>
      </w:r>
      <w:r w:rsidR="00FB3E0F" w:rsidRPr="00FB3E0F">
        <w:t>420</w:t>
      </w:r>
      <w:r w:rsidR="007D5C2E" w:rsidRPr="00AC0438">
        <w:t xml:space="preserve"> to complete the survey in Wave 2.  </w:t>
      </w:r>
      <w:r w:rsidR="007D5C2E" w:rsidRPr="00463C62">
        <w:rPr>
          <w:rFonts w:asciiTheme="minorHAnsi" w:hAnsiTheme="minorHAnsi" w:cstheme="minorHAnsi"/>
        </w:rPr>
        <w:t xml:space="preserve">The estimated annualized respondent burden is </w:t>
      </w:r>
      <w:r w:rsidR="00F4502C">
        <w:rPr>
          <w:rFonts w:asciiTheme="minorHAnsi" w:hAnsiTheme="minorHAnsi" w:cstheme="minorHAnsi"/>
        </w:rPr>
        <w:t>1,489</w:t>
      </w:r>
      <w:r w:rsidR="007D5C2E" w:rsidRPr="00463C62">
        <w:rPr>
          <w:rFonts w:asciiTheme="minorHAnsi" w:hAnsiTheme="minorHAnsi" w:cstheme="minorHAnsi"/>
        </w:rPr>
        <w:t xml:space="preserve"> hours.  </w:t>
      </w:r>
    </w:p>
    <w:p w:rsidR="004B2725" w:rsidRPr="00463C62" w:rsidRDefault="009D5049" w:rsidP="00854067">
      <w:pPr>
        <w:pStyle w:val="ExhibitTitle"/>
        <w:rPr>
          <w:rFonts w:asciiTheme="minorHAnsi" w:hAnsiTheme="minorHAnsi" w:cstheme="minorHAnsi"/>
          <w:sz w:val="22"/>
          <w:szCs w:val="22"/>
        </w:rPr>
      </w:pPr>
      <w:r w:rsidRPr="00463C62">
        <w:rPr>
          <w:rFonts w:asciiTheme="minorHAnsi" w:hAnsiTheme="minorHAnsi" w:cstheme="minorHAnsi"/>
          <w:sz w:val="22"/>
          <w:szCs w:val="22"/>
        </w:rPr>
        <w:t xml:space="preserve">Exhibit </w:t>
      </w:r>
      <w:r w:rsidR="00690055">
        <w:rPr>
          <w:rFonts w:asciiTheme="minorHAnsi" w:hAnsiTheme="minorHAnsi" w:cstheme="minorHAnsi"/>
          <w:sz w:val="22"/>
          <w:szCs w:val="22"/>
        </w:rPr>
        <w:t>1</w:t>
      </w:r>
      <w:r w:rsidRPr="00463C62">
        <w:rPr>
          <w:rFonts w:asciiTheme="minorHAnsi" w:hAnsiTheme="minorHAnsi" w:cstheme="minorHAnsi"/>
          <w:sz w:val="22"/>
          <w:szCs w:val="22"/>
        </w:rPr>
        <w:t>. Estimated Annualized Respondent Burden</w:t>
      </w:r>
    </w:p>
    <w:tbl>
      <w:tblPr>
        <w:tblStyle w:val="TableGrid"/>
        <w:tblW w:w="0" w:type="auto"/>
        <w:tblLook w:val="01E0" w:firstRow="1" w:lastRow="1" w:firstColumn="1" w:lastColumn="1" w:noHBand="0" w:noVBand="0"/>
      </w:tblPr>
      <w:tblGrid>
        <w:gridCol w:w="2088"/>
        <w:gridCol w:w="1231"/>
        <w:gridCol w:w="1570"/>
        <w:gridCol w:w="1588"/>
        <w:gridCol w:w="1562"/>
        <w:gridCol w:w="1537"/>
      </w:tblGrid>
      <w:tr w:rsidR="004A4ECD" w:rsidTr="00A1561A">
        <w:trPr>
          <w:trHeight w:val="285"/>
        </w:trPr>
        <w:tc>
          <w:tcPr>
            <w:tcW w:w="2088" w:type="dxa"/>
            <w:shd w:val="clear" w:color="auto" w:fill="D9D9D9" w:themeFill="background1" w:themeFillShade="D9"/>
            <w:vAlign w:val="bottom"/>
          </w:tcPr>
          <w:p w:rsidR="004A4ECD" w:rsidRPr="004A4ECD" w:rsidRDefault="004A4ECD" w:rsidP="00EF2FC4">
            <w:pPr>
              <w:rPr>
                <w:rFonts w:asciiTheme="minorHAnsi" w:hAnsiTheme="minorHAnsi"/>
                <w:b/>
                <w:sz w:val="18"/>
                <w:szCs w:val="18"/>
              </w:rPr>
            </w:pPr>
            <w:r w:rsidRPr="004A4ECD">
              <w:rPr>
                <w:rFonts w:asciiTheme="minorHAnsi" w:hAnsiTheme="minorHAnsi"/>
                <w:b/>
                <w:sz w:val="18"/>
                <w:szCs w:val="18"/>
              </w:rPr>
              <w:t>Forms</w:t>
            </w:r>
          </w:p>
        </w:tc>
        <w:tc>
          <w:tcPr>
            <w:tcW w:w="1231" w:type="dxa"/>
            <w:shd w:val="clear" w:color="auto" w:fill="D9D9D9" w:themeFill="background1" w:themeFillShade="D9"/>
            <w:vAlign w:val="bottom"/>
          </w:tcPr>
          <w:p w:rsidR="004A4ECD" w:rsidRPr="004A4ECD" w:rsidRDefault="004A4ECD" w:rsidP="004A4ECD">
            <w:pPr>
              <w:jc w:val="center"/>
              <w:rPr>
                <w:rFonts w:asciiTheme="minorHAnsi" w:hAnsiTheme="minorHAnsi"/>
                <w:b/>
                <w:sz w:val="18"/>
                <w:szCs w:val="18"/>
              </w:rPr>
            </w:pPr>
            <w:r w:rsidRPr="004A4ECD">
              <w:rPr>
                <w:rFonts w:asciiTheme="minorHAnsi" w:hAnsiTheme="minorHAnsi"/>
                <w:b/>
                <w:sz w:val="18"/>
                <w:szCs w:val="18"/>
              </w:rPr>
              <w:t>Type of Respondent</w:t>
            </w:r>
          </w:p>
        </w:tc>
        <w:tc>
          <w:tcPr>
            <w:tcW w:w="1570" w:type="dxa"/>
            <w:shd w:val="clear" w:color="auto" w:fill="D9D9D9" w:themeFill="background1" w:themeFillShade="D9"/>
            <w:vAlign w:val="bottom"/>
          </w:tcPr>
          <w:p w:rsidR="004A4ECD" w:rsidRPr="004A4ECD" w:rsidRDefault="004A4ECD" w:rsidP="004A4ECD">
            <w:pPr>
              <w:jc w:val="center"/>
              <w:rPr>
                <w:rFonts w:asciiTheme="minorHAnsi" w:hAnsiTheme="minorHAnsi"/>
                <w:b/>
                <w:sz w:val="18"/>
                <w:szCs w:val="18"/>
              </w:rPr>
            </w:pPr>
            <w:r w:rsidRPr="004A4ECD">
              <w:rPr>
                <w:rFonts w:asciiTheme="minorHAnsi" w:hAnsiTheme="minorHAnsi"/>
                <w:b/>
                <w:sz w:val="18"/>
                <w:szCs w:val="18"/>
              </w:rPr>
              <w:t>Number of  Respondents</w:t>
            </w:r>
          </w:p>
        </w:tc>
        <w:tc>
          <w:tcPr>
            <w:tcW w:w="1588" w:type="dxa"/>
            <w:shd w:val="clear" w:color="auto" w:fill="D9D9D9" w:themeFill="background1" w:themeFillShade="D9"/>
            <w:vAlign w:val="bottom"/>
          </w:tcPr>
          <w:p w:rsidR="004A4ECD" w:rsidRPr="004A4ECD" w:rsidRDefault="004A4ECD" w:rsidP="004A4ECD">
            <w:pPr>
              <w:jc w:val="center"/>
              <w:rPr>
                <w:rFonts w:asciiTheme="minorHAnsi" w:hAnsiTheme="minorHAnsi"/>
                <w:b/>
                <w:sz w:val="18"/>
                <w:szCs w:val="18"/>
              </w:rPr>
            </w:pPr>
            <w:r w:rsidRPr="004A4ECD">
              <w:rPr>
                <w:rFonts w:asciiTheme="minorHAnsi" w:hAnsiTheme="minorHAnsi"/>
                <w:b/>
                <w:sz w:val="18"/>
                <w:szCs w:val="18"/>
              </w:rPr>
              <w:t>Number of Responses per  Respondent</w:t>
            </w:r>
          </w:p>
        </w:tc>
        <w:tc>
          <w:tcPr>
            <w:tcW w:w="1562" w:type="dxa"/>
            <w:shd w:val="clear" w:color="auto" w:fill="D9D9D9" w:themeFill="background1" w:themeFillShade="D9"/>
            <w:vAlign w:val="bottom"/>
          </w:tcPr>
          <w:p w:rsidR="004A4ECD" w:rsidRPr="004A4ECD" w:rsidRDefault="004A4ECD" w:rsidP="004A4ECD">
            <w:pPr>
              <w:jc w:val="center"/>
              <w:rPr>
                <w:rFonts w:asciiTheme="minorHAnsi" w:hAnsiTheme="minorHAnsi"/>
                <w:b/>
                <w:sz w:val="18"/>
                <w:szCs w:val="18"/>
              </w:rPr>
            </w:pPr>
            <w:r w:rsidRPr="004A4ECD">
              <w:rPr>
                <w:rFonts w:asciiTheme="minorHAnsi" w:hAnsiTheme="minorHAnsi"/>
                <w:b/>
                <w:sz w:val="18"/>
                <w:szCs w:val="18"/>
              </w:rPr>
              <w:t>Average Burden (in hours) per Response</w:t>
            </w:r>
          </w:p>
        </w:tc>
        <w:tc>
          <w:tcPr>
            <w:tcW w:w="1537" w:type="dxa"/>
            <w:shd w:val="clear" w:color="auto" w:fill="D9D9D9" w:themeFill="background1" w:themeFillShade="D9"/>
            <w:vAlign w:val="bottom"/>
          </w:tcPr>
          <w:p w:rsidR="004A4ECD" w:rsidRPr="004A4ECD" w:rsidRDefault="004A4ECD" w:rsidP="004A4ECD">
            <w:pPr>
              <w:jc w:val="center"/>
              <w:rPr>
                <w:rFonts w:asciiTheme="minorHAnsi" w:hAnsiTheme="minorHAnsi"/>
                <w:b/>
                <w:sz w:val="18"/>
                <w:szCs w:val="18"/>
              </w:rPr>
            </w:pPr>
            <w:r w:rsidRPr="004A4ECD">
              <w:rPr>
                <w:rFonts w:asciiTheme="minorHAnsi" w:hAnsiTheme="minorHAnsi"/>
                <w:b/>
                <w:sz w:val="18"/>
                <w:szCs w:val="18"/>
              </w:rPr>
              <w:t>Total Burden Hours</w:t>
            </w:r>
          </w:p>
        </w:tc>
      </w:tr>
      <w:tr w:rsidR="004A4ECD" w:rsidRPr="001C5945" w:rsidTr="00A1561A">
        <w:trPr>
          <w:trHeight w:val="285"/>
        </w:trPr>
        <w:tc>
          <w:tcPr>
            <w:tcW w:w="2088" w:type="dxa"/>
          </w:tcPr>
          <w:p w:rsidR="004A4ECD" w:rsidRPr="00FB0F03" w:rsidRDefault="004A4ECD" w:rsidP="004A4ECD">
            <w:pPr>
              <w:pStyle w:val="Tabletext"/>
              <w:rPr>
                <w:rFonts w:asciiTheme="minorHAnsi" w:hAnsiTheme="minorHAnsi"/>
                <w:sz w:val="18"/>
                <w:szCs w:val="18"/>
              </w:rPr>
            </w:pPr>
            <w:r w:rsidRPr="00FB0F03">
              <w:rPr>
                <w:rFonts w:asciiTheme="minorHAnsi" w:hAnsiTheme="minorHAnsi"/>
                <w:sz w:val="18"/>
                <w:szCs w:val="18"/>
              </w:rPr>
              <w:t>Hospital-Based Laboratory Survey on Health Information Exchange</w:t>
            </w:r>
          </w:p>
        </w:tc>
        <w:tc>
          <w:tcPr>
            <w:tcW w:w="1231" w:type="dxa"/>
          </w:tcPr>
          <w:p w:rsidR="004A4ECD" w:rsidRPr="00FB0F03" w:rsidRDefault="004A4ECD" w:rsidP="004A4ECD">
            <w:pPr>
              <w:pStyle w:val="Tabletext"/>
              <w:rPr>
                <w:rFonts w:asciiTheme="minorHAnsi" w:hAnsiTheme="minorHAnsi"/>
                <w:sz w:val="18"/>
                <w:szCs w:val="18"/>
              </w:rPr>
            </w:pPr>
            <w:r w:rsidRPr="00FB0F03">
              <w:rPr>
                <w:rFonts w:asciiTheme="minorHAnsi" w:hAnsiTheme="minorHAnsi"/>
                <w:sz w:val="18"/>
                <w:szCs w:val="18"/>
              </w:rPr>
              <w:t>Hospital-Based Laboratories</w:t>
            </w:r>
          </w:p>
        </w:tc>
        <w:tc>
          <w:tcPr>
            <w:tcW w:w="1570" w:type="dxa"/>
          </w:tcPr>
          <w:p w:rsidR="004A4ECD" w:rsidRPr="00FB3E0F" w:rsidRDefault="00FB0F03" w:rsidP="004A4ECD">
            <w:pPr>
              <w:pStyle w:val="Tabletext"/>
              <w:jc w:val="center"/>
              <w:rPr>
                <w:rFonts w:asciiTheme="minorHAnsi" w:hAnsiTheme="minorHAnsi"/>
                <w:sz w:val="18"/>
                <w:szCs w:val="18"/>
                <w:highlight w:val="yellow"/>
              </w:rPr>
            </w:pPr>
            <w:r w:rsidRPr="00FB0F03">
              <w:rPr>
                <w:rFonts w:asciiTheme="minorHAnsi" w:hAnsiTheme="minorHAnsi"/>
                <w:sz w:val="18"/>
                <w:szCs w:val="18"/>
              </w:rPr>
              <w:t>2</w:t>
            </w:r>
            <w:r>
              <w:rPr>
                <w:rFonts w:asciiTheme="minorHAnsi" w:hAnsiTheme="minorHAnsi"/>
                <w:sz w:val="18"/>
                <w:szCs w:val="18"/>
              </w:rPr>
              <w:t>,</w:t>
            </w:r>
            <w:r w:rsidRPr="00FB0F03">
              <w:rPr>
                <w:rFonts w:asciiTheme="minorHAnsi" w:hAnsiTheme="minorHAnsi"/>
                <w:sz w:val="18"/>
                <w:szCs w:val="18"/>
              </w:rPr>
              <w:t>729</w:t>
            </w:r>
          </w:p>
        </w:tc>
        <w:tc>
          <w:tcPr>
            <w:tcW w:w="1588" w:type="dxa"/>
          </w:tcPr>
          <w:p w:rsidR="004A4ECD" w:rsidRPr="00FB0F03" w:rsidRDefault="004A4ECD" w:rsidP="004A4ECD">
            <w:pPr>
              <w:pStyle w:val="Tabletext"/>
              <w:jc w:val="center"/>
              <w:rPr>
                <w:rFonts w:asciiTheme="minorHAnsi" w:hAnsiTheme="minorHAnsi"/>
                <w:sz w:val="18"/>
                <w:szCs w:val="18"/>
              </w:rPr>
            </w:pPr>
            <w:r w:rsidRPr="00FB0F03">
              <w:rPr>
                <w:rFonts w:asciiTheme="minorHAnsi" w:hAnsiTheme="minorHAnsi"/>
                <w:sz w:val="18"/>
                <w:szCs w:val="18"/>
              </w:rPr>
              <w:t>1</w:t>
            </w:r>
          </w:p>
        </w:tc>
        <w:tc>
          <w:tcPr>
            <w:tcW w:w="1562" w:type="dxa"/>
          </w:tcPr>
          <w:p w:rsidR="004A4ECD" w:rsidRPr="00FB3E0F" w:rsidRDefault="004A4ECD" w:rsidP="004A4ECD">
            <w:pPr>
              <w:pStyle w:val="Tabletext"/>
              <w:jc w:val="center"/>
              <w:rPr>
                <w:rFonts w:asciiTheme="minorHAnsi" w:hAnsiTheme="minorHAnsi"/>
                <w:sz w:val="18"/>
                <w:szCs w:val="18"/>
                <w:highlight w:val="yellow"/>
              </w:rPr>
            </w:pPr>
            <w:r w:rsidRPr="00FB0F03">
              <w:rPr>
                <w:rFonts w:asciiTheme="minorHAnsi" w:hAnsiTheme="minorHAnsi"/>
                <w:sz w:val="18"/>
                <w:szCs w:val="18"/>
              </w:rPr>
              <w:t>20/60</w:t>
            </w:r>
          </w:p>
        </w:tc>
        <w:tc>
          <w:tcPr>
            <w:tcW w:w="1537" w:type="dxa"/>
          </w:tcPr>
          <w:p w:rsidR="004A4ECD" w:rsidRPr="00FB3E0F" w:rsidRDefault="00FB0F03" w:rsidP="004A4ECD">
            <w:pPr>
              <w:pStyle w:val="Tabletext"/>
              <w:jc w:val="center"/>
              <w:rPr>
                <w:rFonts w:asciiTheme="minorHAnsi" w:hAnsiTheme="minorHAnsi"/>
                <w:sz w:val="18"/>
                <w:szCs w:val="18"/>
                <w:highlight w:val="yellow"/>
              </w:rPr>
            </w:pPr>
            <w:r w:rsidRPr="00FB0F03">
              <w:rPr>
                <w:rFonts w:asciiTheme="minorHAnsi" w:hAnsiTheme="minorHAnsi"/>
                <w:sz w:val="18"/>
                <w:szCs w:val="18"/>
              </w:rPr>
              <w:t>910</w:t>
            </w:r>
          </w:p>
        </w:tc>
      </w:tr>
      <w:tr w:rsidR="004A4ECD" w:rsidRPr="001C5945" w:rsidTr="00A1561A">
        <w:trPr>
          <w:trHeight w:val="285"/>
        </w:trPr>
        <w:tc>
          <w:tcPr>
            <w:tcW w:w="2088" w:type="dxa"/>
          </w:tcPr>
          <w:p w:rsidR="004A4ECD" w:rsidRPr="00FB0F03" w:rsidRDefault="004A4ECD" w:rsidP="004A4ECD">
            <w:pPr>
              <w:pStyle w:val="Tabletext"/>
              <w:rPr>
                <w:rFonts w:asciiTheme="minorHAnsi" w:hAnsiTheme="minorHAnsi"/>
                <w:sz w:val="18"/>
                <w:szCs w:val="18"/>
              </w:rPr>
            </w:pPr>
            <w:r w:rsidRPr="00FB0F03">
              <w:rPr>
                <w:rFonts w:asciiTheme="minorHAnsi" w:hAnsiTheme="minorHAnsi"/>
                <w:sz w:val="18"/>
                <w:szCs w:val="18"/>
              </w:rPr>
              <w:t>Independent Laboratory Survey on Health Information Exchange</w:t>
            </w:r>
          </w:p>
        </w:tc>
        <w:tc>
          <w:tcPr>
            <w:tcW w:w="1231" w:type="dxa"/>
            <w:tcBorders>
              <w:bottom w:val="single" w:sz="4" w:space="0" w:color="auto"/>
            </w:tcBorders>
          </w:tcPr>
          <w:p w:rsidR="004A4ECD" w:rsidRPr="00FB0F03" w:rsidRDefault="004A4ECD" w:rsidP="004A4ECD">
            <w:pPr>
              <w:pStyle w:val="Tabletext"/>
              <w:rPr>
                <w:rFonts w:asciiTheme="minorHAnsi" w:hAnsiTheme="minorHAnsi"/>
                <w:sz w:val="18"/>
                <w:szCs w:val="18"/>
              </w:rPr>
            </w:pPr>
            <w:r w:rsidRPr="00FB0F03">
              <w:rPr>
                <w:rFonts w:asciiTheme="minorHAnsi" w:hAnsiTheme="minorHAnsi"/>
                <w:sz w:val="18"/>
                <w:szCs w:val="18"/>
              </w:rPr>
              <w:t>Independent Laboratories</w:t>
            </w:r>
          </w:p>
        </w:tc>
        <w:tc>
          <w:tcPr>
            <w:tcW w:w="1570" w:type="dxa"/>
            <w:tcBorders>
              <w:bottom w:val="single" w:sz="4" w:space="0" w:color="auto"/>
            </w:tcBorders>
          </w:tcPr>
          <w:p w:rsidR="004A4ECD" w:rsidRPr="00FB3E0F" w:rsidRDefault="00FB0F03" w:rsidP="004A4ECD">
            <w:pPr>
              <w:pStyle w:val="Tabletext"/>
              <w:jc w:val="center"/>
              <w:rPr>
                <w:rFonts w:asciiTheme="minorHAnsi" w:hAnsiTheme="minorHAnsi"/>
                <w:sz w:val="18"/>
                <w:szCs w:val="18"/>
                <w:highlight w:val="yellow"/>
              </w:rPr>
            </w:pPr>
            <w:r w:rsidRPr="00FB0F03">
              <w:rPr>
                <w:rFonts w:asciiTheme="minorHAnsi" w:hAnsiTheme="minorHAnsi"/>
                <w:sz w:val="18"/>
                <w:szCs w:val="18"/>
              </w:rPr>
              <w:t>1,963</w:t>
            </w:r>
          </w:p>
        </w:tc>
        <w:tc>
          <w:tcPr>
            <w:tcW w:w="1588" w:type="dxa"/>
            <w:tcBorders>
              <w:bottom w:val="single" w:sz="4" w:space="0" w:color="auto"/>
            </w:tcBorders>
          </w:tcPr>
          <w:p w:rsidR="004A4ECD" w:rsidRPr="00FB0F03" w:rsidRDefault="004A4ECD" w:rsidP="004A4ECD">
            <w:pPr>
              <w:pStyle w:val="Tabletext"/>
              <w:jc w:val="center"/>
              <w:rPr>
                <w:rFonts w:asciiTheme="minorHAnsi" w:hAnsiTheme="minorHAnsi"/>
                <w:sz w:val="18"/>
                <w:szCs w:val="18"/>
              </w:rPr>
            </w:pPr>
            <w:r w:rsidRPr="00FB0F03">
              <w:rPr>
                <w:rFonts w:asciiTheme="minorHAnsi" w:hAnsiTheme="minorHAnsi"/>
                <w:sz w:val="18"/>
                <w:szCs w:val="18"/>
              </w:rPr>
              <w:t>1</w:t>
            </w:r>
          </w:p>
        </w:tc>
        <w:tc>
          <w:tcPr>
            <w:tcW w:w="1562" w:type="dxa"/>
            <w:tcBorders>
              <w:bottom w:val="single" w:sz="4" w:space="0" w:color="auto"/>
            </w:tcBorders>
          </w:tcPr>
          <w:p w:rsidR="004A4ECD" w:rsidRPr="00FB3E0F" w:rsidRDefault="004A4ECD" w:rsidP="00DB03CC">
            <w:pPr>
              <w:pStyle w:val="Tabletext"/>
              <w:jc w:val="center"/>
              <w:rPr>
                <w:rFonts w:asciiTheme="minorHAnsi" w:hAnsiTheme="minorHAnsi"/>
                <w:sz w:val="18"/>
                <w:szCs w:val="18"/>
                <w:highlight w:val="yellow"/>
              </w:rPr>
            </w:pPr>
            <w:r w:rsidRPr="00DB03CC">
              <w:rPr>
                <w:rFonts w:asciiTheme="minorHAnsi" w:hAnsiTheme="minorHAnsi"/>
                <w:sz w:val="18"/>
                <w:szCs w:val="18"/>
              </w:rPr>
              <w:t>17.</w:t>
            </w:r>
            <w:r w:rsidR="00DB03CC" w:rsidRPr="00DB03CC">
              <w:rPr>
                <w:rFonts w:asciiTheme="minorHAnsi" w:hAnsiTheme="minorHAnsi"/>
                <w:sz w:val="18"/>
                <w:szCs w:val="18"/>
              </w:rPr>
              <w:t>70</w:t>
            </w:r>
            <w:r w:rsidRPr="00DB03CC">
              <w:rPr>
                <w:rFonts w:asciiTheme="minorHAnsi" w:hAnsiTheme="minorHAnsi"/>
                <w:sz w:val="18"/>
                <w:szCs w:val="18"/>
              </w:rPr>
              <w:t>/60</w:t>
            </w:r>
          </w:p>
        </w:tc>
        <w:tc>
          <w:tcPr>
            <w:tcW w:w="1537" w:type="dxa"/>
          </w:tcPr>
          <w:p w:rsidR="004A4ECD" w:rsidRPr="00FB3E0F" w:rsidRDefault="00DB03CC" w:rsidP="004A4ECD">
            <w:pPr>
              <w:pStyle w:val="Tabletext"/>
              <w:jc w:val="center"/>
              <w:rPr>
                <w:rFonts w:asciiTheme="minorHAnsi" w:hAnsiTheme="minorHAnsi"/>
                <w:sz w:val="18"/>
                <w:szCs w:val="18"/>
                <w:highlight w:val="yellow"/>
              </w:rPr>
            </w:pPr>
            <w:r w:rsidRPr="00DB03CC">
              <w:rPr>
                <w:rFonts w:asciiTheme="minorHAnsi" w:hAnsiTheme="minorHAnsi"/>
                <w:sz w:val="18"/>
                <w:szCs w:val="18"/>
              </w:rPr>
              <w:t>579</w:t>
            </w:r>
          </w:p>
        </w:tc>
      </w:tr>
      <w:tr w:rsidR="004A4ECD" w:rsidRPr="001C5945" w:rsidTr="00A1561A">
        <w:trPr>
          <w:trHeight w:val="285"/>
        </w:trPr>
        <w:tc>
          <w:tcPr>
            <w:tcW w:w="2088" w:type="dxa"/>
          </w:tcPr>
          <w:p w:rsidR="004A4ECD" w:rsidRPr="00FB0F03" w:rsidRDefault="004A4ECD" w:rsidP="004A4ECD">
            <w:pPr>
              <w:spacing w:line="480" w:lineRule="auto"/>
              <w:rPr>
                <w:rFonts w:asciiTheme="minorHAnsi" w:hAnsiTheme="minorHAnsi"/>
                <w:sz w:val="18"/>
                <w:szCs w:val="18"/>
              </w:rPr>
            </w:pPr>
            <w:r w:rsidRPr="00FB0F03">
              <w:rPr>
                <w:rFonts w:asciiTheme="minorHAnsi" w:hAnsiTheme="minorHAnsi"/>
                <w:sz w:val="18"/>
                <w:szCs w:val="18"/>
              </w:rPr>
              <w:t>Total</w:t>
            </w:r>
          </w:p>
        </w:tc>
        <w:tc>
          <w:tcPr>
            <w:tcW w:w="1231" w:type="dxa"/>
            <w:shd w:val="clear" w:color="auto" w:fill="auto"/>
          </w:tcPr>
          <w:p w:rsidR="004A4ECD" w:rsidRPr="00FB0F03" w:rsidRDefault="004A4ECD" w:rsidP="004A4ECD">
            <w:pPr>
              <w:spacing w:line="480" w:lineRule="auto"/>
              <w:rPr>
                <w:rFonts w:asciiTheme="minorHAnsi" w:hAnsiTheme="minorHAnsi"/>
                <w:sz w:val="18"/>
                <w:szCs w:val="18"/>
              </w:rPr>
            </w:pPr>
          </w:p>
        </w:tc>
        <w:tc>
          <w:tcPr>
            <w:tcW w:w="1570" w:type="dxa"/>
            <w:shd w:val="clear" w:color="auto" w:fill="auto"/>
          </w:tcPr>
          <w:p w:rsidR="004A4ECD" w:rsidRPr="00FB3E0F" w:rsidRDefault="00FB0F03" w:rsidP="004A4ECD">
            <w:pPr>
              <w:pStyle w:val="Tabletext"/>
              <w:jc w:val="center"/>
              <w:rPr>
                <w:rFonts w:asciiTheme="minorHAnsi" w:hAnsiTheme="minorHAnsi"/>
                <w:sz w:val="18"/>
                <w:szCs w:val="18"/>
                <w:highlight w:val="yellow"/>
              </w:rPr>
            </w:pPr>
            <w:r w:rsidRPr="00FB0F03">
              <w:rPr>
                <w:rFonts w:asciiTheme="minorHAnsi" w:hAnsiTheme="minorHAnsi"/>
                <w:sz w:val="18"/>
                <w:szCs w:val="18"/>
              </w:rPr>
              <w:t>4,692</w:t>
            </w:r>
          </w:p>
        </w:tc>
        <w:tc>
          <w:tcPr>
            <w:tcW w:w="1588" w:type="dxa"/>
            <w:shd w:val="clear" w:color="auto" w:fill="auto"/>
          </w:tcPr>
          <w:p w:rsidR="004A4ECD" w:rsidRPr="00FB0F03" w:rsidRDefault="004A4ECD" w:rsidP="004A4ECD">
            <w:pPr>
              <w:pStyle w:val="Tabletext"/>
              <w:jc w:val="center"/>
              <w:rPr>
                <w:rFonts w:asciiTheme="minorHAnsi" w:hAnsiTheme="minorHAnsi"/>
                <w:sz w:val="18"/>
                <w:szCs w:val="18"/>
              </w:rPr>
            </w:pPr>
            <w:r w:rsidRPr="00FB0F03">
              <w:rPr>
                <w:rFonts w:asciiTheme="minorHAnsi" w:hAnsiTheme="minorHAnsi"/>
                <w:sz w:val="18"/>
                <w:szCs w:val="18"/>
              </w:rPr>
              <w:t>1</w:t>
            </w:r>
          </w:p>
        </w:tc>
        <w:tc>
          <w:tcPr>
            <w:tcW w:w="1562" w:type="dxa"/>
            <w:shd w:val="clear" w:color="auto" w:fill="auto"/>
          </w:tcPr>
          <w:p w:rsidR="004A4ECD" w:rsidRPr="00FB3E0F" w:rsidRDefault="00DB03CC" w:rsidP="004A4ECD">
            <w:pPr>
              <w:pStyle w:val="Tabletext"/>
              <w:jc w:val="center"/>
              <w:rPr>
                <w:rFonts w:asciiTheme="minorHAnsi" w:hAnsiTheme="minorHAnsi"/>
                <w:sz w:val="18"/>
                <w:szCs w:val="18"/>
                <w:highlight w:val="yellow"/>
              </w:rPr>
            </w:pPr>
            <w:r w:rsidRPr="00DB03CC">
              <w:rPr>
                <w:rFonts w:asciiTheme="minorHAnsi" w:hAnsiTheme="minorHAnsi"/>
                <w:sz w:val="18"/>
                <w:szCs w:val="18"/>
              </w:rPr>
              <w:t>19.04</w:t>
            </w:r>
            <w:r w:rsidR="004A4ECD" w:rsidRPr="00DB03CC">
              <w:rPr>
                <w:rFonts w:asciiTheme="minorHAnsi" w:hAnsiTheme="minorHAnsi"/>
                <w:sz w:val="18"/>
                <w:szCs w:val="18"/>
              </w:rPr>
              <w:t xml:space="preserve">/60 </w:t>
            </w:r>
          </w:p>
        </w:tc>
        <w:tc>
          <w:tcPr>
            <w:tcW w:w="1537" w:type="dxa"/>
          </w:tcPr>
          <w:p w:rsidR="004A4ECD" w:rsidRPr="00FB3E0F" w:rsidRDefault="00DB03CC" w:rsidP="004A4ECD">
            <w:pPr>
              <w:pStyle w:val="Tabletext"/>
              <w:jc w:val="center"/>
              <w:rPr>
                <w:rFonts w:asciiTheme="minorHAnsi" w:hAnsiTheme="minorHAnsi"/>
                <w:sz w:val="18"/>
                <w:szCs w:val="18"/>
                <w:highlight w:val="yellow"/>
              </w:rPr>
            </w:pPr>
            <w:r w:rsidRPr="00DB03CC">
              <w:rPr>
                <w:rFonts w:asciiTheme="minorHAnsi" w:hAnsiTheme="minorHAnsi"/>
                <w:sz w:val="18"/>
                <w:szCs w:val="18"/>
              </w:rPr>
              <w:t>1</w:t>
            </w:r>
            <w:r w:rsidR="00747B2A">
              <w:rPr>
                <w:rFonts w:asciiTheme="minorHAnsi" w:hAnsiTheme="minorHAnsi"/>
                <w:sz w:val="18"/>
                <w:szCs w:val="18"/>
              </w:rPr>
              <w:t>,</w:t>
            </w:r>
            <w:r w:rsidRPr="00DB03CC">
              <w:rPr>
                <w:rFonts w:asciiTheme="minorHAnsi" w:hAnsiTheme="minorHAnsi"/>
                <w:sz w:val="18"/>
                <w:szCs w:val="18"/>
              </w:rPr>
              <w:t>489</w:t>
            </w:r>
          </w:p>
        </w:tc>
      </w:tr>
    </w:tbl>
    <w:p w:rsidR="004A4ECD" w:rsidRDefault="004A4ECD" w:rsidP="00463C62">
      <w:pPr>
        <w:jc w:val="both"/>
        <w:rPr>
          <w:rFonts w:asciiTheme="minorHAnsi" w:hAnsiTheme="minorHAnsi" w:cstheme="minorHAnsi"/>
        </w:rPr>
      </w:pPr>
    </w:p>
    <w:p w:rsidR="007D04BC" w:rsidRPr="00463C62" w:rsidRDefault="0065438A" w:rsidP="00463C62">
      <w:pPr>
        <w:jc w:val="both"/>
        <w:rPr>
          <w:rFonts w:asciiTheme="minorHAnsi" w:hAnsiTheme="minorHAnsi" w:cstheme="minorHAnsi"/>
        </w:rPr>
      </w:pPr>
      <w:r w:rsidRPr="00463C62">
        <w:rPr>
          <w:rFonts w:asciiTheme="minorHAnsi" w:hAnsiTheme="minorHAnsi" w:cstheme="minorHAnsi"/>
        </w:rPr>
        <w:t xml:space="preserve">Exhibit </w:t>
      </w:r>
      <w:r w:rsidR="009D5049" w:rsidRPr="00463C62">
        <w:rPr>
          <w:rFonts w:asciiTheme="minorHAnsi" w:hAnsiTheme="minorHAnsi" w:cstheme="minorHAnsi"/>
        </w:rPr>
        <w:t xml:space="preserve">3 shows the estimated </w:t>
      </w:r>
      <w:r w:rsidR="00164874">
        <w:rPr>
          <w:rFonts w:asciiTheme="minorHAnsi" w:hAnsiTheme="minorHAnsi" w:cstheme="minorHAnsi"/>
        </w:rPr>
        <w:t>annual</w:t>
      </w:r>
      <w:r w:rsidR="009D5049" w:rsidRPr="00463C62">
        <w:rPr>
          <w:rFonts w:asciiTheme="minorHAnsi" w:hAnsiTheme="minorHAnsi" w:cstheme="minorHAnsi"/>
        </w:rPr>
        <w:t xml:space="preserve"> cost to respondents</w:t>
      </w:r>
      <w:r w:rsidRPr="00463C62">
        <w:rPr>
          <w:rFonts w:asciiTheme="minorHAnsi" w:hAnsiTheme="minorHAnsi" w:cstheme="minorHAnsi"/>
        </w:rPr>
        <w:t xml:space="preserve"> based on the amount of time required from individuals and the average hourly wage obtained from the 2010 U.S. Bureau of Labor Statistics. For those </w:t>
      </w:r>
      <w:r w:rsidR="007A1420" w:rsidRPr="00463C62">
        <w:rPr>
          <w:rFonts w:asciiTheme="minorHAnsi" w:hAnsiTheme="minorHAnsi" w:cstheme="minorHAnsi"/>
        </w:rPr>
        <w:t xml:space="preserve">respondents </w:t>
      </w:r>
      <w:r w:rsidRPr="00463C62">
        <w:rPr>
          <w:rFonts w:asciiTheme="minorHAnsi" w:hAnsiTheme="minorHAnsi" w:cstheme="minorHAnsi"/>
        </w:rPr>
        <w:t>that agree to participate, it is estimated that the total time required</w:t>
      </w:r>
      <w:r w:rsidR="007A68B7" w:rsidRPr="00463C62">
        <w:rPr>
          <w:rFonts w:asciiTheme="minorHAnsi" w:hAnsiTheme="minorHAnsi" w:cstheme="minorHAnsi"/>
        </w:rPr>
        <w:t xml:space="preserve"> to complete the survey </w:t>
      </w:r>
      <w:r w:rsidRPr="00463C62">
        <w:rPr>
          <w:rFonts w:asciiTheme="minorHAnsi" w:hAnsiTheme="minorHAnsi" w:cstheme="minorHAnsi"/>
        </w:rPr>
        <w:t xml:space="preserve">will be approximately </w:t>
      </w:r>
      <w:r w:rsidR="00AC0438" w:rsidRPr="00463C62">
        <w:rPr>
          <w:rFonts w:asciiTheme="minorHAnsi" w:hAnsiTheme="minorHAnsi" w:cstheme="minorHAnsi"/>
        </w:rPr>
        <w:t xml:space="preserve">20 </w:t>
      </w:r>
      <w:r w:rsidRPr="00463C62">
        <w:rPr>
          <w:rFonts w:asciiTheme="minorHAnsi" w:hAnsiTheme="minorHAnsi" w:cstheme="minorHAnsi"/>
        </w:rPr>
        <w:t>minutes</w:t>
      </w:r>
      <w:r w:rsidR="007A1420" w:rsidRPr="00463C62">
        <w:rPr>
          <w:rFonts w:asciiTheme="minorHAnsi" w:hAnsiTheme="minorHAnsi" w:cstheme="minorHAnsi"/>
        </w:rPr>
        <w:t xml:space="preserve"> on </w:t>
      </w:r>
      <w:r w:rsidR="004100FC" w:rsidRPr="00463C62">
        <w:rPr>
          <w:rFonts w:asciiTheme="minorHAnsi" w:hAnsiTheme="minorHAnsi" w:cstheme="minorHAnsi"/>
        </w:rPr>
        <w:t>average,</w:t>
      </w:r>
      <w:r w:rsidR="00C25CD7" w:rsidRPr="00463C62">
        <w:rPr>
          <w:rFonts w:asciiTheme="minorHAnsi" w:hAnsiTheme="minorHAnsi" w:cstheme="minorHAnsi"/>
        </w:rPr>
        <w:t xml:space="preserve"> and</w:t>
      </w:r>
      <w:r w:rsidR="00AA2C6C" w:rsidRPr="00463C62">
        <w:rPr>
          <w:rFonts w:asciiTheme="minorHAnsi" w:hAnsiTheme="minorHAnsi" w:cstheme="minorHAnsi"/>
        </w:rPr>
        <w:t xml:space="preserve"> approximately</w:t>
      </w:r>
      <w:r w:rsidR="00C25CD7" w:rsidRPr="00463C62">
        <w:rPr>
          <w:rFonts w:asciiTheme="minorHAnsi" w:hAnsiTheme="minorHAnsi" w:cstheme="minorHAnsi"/>
        </w:rPr>
        <w:t xml:space="preserve"> 10 minutes for </w:t>
      </w:r>
      <w:r w:rsidR="004100FC" w:rsidRPr="00463C62">
        <w:rPr>
          <w:rFonts w:asciiTheme="minorHAnsi" w:hAnsiTheme="minorHAnsi" w:cstheme="minorHAnsi"/>
        </w:rPr>
        <w:t>the LabCorp</w:t>
      </w:r>
      <w:r w:rsidR="00C25CD7" w:rsidRPr="00463C62">
        <w:rPr>
          <w:rFonts w:asciiTheme="minorHAnsi" w:hAnsiTheme="minorHAnsi" w:cstheme="minorHAnsi"/>
        </w:rPr>
        <w:t xml:space="preserve"> and Quest </w:t>
      </w:r>
      <w:r w:rsidR="00DE6F34" w:rsidRPr="00463C62">
        <w:rPr>
          <w:rFonts w:asciiTheme="minorHAnsi" w:hAnsiTheme="minorHAnsi" w:cstheme="minorHAnsi"/>
        </w:rPr>
        <w:t xml:space="preserve">headquarters to provide responses for all of their </w:t>
      </w:r>
      <w:r w:rsidR="00F247CE">
        <w:rPr>
          <w:rFonts w:asciiTheme="minorHAnsi" w:hAnsiTheme="minorHAnsi" w:cstheme="minorHAnsi"/>
        </w:rPr>
        <w:t>laboratories</w:t>
      </w:r>
      <w:r w:rsidR="00C25CD7" w:rsidRPr="00463C62">
        <w:rPr>
          <w:rFonts w:asciiTheme="minorHAnsi" w:hAnsiTheme="minorHAnsi" w:cstheme="minorHAnsi"/>
        </w:rPr>
        <w:t xml:space="preserve">.  </w:t>
      </w:r>
      <w:r w:rsidR="007A1420" w:rsidRPr="00463C62">
        <w:rPr>
          <w:rFonts w:asciiTheme="minorHAnsi" w:hAnsiTheme="minorHAnsi" w:cstheme="minorHAnsi"/>
        </w:rPr>
        <w:t xml:space="preserve"> </w:t>
      </w:r>
    </w:p>
    <w:p w:rsidR="0065438A" w:rsidRPr="00463C62" w:rsidRDefault="0065438A" w:rsidP="00854067">
      <w:pPr>
        <w:pStyle w:val="ExhibitTitle"/>
        <w:rPr>
          <w:rFonts w:asciiTheme="minorHAnsi" w:hAnsiTheme="minorHAnsi" w:cstheme="minorHAnsi"/>
          <w:sz w:val="22"/>
          <w:szCs w:val="22"/>
        </w:rPr>
      </w:pPr>
      <w:r w:rsidRPr="00463C62">
        <w:rPr>
          <w:rFonts w:asciiTheme="minorHAnsi" w:hAnsiTheme="minorHAnsi" w:cstheme="minorHAnsi"/>
          <w:sz w:val="22"/>
          <w:szCs w:val="22"/>
        </w:rPr>
        <w:t xml:space="preserve">Exhibit </w:t>
      </w:r>
      <w:r w:rsidR="009D5049" w:rsidRPr="00463C62">
        <w:rPr>
          <w:rFonts w:asciiTheme="minorHAnsi" w:hAnsiTheme="minorHAnsi" w:cstheme="minorHAnsi"/>
          <w:sz w:val="22"/>
          <w:szCs w:val="22"/>
        </w:rPr>
        <w:t>3</w:t>
      </w:r>
      <w:r w:rsidRPr="00463C62">
        <w:rPr>
          <w:rFonts w:asciiTheme="minorHAnsi" w:hAnsiTheme="minorHAnsi" w:cstheme="minorHAnsi"/>
          <w:sz w:val="22"/>
          <w:szCs w:val="22"/>
        </w:rPr>
        <w:t xml:space="preserve">. Estimated </w:t>
      </w:r>
      <w:r w:rsidR="002D0CC1">
        <w:rPr>
          <w:rFonts w:asciiTheme="minorHAnsi" w:hAnsiTheme="minorHAnsi" w:cstheme="minorHAnsi"/>
          <w:sz w:val="22"/>
          <w:szCs w:val="22"/>
        </w:rPr>
        <w:t xml:space="preserve">Annual </w:t>
      </w:r>
      <w:r w:rsidRPr="00463C62">
        <w:rPr>
          <w:rFonts w:asciiTheme="minorHAnsi" w:hAnsiTheme="minorHAnsi" w:cstheme="minorHAnsi"/>
          <w:sz w:val="22"/>
          <w:szCs w:val="22"/>
        </w:rPr>
        <w:t>Cost to Respondents</w:t>
      </w:r>
    </w:p>
    <w:tbl>
      <w:tblPr>
        <w:tblW w:w="5000" w:type="pct"/>
        <w:tblBorders>
          <w:top w:val="single" w:sz="12" w:space="0" w:color="7F7F7F"/>
          <w:bottom w:val="single" w:sz="12" w:space="0" w:color="7F7F7F"/>
          <w:insideH w:val="single" w:sz="2" w:space="0" w:color="7F7F7F"/>
        </w:tblBorders>
        <w:tblCellMar>
          <w:left w:w="0" w:type="dxa"/>
          <w:right w:w="0" w:type="dxa"/>
        </w:tblCellMar>
        <w:tblLook w:val="00A0" w:firstRow="1" w:lastRow="0" w:firstColumn="1" w:lastColumn="0" w:noHBand="0" w:noVBand="0"/>
      </w:tblPr>
      <w:tblGrid>
        <w:gridCol w:w="2548"/>
        <w:gridCol w:w="2272"/>
        <w:gridCol w:w="2272"/>
        <w:gridCol w:w="2274"/>
      </w:tblGrid>
      <w:tr w:rsidR="0065438A" w:rsidRPr="00463C62">
        <w:trPr>
          <w:cantSplit/>
        </w:trPr>
        <w:tc>
          <w:tcPr>
            <w:tcW w:w="1360" w:type="pct"/>
            <w:tcBorders>
              <w:top w:val="single" w:sz="12" w:space="0" w:color="7F7F7F"/>
              <w:left w:val="single" w:sz="2" w:space="0" w:color="7F7F7F"/>
              <w:bottom w:val="single" w:sz="6" w:space="0" w:color="7F7F7F"/>
              <w:right w:val="single" w:sz="2" w:space="0" w:color="7F7F7F"/>
            </w:tcBorders>
            <w:shd w:val="clear" w:color="auto" w:fill="D9D9D9"/>
          </w:tcPr>
          <w:p w:rsidR="0065438A" w:rsidRPr="00463C62" w:rsidRDefault="0065438A" w:rsidP="00854067">
            <w:pPr>
              <w:pStyle w:val="Tabletext"/>
              <w:rPr>
                <w:rFonts w:asciiTheme="minorHAnsi" w:hAnsiTheme="minorHAnsi" w:cstheme="minorHAnsi"/>
                <w:b/>
                <w:sz w:val="18"/>
              </w:rPr>
            </w:pPr>
            <w:r w:rsidRPr="00463C62">
              <w:rPr>
                <w:rFonts w:asciiTheme="minorHAnsi" w:hAnsiTheme="minorHAnsi" w:cstheme="minorHAnsi"/>
                <w:b/>
                <w:sz w:val="18"/>
              </w:rPr>
              <w:t>Type of Respondent</w:t>
            </w:r>
          </w:p>
        </w:tc>
        <w:tc>
          <w:tcPr>
            <w:tcW w:w="1213" w:type="pct"/>
            <w:tcBorders>
              <w:top w:val="single" w:sz="12" w:space="0" w:color="7F7F7F"/>
              <w:left w:val="single" w:sz="2" w:space="0" w:color="7F7F7F"/>
              <w:bottom w:val="single" w:sz="6" w:space="0" w:color="7F7F7F"/>
              <w:right w:val="single" w:sz="2" w:space="0" w:color="7F7F7F"/>
            </w:tcBorders>
            <w:shd w:val="clear" w:color="auto" w:fill="D9D9D9"/>
          </w:tcPr>
          <w:p w:rsidR="0065438A" w:rsidRPr="00463C62" w:rsidRDefault="0065438A" w:rsidP="00854067">
            <w:pPr>
              <w:pStyle w:val="Tabletext"/>
              <w:rPr>
                <w:rFonts w:asciiTheme="minorHAnsi" w:hAnsiTheme="minorHAnsi" w:cstheme="minorHAnsi"/>
                <w:b/>
                <w:sz w:val="18"/>
              </w:rPr>
            </w:pPr>
            <w:r w:rsidRPr="00463C62">
              <w:rPr>
                <w:rFonts w:asciiTheme="minorHAnsi" w:hAnsiTheme="minorHAnsi" w:cstheme="minorHAnsi"/>
                <w:b/>
                <w:sz w:val="18"/>
              </w:rPr>
              <w:t>Total Burden Hours</w:t>
            </w:r>
          </w:p>
        </w:tc>
        <w:tc>
          <w:tcPr>
            <w:tcW w:w="1213" w:type="pct"/>
            <w:tcBorders>
              <w:top w:val="single" w:sz="12" w:space="0" w:color="7F7F7F"/>
              <w:left w:val="single" w:sz="2" w:space="0" w:color="7F7F7F"/>
              <w:bottom w:val="single" w:sz="6" w:space="0" w:color="7F7F7F"/>
              <w:right w:val="single" w:sz="2" w:space="0" w:color="7F7F7F"/>
            </w:tcBorders>
            <w:shd w:val="clear" w:color="auto" w:fill="D9D9D9"/>
          </w:tcPr>
          <w:p w:rsidR="0065438A" w:rsidRPr="00463C62" w:rsidRDefault="0065438A" w:rsidP="00854067">
            <w:pPr>
              <w:pStyle w:val="Tabletext"/>
              <w:rPr>
                <w:rFonts w:asciiTheme="minorHAnsi" w:hAnsiTheme="minorHAnsi" w:cstheme="minorHAnsi"/>
                <w:b/>
                <w:sz w:val="18"/>
              </w:rPr>
            </w:pPr>
            <w:r w:rsidRPr="00463C62">
              <w:rPr>
                <w:rFonts w:asciiTheme="minorHAnsi" w:hAnsiTheme="minorHAnsi" w:cstheme="minorHAnsi"/>
                <w:b/>
                <w:sz w:val="18"/>
              </w:rPr>
              <w:t>Average Hourly Wage Rate* (in dollars)</w:t>
            </w:r>
          </w:p>
        </w:tc>
        <w:tc>
          <w:tcPr>
            <w:tcW w:w="1214" w:type="pct"/>
            <w:tcBorders>
              <w:top w:val="single" w:sz="12" w:space="0" w:color="7F7F7F"/>
              <w:left w:val="single" w:sz="2" w:space="0" w:color="7F7F7F"/>
              <w:bottom w:val="single" w:sz="6" w:space="0" w:color="7F7F7F"/>
              <w:right w:val="single" w:sz="2" w:space="0" w:color="7F7F7F"/>
            </w:tcBorders>
            <w:shd w:val="clear" w:color="auto" w:fill="D9D9D9"/>
          </w:tcPr>
          <w:p w:rsidR="0065438A" w:rsidRPr="00463C62" w:rsidRDefault="0065438A" w:rsidP="00854067">
            <w:pPr>
              <w:pStyle w:val="Tabletext"/>
              <w:rPr>
                <w:rFonts w:asciiTheme="minorHAnsi" w:hAnsiTheme="minorHAnsi" w:cstheme="minorHAnsi"/>
                <w:b/>
                <w:sz w:val="18"/>
              </w:rPr>
            </w:pPr>
            <w:r w:rsidRPr="00463C62">
              <w:rPr>
                <w:rFonts w:asciiTheme="minorHAnsi" w:hAnsiTheme="minorHAnsi" w:cstheme="minorHAnsi"/>
                <w:b/>
                <w:sz w:val="18"/>
              </w:rPr>
              <w:t>Total Respondent Cost</w:t>
            </w:r>
          </w:p>
        </w:tc>
      </w:tr>
      <w:tr w:rsidR="0065438A" w:rsidRPr="008D13F7">
        <w:trPr>
          <w:cantSplit/>
        </w:trPr>
        <w:tc>
          <w:tcPr>
            <w:tcW w:w="1360" w:type="pct"/>
            <w:tcBorders>
              <w:left w:val="single" w:sz="2" w:space="0" w:color="7F7F7F"/>
              <w:right w:val="single" w:sz="2" w:space="0" w:color="7F7F7F"/>
            </w:tcBorders>
          </w:tcPr>
          <w:p w:rsidR="0065438A" w:rsidRPr="009A508C" w:rsidRDefault="007A647D" w:rsidP="00FC123E">
            <w:pPr>
              <w:pStyle w:val="Tabletext"/>
              <w:rPr>
                <w:sz w:val="18"/>
              </w:rPr>
            </w:pPr>
            <w:r w:rsidRPr="009A508C">
              <w:rPr>
                <w:sz w:val="18"/>
              </w:rPr>
              <w:t>Wave</w:t>
            </w:r>
            <w:r w:rsidR="007A68B7" w:rsidRPr="009A508C">
              <w:rPr>
                <w:sz w:val="18"/>
              </w:rPr>
              <w:t xml:space="preserve"> 1 (201</w:t>
            </w:r>
            <w:r w:rsidR="00FC123E">
              <w:rPr>
                <w:sz w:val="18"/>
              </w:rPr>
              <w:t>3</w:t>
            </w:r>
            <w:r w:rsidR="007A68B7" w:rsidRPr="009A508C">
              <w:rPr>
                <w:sz w:val="18"/>
              </w:rPr>
              <w:t xml:space="preserve">) </w:t>
            </w:r>
            <w:r w:rsidR="0065438A" w:rsidRPr="009A508C">
              <w:rPr>
                <w:sz w:val="18"/>
              </w:rPr>
              <w:t>Survey</w:t>
            </w:r>
          </w:p>
        </w:tc>
        <w:tc>
          <w:tcPr>
            <w:tcW w:w="1213" w:type="pct"/>
            <w:tcBorders>
              <w:left w:val="single" w:sz="2" w:space="0" w:color="7F7F7F"/>
              <w:right w:val="single" w:sz="2" w:space="0" w:color="7F7F7F"/>
            </w:tcBorders>
          </w:tcPr>
          <w:p w:rsidR="0065438A" w:rsidRPr="009A508C" w:rsidRDefault="001A51F2" w:rsidP="00BB48F8">
            <w:pPr>
              <w:pStyle w:val="Tabletext"/>
              <w:rPr>
                <w:sz w:val="18"/>
              </w:rPr>
            </w:pPr>
            <w:r>
              <w:rPr>
                <w:sz w:val="18"/>
              </w:rPr>
              <w:t>1,</w:t>
            </w:r>
            <w:r w:rsidR="00BB48F8">
              <w:rPr>
                <w:sz w:val="18"/>
              </w:rPr>
              <w:t>570</w:t>
            </w:r>
          </w:p>
        </w:tc>
        <w:tc>
          <w:tcPr>
            <w:tcW w:w="1213" w:type="pct"/>
            <w:tcBorders>
              <w:left w:val="single" w:sz="2" w:space="0" w:color="7F7F7F"/>
              <w:right w:val="single" w:sz="2" w:space="0" w:color="7F7F7F"/>
            </w:tcBorders>
          </w:tcPr>
          <w:p w:rsidR="0065438A" w:rsidRPr="009A508C" w:rsidRDefault="0065438A" w:rsidP="00854067">
            <w:pPr>
              <w:pStyle w:val="Tabletext"/>
              <w:rPr>
                <w:sz w:val="18"/>
              </w:rPr>
            </w:pPr>
            <w:r w:rsidRPr="009A508C">
              <w:rPr>
                <w:sz w:val="18"/>
              </w:rPr>
              <w:t>$</w:t>
            </w:r>
            <w:r w:rsidR="00B91654" w:rsidRPr="009A508C">
              <w:rPr>
                <w:sz w:val="18"/>
              </w:rPr>
              <w:t>30.02</w:t>
            </w:r>
          </w:p>
        </w:tc>
        <w:tc>
          <w:tcPr>
            <w:tcW w:w="1214" w:type="pct"/>
            <w:tcBorders>
              <w:left w:val="single" w:sz="2" w:space="0" w:color="7F7F7F"/>
              <w:right w:val="single" w:sz="2" w:space="0" w:color="7F7F7F"/>
            </w:tcBorders>
          </w:tcPr>
          <w:p w:rsidR="0065438A" w:rsidRPr="009A508C" w:rsidRDefault="0065438A" w:rsidP="00BB48F8">
            <w:pPr>
              <w:pStyle w:val="Tabletext"/>
              <w:rPr>
                <w:sz w:val="18"/>
              </w:rPr>
            </w:pPr>
            <w:r w:rsidRPr="009A508C">
              <w:rPr>
                <w:sz w:val="18"/>
              </w:rPr>
              <w:t>$</w:t>
            </w:r>
            <w:r w:rsidR="00FC1653">
              <w:rPr>
                <w:sz w:val="18"/>
              </w:rPr>
              <w:t>4</w:t>
            </w:r>
            <w:r w:rsidR="00BB48F8">
              <w:rPr>
                <w:sz w:val="18"/>
              </w:rPr>
              <w:t>7,131</w:t>
            </w:r>
          </w:p>
        </w:tc>
      </w:tr>
    </w:tbl>
    <w:p w:rsidR="0065438A" w:rsidRDefault="0065438A" w:rsidP="00AF548F">
      <w:pPr>
        <w:jc w:val="both"/>
      </w:pPr>
      <w:r w:rsidRPr="00C23300">
        <w:t>*</w:t>
      </w:r>
      <w:r w:rsidRPr="007A68B7">
        <w:t xml:space="preserve">As of </w:t>
      </w:r>
      <w:r w:rsidR="00B91654" w:rsidRPr="007A68B7">
        <w:t xml:space="preserve">June </w:t>
      </w:r>
      <w:r w:rsidRPr="007A68B7">
        <w:t xml:space="preserve">2010, the average hourly earnings for </w:t>
      </w:r>
      <w:r w:rsidR="00B91654" w:rsidRPr="007A68B7">
        <w:t>the general public group</w:t>
      </w:r>
      <w:r w:rsidRPr="007A68B7">
        <w:t xml:space="preserve"> is $</w:t>
      </w:r>
      <w:r w:rsidR="00B91654" w:rsidRPr="007A68B7">
        <w:t>30.02</w:t>
      </w:r>
      <w:r w:rsidRPr="007A68B7">
        <w:t>. (</w:t>
      </w:r>
      <w:r w:rsidR="00B91654" w:rsidRPr="007A68B7">
        <w:t>U.S. Bureau of Labor Statistics, http://www.bls.gov/oes/current/oes_nat.htm, June 2010</w:t>
      </w:r>
      <w:r w:rsidRPr="007A68B7">
        <w:t>)</w:t>
      </w:r>
    </w:p>
    <w:p w:rsidR="0065438A" w:rsidRPr="00C23300" w:rsidRDefault="0065438A" w:rsidP="00854067">
      <w:pPr>
        <w:pStyle w:val="Heading2"/>
      </w:pPr>
      <w:bookmarkStart w:id="77" w:name="_Toc266256604"/>
      <w:bookmarkStart w:id="78" w:name="_Toc286057995"/>
      <w:bookmarkStart w:id="79" w:name="_Toc319314203"/>
      <w:r w:rsidRPr="00C23300">
        <w:t>Estimates of Annualized Respondent Capital and Maintenance Costs</w:t>
      </w:r>
      <w:bookmarkEnd w:id="75"/>
      <w:bookmarkEnd w:id="76"/>
      <w:bookmarkEnd w:id="77"/>
      <w:bookmarkEnd w:id="78"/>
      <w:bookmarkEnd w:id="79"/>
    </w:p>
    <w:p w:rsidR="0065438A" w:rsidRPr="00C23300" w:rsidRDefault="0065438A" w:rsidP="00AF548F">
      <w:pPr>
        <w:jc w:val="both"/>
      </w:pPr>
      <w:r w:rsidRPr="00C23300">
        <w:t xml:space="preserve">There are no capital or maintenance costs </w:t>
      </w:r>
      <w:r w:rsidR="007A68B7">
        <w:t>involved in collecting the information</w:t>
      </w:r>
      <w:r w:rsidRPr="00C23300">
        <w:t>.</w:t>
      </w:r>
      <w:r w:rsidR="007A68B7">
        <w:t xml:space="preserve">  Other than their time to complete the surveys, estimated in </w:t>
      </w:r>
      <w:r w:rsidR="005C698E">
        <w:t>Exhibit</w:t>
      </w:r>
      <w:r w:rsidR="007A68B7" w:rsidRPr="002E5F17">
        <w:t xml:space="preserve"> 3,</w:t>
      </w:r>
      <w:r w:rsidR="007A68B7">
        <w:t xml:space="preserve"> there are no direct monetary costs to respondents.  </w:t>
      </w:r>
    </w:p>
    <w:p w:rsidR="0065438A" w:rsidRPr="00C23300" w:rsidRDefault="0065438A" w:rsidP="00854067">
      <w:pPr>
        <w:pStyle w:val="Heading2"/>
      </w:pPr>
      <w:bookmarkStart w:id="80" w:name="_Toc58725299"/>
      <w:bookmarkStart w:id="81" w:name="_Toc151782189"/>
      <w:bookmarkStart w:id="82" w:name="_Toc158526229"/>
      <w:bookmarkStart w:id="83" w:name="_Toc266256605"/>
      <w:bookmarkStart w:id="84" w:name="_Toc286057996"/>
      <w:bookmarkStart w:id="85" w:name="_Toc319314204"/>
      <w:r w:rsidRPr="00C23300">
        <w:t>Annualized Cost to the Government</w:t>
      </w:r>
      <w:bookmarkEnd w:id="80"/>
      <w:bookmarkEnd w:id="81"/>
      <w:bookmarkEnd w:id="82"/>
      <w:bookmarkEnd w:id="83"/>
      <w:bookmarkEnd w:id="84"/>
      <w:bookmarkEnd w:id="85"/>
    </w:p>
    <w:p w:rsidR="005C1C56" w:rsidRDefault="00D90875" w:rsidP="00463C62">
      <w:pPr>
        <w:jc w:val="both"/>
      </w:pPr>
      <w:bookmarkStart w:id="86" w:name="_Toc151782190"/>
      <w:bookmarkStart w:id="87" w:name="_Toc158526230"/>
      <w:r>
        <w:t xml:space="preserve">Exhibit </w:t>
      </w:r>
      <w:r w:rsidR="00E773A1">
        <w:t>4</w:t>
      </w:r>
      <w:r w:rsidR="0047478C">
        <w:t xml:space="preserve"> </w:t>
      </w:r>
      <w:r w:rsidR="00BC33DD">
        <w:t xml:space="preserve">shows the estimated annualized cost to the government. </w:t>
      </w:r>
      <w:r w:rsidR="00BC33DD" w:rsidRPr="002E5F17">
        <w:t>The estimated total cost for</w:t>
      </w:r>
      <w:r w:rsidR="00BC33DD">
        <w:t xml:space="preserve"> </w:t>
      </w:r>
      <w:r w:rsidR="00806437">
        <w:t xml:space="preserve">all </w:t>
      </w:r>
      <w:r w:rsidR="00FC123E">
        <w:t xml:space="preserve">survey design, </w:t>
      </w:r>
      <w:r w:rsidR="00BC33DD">
        <w:t>data collection</w:t>
      </w:r>
      <w:r w:rsidR="00FC123E">
        <w:t xml:space="preserve">, data processing, tabulation, estimation and  analysis </w:t>
      </w:r>
      <w:r w:rsidR="007A68B7">
        <w:t xml:space="preserve">activities </w:t>
      </w:r>
      <w:r w:rsidR="00BC33DD" w:rsidRPr="00F37778">
        <w:t xml:space="preserve">is </w:t>
      </w:r>
      <w:r w:rsidR="00952D1C" w:rsidRPr="00F37778">
        <w:t>$</w:t>
      </w:r>
      <w:r w:rsidR="00F67083">
        <w:t>1.35</w:t>
      </w:r>
      <w:r w:rsidR="00806437">
        <w:t xml:space="preserve"> million</w:t>
      </w:r>
      <w:r w:rsidR="00BC33DD">
        <w:t xml:space="preserve">. </w:t>
      </w:r>
      <w:r w:rsidR="007A68B7">
        <w:t xml:space="preserve"> </w:t>
      </w:r>
      <w:r w:rsidR="00463C62">
        <w:rPr>
          <w:color w:val="000000"/>
        </w:rPr>
        <w:t xml:space="preserve"> </w:t>
      </w:r>
      <w:r w:rsidR="00BC33DD">
        <w:t xml:space="preserve">The </w:t>
      </w:r>
      <w:r w:rsidR="001E18AD" w:rsidRPr="001E18AD">
        <w:t>estimated annualized cost to the government</w:t>
      </w:r>
      <w:r w:rsidR="001E18AD" w:rsidRPr="001E18AD" w:rsidDel="001E18AD">
        <w:t xml:space="preserve"> </w:t>
      </w:r>
      <w:r w:rsidR="007A68B7">
        <w:t xml:space="preserve">is </w:t>
      </w:r>
      <w:r w:rsidR="00806437">
        <w:t>$6</w:t>
      </w:r>
      <w:r w:rsidR="00F67083">
        <w:t>75</w:t>
      </w:r>
      <w:r w:rsidR="00806437">
        <w:t>,000</w:t>
      </w:r>
      <w:r w:rsidR="00E01FCD">
        <w:t>.</w:t>
      </w:r>
    </w:p>
    <w:p w:rsidR="00D8379C" w:rsidRPr="00463C62" w:rsidRDefault="005C1C56" w:rsidP="00854067">
      <w:pPr>
        <w:pStyle w:val="ExhibitTitle"/>
        <w:rPr>
          <w:rFonts w:asciiTheme="minorHAnsi" w:hAnsiTheme="minorHAnsi" w:cstheme="minorHAnsi"/>
          <w:sz w:val="22"/>
          <w:szCs w:val="22"/>
        </w:rPr>
      </w:pPr>
      <w:r w:rsidRPr="00463C62">
        <w:rPr>
          <w:rFonts w:asciiTheme="minorHAnsi" w:hAnsiTheme="minorHAnsi" w:cstheme="minorHAnsi"/>
          <w:sz w:val="22"/>
          <w:szCs w:val="22"/>
        </w:rPr>
        <w:t xml:space="preserve"> </w:t>
      </w:r>
      <w:bookmarkStart w:id="88" w:name="_Toc266256606"/>
      <w:bookmarkStart w:id="89" w:name="_Toc286057997"/>
      <w:r w:rsidR="00630487">
        <w:rPr>
          <w:rFonts w:asciiTheme="minorHAnsi" w:hAnsiTheme="minorHAnsi" w:cstheme="minorHAnsi"/>
          <w:sz w:val="22"/>
          <w:szCs w:val="22"/>
        </w:rPr>
        <w:t xml:space="preserve">Exhibit </w:t>
      </w:r>
      <w:r w:rsidR="00E773A1">
        <w:rPr>
          <w:rFonts w:asciiTheme="minorHAnsi" w:hAnsiTheme="minorHAnsi" w:cstheme="minorHAnsi"/>
          <w:sz w:val="22"/>
          <w:szCs w:val="22"/>
        </w:rPr>
        <w:t>4</w:t>
      </w:r>
      <w:r w:rsidR="008013CB" w:rsidRPr="00463C62">
        <w:rPr>
          <w:rFonts w:asciiTheme="minorHAnsi" w:hAnsiTheme="minorHAnsi" w:cstheme="minorHAnsi"/>
          <w:sz w:val="22"/>
          <w:szCs w:val="22"/>
        </w:rPr>
        <w:t>. Estimated Annualized Cost to the Government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2C3E15">
        <w:tc>
          <w:tcPr>
            <w:tcW w:w="1250" w:type="pct"/>
            <w:tcBorders>
              <w:top w:val="single" w:sz="4" w:space="0" w:color="auto"/>
              <w:bottom w:val="single" w:sz="4" w:space="0" w:color="auto"/>
            </w:tcBorders>
            <w:shd w:val="clear" w:color="auto" w:fill="D9D9D9"/>
          </w:tcPr>
          <w:p w:rsidR="00D8379C" w:rsidRPr="009A508C" w:rsidRDefault="00D8379C" w:rsidP="00B01C85">
            <w:pPr>
              <w:pStyle w:val="Tabletext"/>
              <w:jc w:val="center"/>
              <w:rPr>
                <w:sz w:val="18"/>
                <w:szCs w:val="18"/>
              </w:rPr>
            </w:pPr>
          </w:p>
        </w:tc>
        <w:tc>
          <w:tcPr>
            <w:tcW w:w="1250" w:type="pct"/>
            <w:tcBorders>
              <w:top w:val="single" w:sz="4" w:space="0" w:color="auto"/>
              <w:bottom w:val="single" w:sz="4" w:space="0" w:color="auto"/>
            </w:tcBorders>
            <w:shd w:val="clear" w:color="auto" w:fill="D9D9D9"/>
          </w:tcPr>
          <w:p w:rsidR="00D8379C" w:rsidRPr="009A508C" w:rsidRDefault="00D8379C" w:rsidP="00B01C85">
            <w:pPr>
              <w:pStyle w:val="Tabletext"/>
              <w:jc w:val="center"/>
              <w:rPr>
                <w:sz w:val="18"/>
                <w:szCs w:val="18"/>
              </w:rPr>
            </w:pPr>
            <w:r w:rsidRPr="009A508C">
              <w:rPr>
                <w:sz w:val="18"/>
                <w:szCs w:val="18"/>
              </w:rPr>
              <w:t>(a)</w:t>
            </w:r>
          </w:p>
        </w:tc>
        <w:tc>
          <w:tcPr>
            <w:tcW w:w="1250" w:type="pct"/>
            <w:tcBorders>
              <w:top w:val="single" w:sz="4" w:space="0" w:color="auto"/>
              <w:bottom w:val="single" w:sz="4" w:space="0" w:color="auto"/>
            </w:tcBorders>
            <w:shd w:val="clear" w:color="auto" w:fill="D9D9D9"/>
          </w:tcPr>
          <w:p w:rsidR="00D8379C" w:rsidRPr="009A508C" w:rsidRDefault="00D8379C" w:rsidP="00B01C85">
            <w:pPr>
              <w:pStyle w:val="Tabletext"/>
              <w:jc w:val="center"/>
              <w:rPr>
                <w:sz w:val="18"/>
                <w:szCs w:val="18"/>
              </w:rPr>
            </w:pPr>
            <w:r w:rsidRPr="009A508C">
              <w:rPr>
                <w:sz w:val="18"/>
                <w:szCs w:val="18"/>
              </w:rPr>
              <w:t>(b)</w:t>
            </w:r>
          </w:p>
        </w:tc>
        <w:tc>
          <w:tcPr>
            <w:tcW w:w="1250" w:type="pct"/>
            <w:tcBorders>
              <w:top w:val="single" w:sz="4" w:space="0" w:color="auto"/>
              <w:bottom w:val="single" w:sz="4" w:space="0" w:color="auto"/>
            </w:tcBorders>
            <w:shd w:val="clear" w:color="auto" w:fill="D9D9D9"/>
          </w:tcPr>
          <w:p w:rsidR="00D8379C" w:rsidRPr="009A508C" w:rsidRDefault="00D8379C" w:rsidP="00B01C85">
            <w:pPr>
              <w:pStyle w:val="Tabletext"/>
              <w:jc w:val="center"/>
              <w:rPr>
                <w:sz w:val="18"/>
                <w:szCs w:val="18"/>
              </w:rPr>
            </w:pPr>
            <w:r w:rsidRPr="009A508C">
              <w:rPr>
                <w:sz w:val="18"/>
                <w:szCs w:val="18"/>
              </w:rPr>
              <w:t>(c) (a/b = c)</w:t>
            </w:r>
          </w:p>
        </w:tc>
      </w:tr>
      <w:tr w:rsidR="002C3E15">
        <w:tc>
          <w:tcPr>
            <w:tcW w:w="1250" w:type="pct"/>
            <w:tcBorders>
              <w:top w:val="single" w:sz="4" w:space="0" w:color="auto"/>
              <w:bottom w:val="single" w:sz="4" w:space="0" w:color="auto"/>
            </w:tcBorders>
          </w:tcPr>
          <w:p w:rsidR="00D8379C" w:rsidRPr="00B01C85" w:rsidRDefault="00D8379C" w:rsidP="00854067">
            <w:pPr>
              <w:rPr>
                <w:sz w:val="24"/>
                <w:szCs w:val="24"/>
              </w:rPr>
            </w:pPr>
          </w:p>
        </w:tc>
        <w:tc>
          <w:tcPr>
            <w:tcW w:w="1250" w:type="pct"/>
            <w:tcBorders>
              <w:top w:val="single" w:sz="4" w:space="0" w:color="auto"/>
              <w:bottom w:val="single" w:sz="4" w:space="0" w:color="auto"/>
            </w:tcBorders>
          </w:tcPr>
          <w:p w:rsidR="00D8379C" w:rsidRPr="009A508C" w:rsidRDefault="00D8379C" w:rsidP="00854067">
            <w:pPr>
              <w:pStyle w:val="Tabletext"/>
              <w:rPr>
                <w:b/>
                <w:sz w:val="18"/>
                <w:szCs w:val="18"/>
              </w:rPr>
            </w:pPr>
            <w:r w:rsidRPr="009A508C">
              <w:rPr>
                <w:rFonts w:cs="Calibri"/>
                <w:b/>
                <w:sz w:val="18"/>
              </w:rPr>
              <w:t>Total Government Cost</w:t>
            </w:r>
          </w:p>
        </w:tc>
        <w:tc>
          <w:tcPr>
            <w:tcW w:w="1250" w:type="pct"/>
            <w:tcBorders>
              <w:top w:val="single" w:sz="4" w:space="0" w:color="auto"/>
              <w:bottom w:val="single" w:sz="4" w:space="0" w:color="auto"/>
            </w:tcBorders>
          </w:tcPr>
          <w:p w:rsidR="00D8379C" w:rsidRPr="009A508C" w:rsidRDefault="00D8379C" w:rsidP="00854067">
            <w:pPr>
              <w:pStyle w:val="Tabletext"/>
              <w:rPr>
                <w:sz w:val="18"/>
                <w:szCs w:val="18"/>
              </w:rPr>
            </w:pPr>
            <w:r w:rsidRPr="009A508C">
              <w:rPr>
                <w:b/>
                <w:sz w:val="18"/>
                <w:szCs w:val="18"/>
              </w:rPr>
              <w:t>Total Number of Years</w:t>
            </w:r>
          </w:p>
        </w:tc>
        <w:tc>
          <w:tcPr>
            <w:tcW w:w="1250" w:type="pct"/>
            <w:tcBorders>
              <w:top w:val="single" w:sz="4" w:space="0" w:color="auto"/>
              <w:bottom w:val="single" w:sz="4" w:space="0" w:color="auto"/>
            </w:tcBorders>
          </w:tcPr>
          <w:p w:rsidR="00D8379C" w:rsidRPr="009A508C" w:rsidRDefault="00D8379C" w:rsidP="00854067">
            <w:pPr>
              <w:pStyle w:val="Tabletext"/>
              <w:rPr>
                <w:b/>
                <w:sz w:val="18"/>
                <w:szCs w:val="18"/>
              </w:rPr>
            </w:pPr>
            <w:r w:rsidRPr="009A508C">
              <w:rPr>
                <w:b/>
                <w:sz w:val="18"/>
                <w:szCs w:val="18"/>
              </w:rPr>
              <w:t>Total Estimated Annualized Cost to the Government</w:t>
            </w:r>
          </w:p>
        </w:tc>
      </w:tr>
      <w:tr w:rsidR="002C3E15">
        <w:tc>
          <w:tcPr>
            <w:tcW w:w="1250" w:type="pct"/>
            <w:tcBorders>
              <w:top w:val="single" w:sz="4" w:space="0" w:color="auto"/>
              <w:left w:val="single" w:sz="4" w:space="0" w:color="auto"/>
              <w:bottom w:val="single" w:sz="4" w:space="0" w:color="auto"/>
              <w:right w:val="single" w:sz="4" w:space="0" w:color="auto"/>
            </w:tcBorders>
          </w:tcPr>
          <w:p w:rsidR="00D8379C" w:rsidRPr="009A508C" w:rsidRDefault="00D8379C" w:rsidP="00854067">
            <w:pPr>
              <w:pStyle w:val="Tabletext"/>
              <w:rPr>
                <w:sz w:val="18"/>
                <w:szCs w:val="18"/>
              </w:rPr>
            </w:pPr>
            <w:r w:rsidRPr="009A508C">
              <w:rPr>
                <w:sz w:val="18"/>
                <w:szCs w:val="18"/>
              </w:rPr>
              <w:t>Totals</w:t>
            </w:r>
          </w:p>
        </w:tc>
        <w:tc>
          <w:tcPr>
            <w:tcW w:w="1250" w:type="pct"/>
            <w:tcBorders>
              <w:top w:val="single" w:sz="4" w:space="0" w:color="auto"/>
              <w:left w:val="single" w:sz="4" w:space="0" w:color="auto"/>
              <w:bottom w:val="single" w:sz="4" w:space="0" w:color="auto"/>
              <w:right w:val="single" w:sz="4" w:space="0" w:color="auto"/>
            </w:tcBorders>
          </w:tcPr>
          <w:p w:rsidR="00D8379C" w:rsidRPr="00806437" w:rsidRDefault="00806437" w:rsidP="00595665">
            <w:pPr>
              <w:pStyle w:val="Tabletext"/>
              <w:jc w:val="center"/>
              <w:rPr>
                <w:sz w:val="18"/>
                <w:szCs w:val="18"/>
              </w:rPr>
            </w:pPr>
            <w:r>
              <w:rPr>
                <w:sz w:val="18"/>
              </w:rPr>
              <w:t>$</w:t>
            </w:r>
            <w:r w:rsidR="00595665">
              <w:rPr>
                <w:sz w:val="18"/>
              </w:rPr>
              <w:t>1,35</w:t>
            </w:r>
            <w:r w:rsidR="002F69A3">
              <w:rPr>
                <w:sz w:val="18"/>
              </w:rPr>
              <w:t>0,000</w:t>
            </w:r>
          </w:p>
        </w:tc>
        <w:tc>
          <w:tcPr>
            <w:tcW w:w="1250" w:type="pct"/>
            <w:tcBorders>
              <w:top w:val="single" w:sz="4" w:space="0" w:color="auto"/>
              <w:left w:val="single" w:sz="4" w:space="0" w:color="auto"/>
              <w:bottom w:val="single" w:sz="4" w:space="0" w:color="auto"/>
              <w:right w:val="single" w:sz="4" w:space="0" w:color="auto"/>
            </w:tcBorders>
          </w:tcPr>
          <w:p w:rsidR="00D8379C" w:rsidRPr="009A508C" w:rsidRDefault="00952D1C" w:rsidP="00B01C85">
            <w:pPr>
              <w:pStyle w:val="Tabletext"/>
              <w:jc w:val="center"/>
              <w:rPr>
                <w:sz w:val="18"/>
                <w:szCs w:val="18"/>
              </w:rPr>
            </w:pPr>
            <w:r w:rsidRPr="009A508C">
              <w:rPr>
                <w:sz w:val="18"/>
                <w:szCs w:val="18"/>
              </w:rPr>
              <w:t>2</w:t>
            </w:r>
          </w:p>
        </w:tc>
        <w:tc>
          <w:tcPr>
            <w:tcW w:w="1250" w:type="pct"/>
            <w:tcBorders>
              <w:top w:val="single" w:sz="4" w:space="0" w:color="auto"/>
              <w:left w:val="single" w:sz="4" w:space="0" w:color="auto"/>
              <w:bottom w:val="single" w:sz="4" w:space="0" w:color="auto"/>
              <w:right w:val="single" w:sz="4" w:space="0" w:color="auto"/>
            </w:tcBorders>
          </w:tcPr>
          <w:p w:rsidR="00D8379C" w:rsidRPr="00806437" w:rsidRDefault="00806437" w:rsidP="00595665">
            <w:pPr>
              <w:pStyle w:val="Tabletext"/>
              <w:jc w:val="center"/>
              <w:rPr>
                <w:sz w:val="18"/>
                <w:szCs w:val="18"/>
              </w:rPr>
            </w:pPr>
            <w:r>
              <w:rPr>
                <w:sz w:val="18"/>
              </w:rPr>
              <w:t>$</w:t>
            </w:r>
            <w:r w:rsidR="00143BD8">
              <w:rPr>
                <w:sz w:val="18"/>
              </w:rPr>
              <w:t>6</w:t>
            </w:r>
            <w:r w:rsidR="00595665">
              <w:rPr>
                <w:sz w:val="18"/>
              </w:rPr>
              <w:t>75</w:t>
            </w:r>
            <w:r>
              <w:rPr>
                <w:sz w:val="18"/>
              </w:rPr>
              <w:t>,000</w:t>
            </w:r>
          </w:p>
        </w:tc>
      </w:tr>
    </w:tbl>
    <w:p w:rsidR="0065438A" w:rsidRPr="00C23300" w:rsidRDefault="0065438A" w:rsidP="00854067">
      <w:pPr>
        <w:pStyle w:val="Heading2"/>
      </w:pPr>
      <w:bookmarkStart w:id="90" w:name="_Toc319314205"/>
      <w:r w:rsidRPr="00C23300">
        <w:t>Explanation for Program Changes or Adjustments</w:t>
      </w:r>
      <w:bookmarkEnd w:id="86"/>
      <w:bookmarkEnd w:id="87"/>
      <w:bookmarkEnd w:id="88"/>
      <w:bookmarkEnd w:id="89"/>
      <w:bookmarkEnd w:id="90"/>
    </w:p>
    <w:p w:rsidR="0065438A" w:rsidRPr="00C23300" w:rsidRDefault="0056734A" w:rsidP="00AF548F">
      <w:pPr>
        <w:jc w:val="both"/>
      </w:pPr>
      <w:bookmarkStart w:id="91" w:name="_Toc151782191"/>
      <w:bookmarkStart w:id="92" w:name="_Toc158526231"/>
      <w:r>
        <w:t xml:space="preserve">No change is requested.  This submission to OMB is an initial request for approval for a </w:t>
      </w:r>
      <w:r w:rsidR="0065438A" w:rsidRPr="00C23300">
        <w:t>new collection of information.</w:t>
      </w:r>
    </w:p>
    <w:p w:rsidR="0065438A" w:rsidRPr="00C23300" w:rsidRDefault="0065438A" w:rsidP="00854067">
      <w:pPr>
        <w:pStyle w:val="Heading2"/>
      </w:pPr>
      <w:bookmarkStart w:id="93" w:name="_Toc266256607"/>
      <w:bookmarkStart w:id="94" w:name="_Toc286057998"/>
      <w:bookmarkStart w:id="95" w:name="_Toc319314206"/>
      <w:r w:rsidRPr="00C23300">
        <w:t>Time Schedule, Publication and Analysis Plans</w:t>
      </w:r>
      <w:bookmarkEnd w:id="91"/>
      <w:bookmarkEnd w:id="92"/>
      <w:bookmarkEnd w:id="93"/>
      <w:bookmarkEnd w:id="94"/>
      <w:bookmarkEnd w:id="95"/>
    </w:p>
    <w:p w:rsidR="00AE1721" w:rsidRPr="00796B70" w:rsidRDefault="001F2652" w:rsidP="00AF548F">
      <w:pPr>
        <w:pStyle w:val="BodyText"/>
        <w:spacing w:line="240" w:lineRule="auto"/>
        <w:jc w:val="both"/>
        <w:rPr>
          <w:sz w:val="22"/>
          <w:szCs w:val="22"/>
        </w:rPr>
      </w:pPr>
      <w:r w:rsidRPr="00796B70">
        <w:rPr>
          <w:rFonts w:ascii="Calibri" w:hAnsi="Calibri"/>
          <w:sz w:val="22"/>
          <w:szCs w:val="22"/>
        </w:rPr>
        <w:t xml:space="preserve">Survey data will be collected in the baseline year (Wave 1) and </w:t>
      </w:r>
      <w:r w:rsidR="00B61EF2" w:rsidRPr="00796B70">
        <w:rPr>
          <w:rFonts w:ascii="Calibri" w:hAnsi="Calibri"/>
          <w:sz w:val="22"/>
          <w:szCs w:val="22"/>
        </w:rPr>
        <w:t>follow-up</w:t>
      </w:r>
      <w:r w:rsidRPr="00796B70">
        <w:rPr>
          <w:rFonts w:ascii="Calibri" w:hAnsi="Calibri"/>
          <w:sz w:val="22"/>
          <w:szCs w:val="22"/>
        </w:rPr>
        <w:t xml:space="preserve"> (Wave 2) of the survey.  </w:t>
      </w:r>
      <w:r w:rsidR="00AE1721" w:rsidRPr="00796B70">
        <w:rPr>
          <w:rFonts w:ascii="Calibri" w:hAnsi="Calibri"/>
          <w:sz w:val="22"/>
          <w:szCs w:val="22"/>
        </w:rPr>
        <w:t xml:space="preserve">Analysis will begin shortly after </w:t>
      </w:r>
      <w:r w:rsidRPr="00796B70">
        <w:rPr>
          <w:rFonts w:ascii="Calibri" w:hAnsi="Calibri"/>
          <w:sz w:val="22"/>
          <w:szCs w:val="22"/>
        </w:rPr>
        <w:t xml:space="preserve">the Wave 1 </w:t>
      </w:r>
      <w:r w:rsidR="00AE1721" w:rsidRPr="00796B70">
        <w:rPr>
          <w:rFonts w:ascii="Calibri" w:hAnsi="Calibri"/>
          <w:sz w:val="22"/>
          <w:szCs w:val="22"/>
        </w:rPr>
        <w:t xml:space="preserve">data are collected from the </w:t>
      </w:r>
      <w:r w:rsidRPr="00796B70">
        <w:rPr>
          <w:rFonts w:ascii="Calibri" w:hAnsi="Calibri"/>
          <w:sz w:val="22"/>
          <w:szCs w:val="22"/>
        </w:rPr>
        <w:t xml:space="preserve">hardcopy </w:t>
      </w:r>
      <w:r w:rsidR="00AE1721" w:rsidRPr="00796B70">
        <w:rPr>
          <w:rFonts w:ascii="Calibri" w:hAnsi="Calibri"/>
          <w:sz w:val="22"/>
          <w:szCs w:val="22"/>
        </w:rPr>
        <w:t>surveys</w:t>
      </w:r>
      <w:r w:rsidRPr="00796B70">
        <w:rPr>
          <w:rFonts w:ascii="Calibri" w:hAnsi="Calibri"/>
          <w:sz w:val="22"/>
          <w:szCs w:val="22"/>
        </w:rPr>
        <w:t xml:space="preserve"> to produce a report.  An additional report will be produced following the completion of Wave 2 data collection.  </w:t>
      </w:r>
      <w:r w:rsidR="00AE1721" w:rsidRPr="00796B70">
        <w:rPr>
          <w:rFonts w:ascii="Calibri" w:hAnsi="Calibri"/>
          <w:sz w:val="22"/>
          <w:szCs w:val="22"/>
        </w:rPr>
        <w:t xml:space="preserve">Exhibit </w:t>
      </w:r>
      <w:r w:rsidR="00E773A1">
        <w:rPr>
          <w:rFonts w:ascii="Calibri" w:hAnsi="Calibri"/>
          <w:sz w:val="22"/>
          <w:szCs w:val="22"/>
        </w:rPr>
        <w:t>5</w:t>
      </w:r>
      <w:r w:rsidR="00AE1721" w:rsidRPr="00796B70">
        <w:rPr>
          <w:rFonts w:ascii="Calibri" w:hAnsi="Calibri"/>
          <w:sz w:val="22"/>
          <w:szCs w:val="22"/>
        </w:rPr>
        <w:t xml:space="preserve"> provides an estimated schedule </w:t>
      </w:r>
      <w:r w:rsidRPr="00796B70">
        <w:rPr>
          <w:rFonts w:ascii="Calibri" w:hAnsi="Calibri"/>
          <w:sz w:val="22"/>
          <w:szCs w:val="22"/>
        </w:rPr>
        <w:t>for</w:t>
      </w:r>
      <w:r w:rsidR="00AE1721" w:rsidRPr="00796B70">
        <w:rPr>
          <w:rFonts w:ascii="Calibri" w:hAnsi="Calibri"/>
          <w:sz w:val="22"/>
          <w:szCs w:val="22"/>
        </w:rPr>
        <w:t xml:space="preserve"> dat</w:t>
      </w:r>
      <w:r w:rsidRPr="00796B70">
        <w:rPr>
          <w:rFonts w:ascii="Calibri" w:hAnsi="Calibri"/>
          <w:sz w:val="22"/>
          <w:szCs w:val="22"/>
        </w:rPr>
        <w:t>a collection, analysis and publication for the two waves of the s</w:t>
      </w:r>
      <w:r w:rsidR="00AE1721" w:rsidRPr="00796B70">
        <w:rPr>
          <w:rFonts w:ascii="Calibri" w:hAnsi="Calibri"/>
          <w:sz w:val="22"/>
          <w:szCs w:val="22"/>
        </w:rPr>
        <w:t xml:space="preserve">urvey, </w:t>
      </w:r>
      <w:r w:rsidR="00B54ADF">
        <w:rPr>
          <w:rFonts w:ascii="Calibri" w:hAnsi="Calibri"/>
          <w:sz w:val="22"/>
          <w:szCs w:val="22"/>
        </w:rPr>
        <w:t xml:space="preserve">using a target </w:t>
      </w:r>
      <w:r w:rsidR="00AE1721" w:rsidRPr="00796B70">
        <w:rPr>
          <w:rFonts w:ascii="Calibri" w:hAnsi="Calibri"/>
          <w:sz w:val="22"/>
          <w:szCs w:val="22"/>
        </w:rPr>
        <w:t>OMB approval</w:t>
      </w:r>
      <w:r w:rsidR="00B54ADF">
        <w:rPr>
          <w:rFonts w:ascii="Calibri" w:hAnsi="Calibri"/>
          <w:sz w:val="22"/>
          <w:szCs w:val="22"/>
        </w:rPr>
        <w:t xml:space="preserve"> date of </w:t>
      </w:r>
      <w:r w:rsidR="00872870">
        <w:rPr>
          <w:rFonts w:ascii="Calibri" w:hAnsi="Calibri"/>
          <w:sz w:val="22"/>
          <w:szCs w:val="22"/>
        </w:rPr>
        <w:t>12/14/2012</w:t>
      </w:r>
      <w:r w:rsidR="00B54ADF">
        <w:rPr>
          <w:rFonts w:ascii="Calibri" w:hAnsi="Calibri"/>
          <w:sz w:val="22"/>
          <w:szCs w:val="22"/>
        </w:rPr>
        <w:t>.  If approval is received after that date, the timetable will shift accordingly</w:t>
      </w:r>
      <w:r w:rsidR="00AE1721" w:rsidRPr="00796B70">
        <w:rPr>
          <w:rFonts w:ascii="Calibri" w:hAnsi="Calibri"/>
          <w:sz w:val="22"/>
          <w:szCs w:val="22"/>
        </w:rPr>
        <w:t xml:space="preserve">. </w:t>
      </w:r>
    </w:p>
    <w:p w:rsidR="00AE1721" w:rsidRPr="00FC489A" w:rsidRDefault="00E773A1" w:rsidP="00854067">
      <w:pPr>
        <w:pStyle w:val="ExhibitTitle"/>
        <w:rPr>
          <w:rFonts w:asciiTheme="minorHAnsi" w:hAnsiTheme="minorHAnsi" w:cstheme="minorHAnsi"/>
          <w:sz w:val="22"/>
          <w:szCs w:val="22"/>
        </w:rPr>
      </w:pPr>
      <w:bookmarkStart w:id="96" w:name="_Toc267565272"/>
      <w:r>
        <w:rPr>
          <w:rFonts w:asciiTheme="minorHAnsi" w:hAnsiTheme="minorHAnsi" w:cstheme="minorHAnsi"/>
          <w:sz w:val="22"/>
          <w:szCs w:val="22"/>
        </w:rPr>
        <w:t>Exhibit 5</w:t>
      </w:r>
      <w:r w:rsidR="00AE1721" w:rsidRPr="00FC489A">
        <w:rPr>
          <w:rFonts w:asciiTheme="minorHAnsi" w:hAnsiTheme="minorHAnsi" w:cstheme="minorHAnsi"/>
          <w:sz w:val="22"/>
          <w:szCs w:val="22"/>
        </w:rPr>
        <w:t>: Timetable for Data Collection And Publication For Other Data Collection Efforts</w:t>
      </w:r>
      <w:bookmarkEnd w:id="96"/>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120"/>
        <w:gridCol w:w="3120"/>
      </w:tblGrid>
      <w:tr w:rsidR="00AE1721" w:rsidRPr="00AC0438">
        <w:trPr>
          <w:tblHeader/>
        </w:trPr>
        <w:tc>
          <w:tcPr>
            <w:tcW w:w="3012" w:type="dxa"/>
            <w:shd w:val="clear" w:color="auto" w:fill="D9D9D9"/>
          </w:tcPr>
          <w:p w:rsidR="00AE1721" w:rsidRPr="00463C62" w:rsidRDefault="00AE1721" w:rsidP="00854067">
            <w:pPr>
              <w:pStyle w:val="TableSubheadBlack"/>
              <w:rPr>
                <w:rFonts w:asciiTheme="minorHAnsi" w:hAnsiTheme="minorHAnsi" w:cstheme="minorHAnsi"/>
              </w:rPr>
            </w:pPr>
            <w:r w:rsidRPr="00463C62">
              <w:rPr>
                <w:rFonts w:asciiTheme="minorHAnsi" w:hAnsiTheme="minorHAnsi" w:cstheme="minorHAnsi"/>
              </w:rPr>
              <w:t>Activity</w:t>
            </w:r>
          </w:p>
        </w:tc>
        <w:tc>
          <w:tcPr>
            <w:tcW w:w="3120" w:type="dxa"/>
            <w:shd w:val="clear" w:color="auto" w:fill="D9D9D9"/>
          </w:tcPr>
          <w:p w:rsidR="00AE1721" w:rsidRPr="00463C62" w:rsidRDefault="00AE1721" w:rsidP="00854067">
            <w:pPr>
              <w:pStyle w:val="TableSubheadBlack"/>
              <w:rPr>
                <w:rFonts w:asciiTheme="minorHAnsi" w:hAnsiTheme="minorHAnsi" w:cstheme="minorHAnsi"/>
              </w:rPr>
            </w:pPr>
            <w:r w:rsidRPr="00463C62">
              <w:rPr>
                <w:rFonts w:asciiTheme="minorHAnsi" w:hAnsiTheme="minorHAnsi" w:cstheme="minorHAnsi"/>
              </w:rPr>
              <w:t>Estimated Start Date</w:t>
            </w:r>
          </w:p>
        </w:tc>
        <w:tc>
          <w:tcPr>
            <w:tcW w:w="3120" w:type="dxa"/>
            <w:shd w:val="clear" w:color="auto" w:fill="D9D9D9"/>
          </w:tcPr>
          <w:p w:rsidR="00AE1721" w:rsidRPr="00463C62" w:rsidRDefault="00AE1721" w:rsidP="00854067">
            <w:pPr>
              <w:pStyle w:val="TableSubheadBlack"/>
              <w:rPr>
                <w:rFonts w:asciiTheme="minorHAnsi" w:hAnsiTheme="minorHAnsi" w:cstheme="minorHAnsi"/>
              </w:rPr>
            </w:pPr>
            <w:r w:rsidRPr="00463C62">
              <w:rPr>
                <w:rFonts w:asciiTheme="minorHAnsi" w:hAnsiTheme="minorHAnsi" w:cstheme="minorHAnsi"/>
              </w:rPr>
              <w:t>Estimated End Date</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Wave 1 Data Collection (Baseline)</w:t>
            </w:r>
          </w:p>
        </w:tc>
        <w:tc>
          <w:tcPr>
            <w:tcW w:w="3120" w:type="dxa"/>
          </w:tcPr>
          <w:p w:rsidR="007B75E5" w:rsidRPr="00463C62" w:rsidRDefault="00B14CD6" w:rsidP="00854067">
            <w:pPr>
              <w:pStyle w:val="TableTextLeft"/>
              <w:rPr>
                <w:rFonts w:asciiTheme="minorHAnsi" w:hAnsiTheme="minorHAnsi" w:cstheme="minorHAnsi"/>
              </w:rPr>
            </w:pPr>
            <w:r>
              <w:rPr>
                <w:rFonts w:asciiTheme="minorHAnsi" w:hAnsiTheme="minorHAnsi" w:cstheme="minorHAnsi"/>
              </w:rPr>
              <w:t>1/16/2013</w:t>
            </w:r>
          </w:p>
        </w:tc>
        <w:tc>
          <w:tcPr>
            <w:tcW w:w="3120" w:type="dxa"/>
          </w:tcPr>
          <w:p w:rsidR="007B75E5" w:rsidRPr="00463C62" w:rsidDel="00B260B5" w:rsidRDefault="00B14CD6" w:rsidP="00854067">
            <w:pPr>
              <w:pStyle w:val="TableTextLeft"/>
              <w:rPr>
                <w:rFonts w:asciiTheme="minorHAnsi" w:hAnsiTheme="minorHAnsi" w:cstheme="minorHAnsi"/>
              </w:rPr>
            </w:pPr>
            <w:r>
              <w:rPr>
                <w:rFonts w:asciiTheme="minorHAnsi" w:hAnsiTheme="minorHAnsi" w:cstheme="minorHAnsi"/>
              </w:rPr>
              <w:t>5/3/2013</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Data Cleaning and QA</w:t>
            </w:r>
          </w:p>
        </w:tc>
        <w:tc>
          <w:tcPr>
            <w:tcW w:w="3120" w:type="dxa"/>
          </w:tcPr>
          <w:p w:rsidR="007B75E5" w:rsidRPr="00463C62" w:rsidRDefault="00B14CD6" w:rsidP="00854067">
            <w:pPr>
              <w:pStyle w:val="TableTextLeft"/>
              <w:rPr>
                <w:rFonts w:asciiTheme="minorHAnsi" w:hAnsiTheme="minorHAnsi" w:cstheme="minorHAnsi"/>
              </w:rPr>
            </w:pPr>
            <w:r>
              <w:rPr>
                <w:rFonts w:asciiTheme="minorHAnsi" w:hAnsiTheme="minorHAnsi" w:cstheme="minorHAnsi"/>
              </w:rPr>
              <w:t>5/4/2013</w:t>
            </w:r>
          </w:p>
        </w:tc>
        <w:tc>
          <w:tcPr>
            <w:tcW w:w="3120" w:type="dxa"/>
          </w:tcPr>
          <w:p w:rsidR="007B75E5" w:rsidRPr="00463C62" w:rsidRDefault="00B14CD6" w:rsidP="00854067">
            <w:pPr>
              <w:pStyle w:val="TableTextLeft"/>
              <w:rPr>
                <w:rFonts w:asciiTheme="minorHAnsi" w:hAnsiTheme="minorHAnsi" w:cstheme="minorHAnsi"/>
              </w:rPr>
            </w:pPr>
            <w:r>
              <w:rPr>
                <w:rFonts w:asciiTheme="minorHAnsi" w:hAnsiTheme="minorHAnsi" w:cstheme="minorHAnsi"/>
              </w:rPr>
              <w:t>6/6/2013</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Analysis of Wave 1 Data</w:t>
            </w:r>
          </w:p>
        </w:tc>
        <w:tc>
          <w:tcPr>
            <w:tcW w:w="3120" w:type="dxa"/>
          </w:tcPr>
          <w:p w:rsidR="007B75E5" w:rsidRPr="00463C62" w:rsidRDefault="00B14CD6" w:rsidP="00B260B5">
            <w:pPr>
              <w:pStyle w:val="TableTextLeft"/>
              <w:rPr>
                <w:rFonts w:asciiTheme="minorHAnsi" w:hAnsiTheme="minorHAnsi" w:cstheme="minorHAnsi"/>
              </w:rPr>
            </w:pPr>
            <w:r>
              <w:rPr>
                <w:rFonts w:asciiTheme="minorHAnsi" w:hAnsiTheme="minorHAnsi" w:cstheme="minorHAnsi"/>
              </w:rPr>
              <w:t>6/9/2013</w:t>
            </w:r>
          </w:p>
        </w:tc>
        <w:tc>
          <w:tcPr>
            <w:tcW w:w="3120" w:type="dxa"/>
          </w:tcPr>
          <w:p w:rsidR="007B75E5" w:rsidRPr="00463C62" w:rsidRDefault="00B14CD6" w:rsidP="00854067">
            <w:pPr>
              <w:pStyle w:val="TableTextLeft"/>
              <w:rPr>
                <w:rFonts w:asciiTheme="minorHAnsi" w:hAnsiTheme="minorHAnsi" w:cstheme="minorHAnsi"/>
              </w:rPr>
            </w:pPr>
            <w:r>
              <w:rPr>
                <w:rFonts w:asciiTheme="minorHAnsi" w:hAnsiTheme="minorHAnsi" w:cstheme="minorHAnsi"/>
              </w:rPr>
              <w:t>7/8/2013</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Development of report for Wave 1 Data</w:t>
            </w:r>
          </w:p>
        </w:tc>
        <w:tc>
          <w:tcPr>
            <w:tcW w:w="3120" w:type="dxa"/>
          </w:tcPr>
          <w:p w:rsidR="007B75E5" w:rsidRPr="00463C62" w:rsidRDefault="00B14CD6" w:rsidP="00854067">
            <w:pPr>
              <w:pStyle w:val="TableTextLeft"/>
              <w:rPr>
                <w:rFonts w:asciiTheme="minorHAnsi" w:hAnsiTheme="minorHAnsi" w:cstheme="minorHAnsi"/>
              </w:rPr>
            </w:pPr>
            <w:r>
              <w:rPr>
                <w:rFonts w:asciiTheme="minorHAnsi" w:hAnsiTheme="minorHAnsi" w:cstheme="minorHAnsi"/>
              </w:rPr>
              <w:t>7/11/2013</w:t>
            </w:r>
          </w:p>
        </w:tc>
        <w:tc>
          <w:tcPr>
            <w:tcW w:w="3120" w:type="dxa"/>
          </w:tcPr>
          <w:p w:rsidR="007B75E5" w:rsidRPr="00463C62" w:rsidRDefault="00B14CD6" w:rsidP="00854067">
            <w:pPr>
              <w:pStyle w:val="TableTextLeft"/>
              <w:rPr>
                <w:rFonts w:asciiTheme="minorHAnsi" w:hAnsiTheme="minorHAnsi" w:cstheme="minorHAnsi"/>
              </w:rPr>
            </w:pPr>
            <w:r>
              <w:rPr>
                <w:rFonts w:asciiTheme="minorHAnsi" w:hAnsiTheme="minorHAnsi" w:cstheme="minorHAnsi"/>
              </w:rPr>
              <w:t>8/5/2013</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Wave 2 Data Collection (Follow-Up)</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1/6/2014</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4/18/2014</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Data Cleaning and QA</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4/21/2014</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5/16/2014</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Analysis of Wave 2 Data</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5/17/2014</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6/3/2014</w:t>
            </w:r>
          </w:p>
        </w:tc>
      </w:tr>
      <w:tr w:rsidR="007B75E5" w:rsidRPr="00AC0438">
        <w:tc>
          <w:tcPr>
            <w:tcW w:w="3012"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Development of report for Wave 2 Data</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6/6/2014</w:t>
            </w:r>
          </w:p>
        </w:tc>
        <w:tc>
          <w:tcPr>
            <w:tcW w:w="3120" w:type="dxa"/>
          </w:tcPr>
          <w:p w:rsidR="007B75E5" w:rsidRPr="00463C62" w:rsidRDefault="007B75E5" w:rsidP="00854067">
            <w:pPr>
              <w:pStyle w:val="TableTextLeft"/>
              <w:rPr>
                <w:rFonts w:asciiTheme="minorHAnsi" w:hAnsiTheme="minorHAnsi" w:cstheme="minorHAnsi"/>
              </w:rPr>
            </w:pPr>
            <w:r w:rsidRPr="00463C62">
              <w:rPr>
                <w:rFonts w:asciiTheme="minorHAnsi" w:hAnsiTheme="minorHAnsi" w:cstheme="minorHAnsi"/>
              </w:rPr>
              <w:t>6/27/2014</w:t>
            </w:r>
          </w:p>
        </w:tc>
      </w:tr>
    </w:tbl>
    <w:p w:rsidR="003B19C5" w:rsidRDefault="003B19C5" w:rsidP="00073C22">
      <w:pPr>
        <w:jc w:val="both"/>
      </w:pPr>
      <w:bookmarkStart w:id="97" w:name="_Toc151782196"/>
      <w:bookmarkStart w:id="98" w:name="_Toc158526232"/>
      <w:bookmarkStart w:id="99" w:name="_Toc266256608"/>
      <w:bookmarkStart w:id="100" w:name="_Toc286057999"/>
      <w:r>
        <w:t>Analysis of the Wave 1 data will entail two tracks</w:t>
      </w:r>
      <w:r w:rsidRPr="00C23300">
        <w:t>.</w:t>
      </w:r>
      <w:r>
        <w:t xml:space="preserve">  First, univariate statistics will be generated and examined </w:t>
      </w:r>
      <w:r w:rsidR="00B54ADF">
        <w:t xml:space="preserve">at the national level as well as </w:t>
      </w:r>
      <w:r>
        <w:t xml:space="preserve">for each state and </w:t>
      </w:r>
      <w:r w:rsidR="00F247CE">
        <w:t xml:space="preserve">laboratory </w:t>
      </w:r>
      <w:r>
        <w:t>category</w:t>
      </w:r>
      <w:r w:rsidR="00B54ADF">
        <w:t>.  They will include t</w:t>
      </w:r>
      <w:r w:rsidR="004B5514">
        <w:t>wo</w:t>
      </w:r>
      <w:r w:rsidR="00B54ADF">
        <w:t xml:space="preserve"> </w:t>
      </w:r>
      <w:r>
        <w:t>key measures of interest identified earlier:</w:t>
      </w:r>
    </w:p>
    <w:p w:rsidR="00463C62" w:rsidRPr="00463C62" w:rsidRDefault="003B19C5" w:rsidP="00B60C9C">
      <w:pPr>
        <w:pStyle w:val="ListParagraph"/>
        <w:numPr>
          <w:ilvl w:val="0"/>
          <w:numId w:val="16"/>
        </w:numPr>
        <w:spacing w:before="0" w:after="200"/>
        <w:jc w:val="both"/>
      </w:pPr>
      <w:r w:rsidRPr="00B60C9C">
        <w:rPr>
          <w:rFonts w:cs="Calibri"/>
        </w:rPr>
        <w:t>Estimated percentage of laboratory facilities within each state that are able to send structured laboratory results electronically</w:t>
      </w:r>
      <w:r w:rsidR="00B60C9C" w:rsidRPr="00B60C9C">
        <w:rPr>
          <w:rFonts w:cs="Calibri"/>
        </w:rPr>
        <w:t xml:space="preserve"> to </w:t>
      </w:r>
      <w:r w:rsidR="004B5514">
        <w:rPr>
          <w:rFonts w:cs="Calibri"/>
        </w:rPr>
        <w:t xml:space="preserve">ordering </w:t>
      </w:r>
      <w:r w:rsidR="00944E39">
        <w:rPr>
          <w:rFonts w:cs="Calibri"/>
        </w:rPr>
        <w:t>providers</w:t>
      </w:r>
      <w:r w:rsidRPr="00B60C9C">
        <w:rPr>
          <w:rFonts w:cs="Calibri"/>
        </w:rPr>
        <w:t xml:space="preserve">, overall and separately for </w:t>
      </w:r>
      <w:r w:rsidR="005B4E11">
        <w:rPr>
          <w:rFonts w:cs="Calibri"/>
        </w:rPr>
        <w:t>h</w:t>
      </w:r>
      <w:r w:rsidR="005B4E11" w:rsidRPr="00B60C9C">
        <w:rPr>
          <w:rFonts w:cs="Calibri"/>
        </w:rPr>
        <w:t xml:space="preserve">ospitals </w:t>
      </w:r>
      <w:r w:rsidRPr="00B60C9C">
        <w:rPr>
          <w:rFonts w:cs="Calibri"/>
        </w:rPr>
        <w:t xml:space="preserve">and </w:t>
      </w:r>
      <w:r w:rsidR="005B4E11">
        <w:rPr>
          <w:rFonts w:cs="Calibri"/>
        </w:rPr>
        <w:t>i</w:t>
      </w:r>
      <w:r w:rsidR="005B4E11" w:rsidRPr="00B60C9C">
        <w:rPr>
          <w:rFonts w:cs="Calibri"/>
        </w:rPr>
        <w:t xml:space="preserve">ndependent </w:t>
      </w:r>
      <w:r w:rsidR="005B4E11">
        <w:rPr>
          <w:rFonts w:cs="Calibri"/>
        </w:rPr>
        <w:t>l</w:t>
      </w:r>
      <w:r w:rsidR="005B4E11" w:rsidRPr="00B60C9C">
        <w:rPr>
          <w:rFonts w:cs="Calibri"/>
        </w:rPr>
        <w:t>aboratories</w:t>
      </w:r>
      <w:r w:rsidRPr="00B60C9C">
        <w:rPr>
          <w:rFonts w:cs="Calibri"/>
        </w:rPr>
        <w:t>. Estimated percentage of laboratory facilities nationally that are able to send structured laboratory results electronically</w:t>
      </w:r>
      <w:r w:rsidR="00B60C9C" w:rsidRPr="00B60C9C">
        <w:rPr>
          <w:rFonts w:cs="Calibri"/>
        </w:rPr>
        <w:t xml:space="preserve"> to</w:t>
      </w:r>
      <w:r w:rsidR="0069157D">
        <w:rPr>
          <w:rFonts w:cs="Calibri"/>
        </w:rPr>
        <w:t xml:space="preserve"> </w:t>
      </w:r>
      <w:r w:rsidR="004B5514">
        <w:rPr>
          <w:rFonts w:cs="Calibri"/>
        </w:rPr>
        <w:t>ordering</w:t>
      </w:r>
      <w:r w:rsidR="00944E39">
        <w:rPr>
          <w:rFonts w:cs="Calibri"/>
        </w:rPr>
        <w:t xml:space="preserve"> providers</w:t>
      </w:r>
      <w:r w:rsidRPr="00B60C9C">
        <w:rPr>
          <w:rFonts w:cs="Calibri"/>
        </w:rPr>
        <w:t>, overall and separately for</w:t>
      </w:r>
      <w:r w:rsidR="00B60C9C">
        <w:rPr>
          <w:rFonts w:cs="Calibri"/>
        </w:rPr>
        <w:t xml:space="preserve"> </w:t>
      </w:r>
      <w:r w:rsidR="005B4E11">
        <w:rPr>
          <w:rFonts w:cs="Calibri"/>
        </w:rPr>
        <w:t xml:space="preserve">hospitals </w:t>
      </w:r>
      <w:r w:rsidR="00B60C9C">
        <w:rPr>
          <w:rFonts w:cs="Calibri"/>
        </w:rPr>
        <w:t xml:space="preserve">and </w:t>
      </w:r>
      <w:r w:rsidR="005B4E11">
        <w:rPr>
          <w:rFonts w:cs="Calibri"/>
        </w:rPr>
        <w:t>independent laboratories</w:t>
      </w:r>
      <w:r w:rsidR="00B60C9C">
        <w:rPr>
          <w:rFonts w:cs="Calibri"/>
        </w:rPr>
        <w:t xml:space="preserve">.  Confidence intervals at the 95% confidence level for estimated percentages will also be provided. </w:t>
      </w:r>
    </w:p>
    <w:p w:rsidR="00B60C9C" w:rsidRDefault="003B19C5" w:rsidP="00073C22">
      <w:pPr>
        <w:pStyle w:val="ListParagraph"/>
        <w:numPr>
          <w:ilvl w:val="0"/>
          <w:numId w:val="16"/>
        </w:numPr>
        <w:spacing w:before="0" w:after="200"/>
        <w:jc w:val="both"/>
      </w:pPr>
      <w:r w:rsidRPr="00463C62">
        <w:rPr>
          <w:rFonts w:cs="Calibri"/>
        </w:rPr>
        <w:t xml:space="preserve">Estimated percentage of </w:t>
      </w:r>
      <w:r w:rsidR="00F247CE">
        <w:rPr>
          <w:rFonts w:cs="Calibri"/>
        </w:rPr>
        <w:t xml:space="preserve">laboratory </w:t>
      </w:r>
      <w:r w:rsidRPr="00463C62">
        <w:rPr>
          <w:rFonts w:cs="Calibri"/>
        </w:rPr>
        <w:t>results within each state that are currently being sent electronically</w:t>
      </w:r>
      <w:r w:rsidR="004B5514">
        <w:rPr>
          <w:rFonts w:cs="Calibri"/>
        </w:rPr>
        <w:t xml:space="preserve"> in coded format to ordering </w:t>
      </w:r>
      <w:r w:rsidR="00944E39">
        <w:rPr>
          <w:rFonts w:cs="Calibri"/>
        </w:rPr>
        <w:t>providers</w:t>
      </w:r>
      <w:r w:rsidRPr="00463C62">
        <w:rPr>
          <w:rFonts w:cs="Calibri"/>
        </w:rPr>
        <w:t xml:space="preserve">, overall and separately for </w:t>
      </w:r>
      <w:r w:rsidR="005B4E11">
        <w:rPr>
          <w:rFonts w:cs="Calibri"/>
        </w:rPr>
        <w:t>h</w:t>
      </w:r>
      <w:r w:rsidR="005B4E11" w:rsidRPr="00463C62">
        <w:rPr>
          <w:rFonts w:cs="Calibri"/>
        </w:rPr>
        <w:t xml:space="preserve">ospitals </w:t>
      </w:r>
      <w:r w:rsidRPr="00463C62">
        <w:rPr>
          <w:rFonts w:cs="Calibri"/>
        </w:rPr>
        <w:t xml:space="preserve">and </w:t>
      </w:r>
      <w:r w:rsidR="005B4E11">
        <w:rPr>
          <w:rFonts w:cs="Calibri"/>
        </w:rPr>
        <w:t>i</w:t>
      </w:r>
      <w:r w:rsidR="005B4E11" w:rsidRPr="00463C62">
        <w:rPr>
          <w:rFonts w:cs="Calibri"/>
        </w:rPr>
        <w:t xml:space="preserve">ndependent </w:t>
      </w:r>
      <w:r w:rsidR="005B4E11">
        <w:rPr>
          <w:rFonts w:cs="Calibri"/>
        </w:rPr>
        <w:t>l</w:t>
      </w:r>
      <w:r w:rsidR="005B4E11" w:rsidRPr="00463C62">
        <w:rPr>
          <w:rFonts w:cs="Calibri"/>
        </w:rPr>
        <w:t>aboratories</w:t>
      </w:r>
      <w:r w:rsidRPr="00463C62">
        <w:rPr>
          <w:rFonts w:cs="Calibri"/>
        </w:rPr>
        <w:t xml:space="preserve">. Estimated percentage of </w:t>
      </w:r>
      <w:r w:rsidR="00F247CE">
        <w:rPr>
          <w:rFonts w:cs="Calibri"/>
        </w:rPr>
        <w:t xml:space="preserve">laboratory </w:t>
      </w:r>
      <w:r w:rsidRPr="00463C62">
        <w:rPr>
          <w:rFonts w:cs="Calibri"/>
        </w:rPr>
        <w:t>results nationally that are currently being sent electronically</w:t>
      </w:r>
      <w:r w:rsidR="004B5514">
        <w:rPr>
          <w:rFonts w:cs="Calibri"/>
        </w:rPr>
        <w:t xml:space="preserve"> in coded format to ordering </w:t>
      </w:r>
      <w:r w:rsidR="00944E39">
        <w:rPr>
          <w:rFonts w:cs="Calibri"/>
        </w:rPr>
        <w:t>providers</w:t>
      </w:r>
      <w:r w:rsidRPr="00463C62">
        <w:rPr>
          <w:rFonts w:cs="Calibri"/>
        </w:rPr>
        <w:t xml:space="preserve">, overall and separately for, </w:t>
      </w:r>
      <w:r w:rsidR="005B4E11">
        <w:rPr>
          <w:rFonts w:cs="Calibri"/>
        </w:rPr>
        <w:t>h</w:t>
      </w:r>
      <w:r w:rsidR="005B4E11" w:rsidRPr="00463C62">
        <w:rPr>
          <w:rFonts w:cs="Calibri"/>
        </w:rPr>
        <w:t xml:space="preserve">ospitals </w:t>
      </w:r>
      <w:r w:rsidR="00183223" w:rsidRPr="00463C62">
        <w:rPr>
          <w:rFonts w:cs="Calibri"/>
        </w:rPr>
        <w:t>and</w:t>
      </w:r>
      <w:r w:rsidRPr="00463C62">
        <w:rPr>
          <w:rFonts w:cs="Calibri"/>
        </w:rPr>
        <w:t xml:space="preserve"> </w:t>
      </w:r>
      <w:r w:rsidR="005B4E11">
        <w:rPr>
          <w:rFonts w:cs="Calibri"/>
        </w:rPr>
        <w:t>i</w:t>
      </w:r>
      <w:r w:rsidR="005B4E11" w:rsidRPr="00463C62">
        <w:rPr>
          <w:rFonts w:cs="Calibri"/>
        </w:rPr>
        <w:t xml:space="preserve">ndependent </w:t>
      </w:r>
      <w:r w:rsidR="005B4E11">
        <w:rPr>
          <w:rFonts w:cs="Calibri"/>
        </w:rPr>
        <w:t>l</w:t>
      </w:r>
      <w:r w:rsidR="005B4E11" w:rsidRPr="00463C62">
        <w:rPr>
          <w:rFonts w:cs="Calibri"/>
        </w:rPr>
        <w:t>aboratories</w:t>
      </w:r>
      <w:r w:rsidRPr="00463C62">
        <w:rPr>
          <w:rFonts w:cs="Calibri"/>
        </w:rPr>
        <w:t>.  Confidence intervals at the 95% confidence level for estimated percentages will also be provided.</w:t>
      </w:r>
      <w:r w:rsidR="00B60C9C" w:rsidRPr="00463C62" w:rsidDel="00B60C9C">
        <w:rPr>
          <w:rFonts w:cs="Calibri"/>
        </w:rPr>
        <w:t xml:space="preserve"> </w:t>
      </w:r>
    </w:p>
    <w:p w:rsidR="003B19C5" w:rsidRDefault="00257C62" w:rsidP="00B60C9C">
      <w:pPr>
        <w:pStyle w:val="ListParagraph"/>
        <w:numPr>
          <w:ilvl w:val="0"/>
          <w:numId w:val="16"/>
        </w:numPr>
        <w:jc w:val="both"/>
      </w:pPr>
      <w:r>
        <w:t>Estimated percentages and confidence intervals at the 95% confidence level will also be derived for other data elements collected from the survey instrument.</w:t>
      </w:r>
    </w:p>
    <w:p w:rsidR="00257C62" w:rsidRDefault="004F6711" w:rsidP="00073C22">
      <w:pPr>
        <w:jc w:val="both"/>
      </w:pPr>
      <w:r>
        <w:t xml:space="preserve">Analysis of the primary </w:t>
      </w:r>
      <w:r w:rsidR="00B470FC">
        <w:t xml:space="preserve">survey </w:t>
      </w:r>
      <w:r>
        <w:t>measures will entail both</w:t>
      </w:r>
      <w:r w:rsidR="004A6CB3">
        <w:t xml:space="preserve"> cluster </w:t>
      </w:r>
      <w:r w:rsidR="00B54ADF">
        <w:t>analysis and</w:t>
      </w:r>
      <w:r>
        <w:t xml:space="preserve"> discriminant analysis</w:t>
      </w:r>
      <w:r w:rsidR="004A6CB3">
        <w:t>.</w:t>
      </w:r>
      <w:r>
        <w:t xml:space="preserve">  One area of interest will be classification of states in terms of high, medium, and low information exchange capability and utilization, for which cluster analysis will be applied in an attempt to establish </w:t>
      </w:r>
      <w:r w:rsidR="00B470FC">
        <w:t>state groupings.  A second area of interest will be determinants of information exchange capability and utilization, for which discriminant analysis will be applied to assess the multiple variables associated with laboratories, both from the CLIA database and from the survey, and identify that subset of predictor variables.</w:t>
      </w:r>
    </w:p>
    <w:p w:rsidR="00257C62" w:rsidRDefault="00257C62" w:rsidP="00073C22">
      <w:pPr>
        <w:jc w:val="both"/>
      </w:pPr>
      <w:r>
        <w:t>Analysis of the Wave 2 data will entail the same tracks as those in Wave 2, with additional analyses intended to asse</w:t>
      </w:r>
      <w:r w:rsidR="004A6CB3">
        <w:t>s</w:t>
      </w:r>
      <w:r>
        <w:t>s change between Waves 1 and 2</w:t>
      </w:r>
      <w:r w:rsidRPr="00C23300">
        <w:t>.</w:t>
      </w:r>
      <w:r>
        <w:t xml:space="preserve">  First,</w:t>
      </w:r>
      <w:r w:rsidR="004A6CB3">
        <w:t xml:space="preserve"> comparisons between Wave 1 and 2 will be made </w:t>
      </w:r>
      <w:r w:rsidR="00CD768C">
        <w:t>based on</w:t>
      </w:r>
      <w:r w:rsidR="004A6CB3">
        <w:t xml:space="preserve"> the full sample from each Wave.  Such comparisons will provide an indication of the overall change in percentages for each population (e.g., state x category, national for each category, state).  Second</w:t>
      </w:r>
      <w:r w:rsidR="00B470FC">
        <w:t>,</w:t>
      </w:r>
      <w:r w:rsidR="004A6CB3">
        <w:t xml:space="preserve"> comparisons of results for consistent reporters (i.e., </w:t>
      </w:r>
      <w:r w:rsidR="00F247CE">
        <w:t>laboratories</w:t>
      </w:r>
      <w:r w:rsidR="004A6CB3">
        <w:t xml:space="preserve"> reporting in both Waves 1 and 2) will be carried out to understand the nature </w:t>
      </w:r>
      <w:r w:rsidR="00B470FC">
        <w:t xml:space="preserve">and determinants </w:t>
      </w:r>
      <w:r w:rsidR="004A6CB3">
        <w:t>of the changes occurring between Waves 1 and 2.  Such analyses can leverage the full set of information reported in both Waves 1 and 2 to develop measures of change.</w:t>
      </w:r>
    </w:p>
    <w:p w:rsidR="0065438A" w:rsidRPr="00C23300" w:rsidRDefault="0065438A" w:rsidP="00854067">
      <w:pPr>
        <w:pStyle w:val="Heading2"/>
      </w:pPr>
      <w:bookmarkStart w:id="101" w:name="_Toc319314207"/>
      <w:r w:rsidRPr="00AC0438">
        <w:t>Reason(s) Display</w:t>
      </w:r>
      <w:r w:rsidRPr="00C23300">
        <w:t xml:space="preserve"> of OMB Expiration Date is Inappropriate</w:t>
      </w:r>
      <w:bookmarkEnd w:id="97"/>
      <w:bookmarkEnd w:id="98"/>
      <w:bookmarkEnd w:id="99"/>
      <w:bookmarkEnd w:id="100"/>
      <w:bookmarkEnd w:id="101"/>
    </w:p>
    <w:p w:rsidR="0065438A" w:rsidRDefault="0065438A" w:rsidP="00854067">
      <w:r w:rsidRPr="00C23300">
        <w:t>ONC does not seek this exemption.</w:t>
      </w:r>
    </w:p>
    <w:p w:rsidR="00411AF9" w:rsidRPr="00C076CD" w:rsidRDefault="00411AF9" w:rsidP="00854067">
      <w:pPr>
        <w:pStyle w:val="Heading2"/>
      </w:pPr>
      <w:bookmarkStart w:id="102" w:name="_Toc267041922"/>
      <w:bookmarkStart w:id="103" w:name="_Toc275873254"/>
      <w:bookmarkStart w:id="104" w:name="_Toc319314208"/>
      <w:r w:rsidRPr="00C076CD">
        <w:t>Certifications</w:t>
      </w:r>
      <w:bookmarkEnd w:id="102"/>
      <w:bookmarkEnd w:id="103"/>
      <w:bookmarkEnd w:id="104"/>
    </w:p>
    <w:p w:rsidR="00411AF9" w:rsidRDefault="00411AF9" w:rsidP="00073C22">
      <w:pPr>
        <w:pStyle w:val="BodyText"/>
        <w:spacing w:line="240" w:lineRule="auto"/>
        <w:jc w:val="both"/>
        <w:rPr>
          <w:rFonts w:ascii="Calibri" w:hAnsi="Calibri"/>
          <w:sz w:val="22"/>
          <w:szCs w:val="22"/>
        </w:rPr>
      </w:pPr>
      <w:r w:rsidRPr="00796B70">
        <w:rPr>
          <w:rFonts w:ascii="Calibri" w:hAnsi="Calibri"/>
          <w:sz w:val="22"/>
          <w:szCs w:val="22"/>
        </w:rPr>
        <w:t>ONC certifies that the collection of information encompassed by this request complies with 5 CFR 1320.9 and the related provisions of 5 CFR 1320.8(b)(3).</w:t>
      </w:r>
      <w:bookmarkEnd w:id="14"/>
      <w:bookmarkEnd w:id="15"/>
      <w:bookmarkEnd w:id="16"/>
    </w:p>
    <w:sectPr w:rsidR="00411AF9" w:rsidSect="005E3803">
      <w:headerReference w:type="even" r:id="rId14"/>
      <w:headerReference w:type="default" r:id="rId15"/>
      <w:footerReference w:type="even" r:id="rId16"/>
      <w:footerReference w:type="default" r:id="rId17"/>
      <w:headerReference w:type="first" r:id="rId1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C3" w:rsidRDefault="00BE40C3" w:rsidP="00383C31">
      <w:r>
        <w:separator/>
      </w:r>
    </w:p>
    <w:p w:rsidR="00BE40C3" w:rsidRDefault="00BE40C3"/>
  </w:endnote>
  <w:endnote w:type="continuationSeparator" w:id="0">
    <w:p w:rsidR="00BE40C3" w:rsidRDefault="00BE40C3" w:rsidP="00383C31">
      <w:r>
        <w:continuationSeparator/>
      </w:r>
    </w:p>
    <w:p w:rsidR="00BE40C3" w:rsidRDefault="00BE4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Default="00A61CBC" w:rsidP="001804B4">
    <w:pPr>
      <w:pStyle w:val="FooterEven"/>
    </w:pPr>
    <w:r>
      <w:fldChar w:fldCharType="begin"/>
    </w:r>
    <w:r w:rsidR="0094733C">
      <w:instrText xml:space="preserve"> PAGE   \* MERGEFORMAT </w:instrText>
    </w:r>
    <w:r>
      <w:fldChar w:fldCharType="separate"/>
    </w:r>
    <w:r w:rsidR="0094733C">
      <w:t>i</w:t>
    </w:r>
    <w:r>
      <w:fldChar w:fldCharType="end"/>
    </w:r>
    <w:r w:rsidR="0094733C">
      <w:tab/>
    </w:r>
    <w:r w:rsidR="00BE40C3">
      <w:fldChar w:fldCharType="begin"/>
    </w:r>
    <w:r w:rsidR="00BE40C3">
      <w:instrText xml:space="preserve"> STYLEREF  "Document Title"  \* MERGEFORMAT </w:instrText>
    </w:r>
    <w:r w:rsidR="00BE40C3">
      <w:fldChar w:fldCharType="separate"/>
    </w:r>
    <w:r w:rsidR="0094733C">
      <w:t>National Survey on Health Information Exchange in Clinical Laboratories</w:t>
    </w:r>
    <w:r w:rsidR="00BE40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Pr="00E67DA5" w:rsidRDefault="0094733C" w:rsidP="00DA6DF1">
    <w:pPr>
      <w:pStyle w:val="Footer"/>
      <w:rPr>
        <w:rFonts w:ascii="Calibri" w:hAnsi="Calibri"/>
      </w:rPr>
    </w:pPr>
    <w:r w:rsidRPr="00E67DA5">
      <w:rPr>
        <w:rFonts w:ascii="Calibri" w:hAnsi="Calibri"/>
      </w:rPr>
      <w:tab/>
    </w:r>
    <w:r w:rsidR="00A61CBC">
      <w:fldChar w:fldCharType="begin"/>
    </w:r>
    <w:r>
      <w:instrText xml:space="preserve"> PAGE   \* MERGEFORMAT </w:instrText>
    </w:r>
    <w:r w:rsidR="00A61CBC">
      <w:fldChar w:fldCharType="separate"/>
    </w:r>
    <w:r w:rsidR="000240B0" w:rsidRPr="000240B0">
      <w:rPr>
        <w:rFonts w:ascii="Calibri" w:hAnsi="Calibri"/>
      </w:rPr>
      <w:t>i</w:t>
    </w:r>
    <w:r w:rsidR="00A61CBC">
      <w:rPr>
        <w:rFonts w:ascii="Calibri" w:hAnsi="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Default="00A61CBC" w:rsidP="001804B4">
    <w:pPr>
      <w:pStyle w:val="FooterEven"/>
    </w:pPr>
    <w:r>
      <w:fldChar w:fldCharType="begin"/>
    </w:r>
    <w:r w:rsidR="0094733C">
      <w:instrText xml:space="preserve"> PAGE   \* MERGEFORMAT </w:instrText>
    </w:r>
    <w:r>
      <w:fldChar w:fldCharType="separate"/>
    </w:r>
    <w:r w:rsidR="0094733C">
      <w:t>24</w:t>
    </w:r>
    <w:r>
      <w:fldChar w:fldCharType="end"/>
    </w:r>
    <w:r w:rsidR="0094733C">
      <w:tab/>
    </w:r>
    <w:r w:rsidR="00BE40C3">
      <w:fldChar w:fldCharType="begin"/>
    </w:r>
    <w:r w:rsidR="00BE40C3">
      <w:instrText xml:space="preserve"> STYLEREF  "Document Title"  \* MERGEFORMAT </w:instrText>
    </w:r>
    <w:r w:rsidR="00BE40C3">
      <w:fldChar w:fldCharType="separate"/>
    </w:r>
    <w:r w:rsidR="0094733C">
      <w:t>10/2/2012</w:t>
    </w:r>
    <w:r w:rsidR="00BE40C3">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Pr="0008478B" w:rsidRDefault="0094733C" w:rsidP="00E26953">
    <w:pPr>
      <w:pStyle w:val="FooterOdd"/>
      <w:rPr>
        <w:rFonts w:ascii="Calibri" w:hAnsi="Calibri"/>
      </w:rPr>
    </w:pPr>
    <w:r w:rsidRPr="0008478B">
      <w:rPr>
        <w:rFonts w:ascii="Calibri" w:hAnsi="Calibri"/>
      </w:rPr>
      <w:tab/>
    </w:r>
    <w:r w:rsidR="00A61CBC">
      <w:fldChar w:fldCharType="begin"/>
    </w:r>
    <w:r>
      <w:instrText xml:space="preserve"> PAGE  \* Arabic  \* MERGEFORMAT </w:instrText>
    </w:r>
    <w:r w:rsidR="00A61CBC">
      <w:fldChar w:fldCharType="separate"/>
    </w:r>
    <w:r w:rsidR="00AF1AF8" w:rsidRPr="00AF1AF8">
      <w:rPr>
        <w:rFonts w:ascii="Calibri" w:hAnsi="Calibri"/>
      </w:rPr>
      <w:t>13</w:t>
    </w:r>
    <w:r w:rsidR="00A61CBC">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C3" w:rsidRDefault="00BE40C3" w:rsidP="00383C31">
      <w:r>
        <w:separator/>
      </w:r>
    </w:p>
    <w:p w:rsidR="00BE40C3" w:rsidRDefault="00BE40C3"/>
  </w:footnote>
  <w:footnote w:type="continuationSeparator" w:id="0">
    <w:p w:rsidR="00BE40C3" w:rsidRDefault="00BE40C3" w:rsidP="00383C31">
      <w:r>
        <w:continuationSeparator/>
      </w:r>
    </w:p>
    <w:p w:rsidR="00BE40C3" w:rsidRDefault="00BE40C3"/>
  </w:footnote>
  <w:footnote w:id="1">
    <w:p w:rsidR="0094733C" w:rsidRPr="00070811" w:rsidRDefault="0094733C" w:rsidP="005049DA">
      <w:pPr>
        <w:pStyle w:val="FootnoteText"/>
        <w:jc w:val="both"/>
        <w:rPr>
          <w:sz w:val="16"/>
          <w:szCs w:val="16"/>
        </w:rPr>
      </w:pPr>
      <w:r w:rsidRPr="00E6625E">
        <w:rPr>
          <w:rStyle w:val="FootnoteReference"/>
          <w:sz w:val="16"/>
          <w:szCs w:val="16"/>
        </w:rPr>
        <w:footnoteRef/>
      </w:r>
      <w:r w:rsidRPr="00E6625E">
        <w:rPr>
          <w:sz w:val="16"/>
          <w:szCs w:val="16"/>
        </w:rPr>
        <w:t xml:space="preserve"> Office of the National Coordinator. (2009). American Reinvestment and Recovery Act of 2009 – Title XIII – Health Information Technology, </w:t>
      </w:r>
      <w:r w:rsidRPr="00070811">
        <w:rPr>
          <w:sz w:val="16"/>
          <w:szCs w:val="16"/>
        </w:rPr>
        <w:t>subtitle B – Incentives for the Use of Health Information technology, section 3013 – State Grants to Promote Health Information Technology, State Health Information Exchange Cooperative Agreement Program, Funding Opportunity Announcement. Department of Health and Human Services.</w:t>
      </w:r>
    </w:p>
  </w:footnote>
  <w:footnote w:id="2">
    <w:p w:rsidR="0094733C" w:rsidRPr="00070811" w:rsidRDefault="0094733C">
      <w:pPr>
        <w:pStyle w:val="FootnoteText"/>
        <w:rPr>
          <w:sz w:val="16"/>
          <w:szCs w:val="16"/>
        </w:rPr>
      </w:pPr>
      <w:r w:rsidRPr="00070811">
        <w:rPr>
          <w:rStyle w:val="FootnoteReference"/>
          <w:sz w:val="16"/>
          <w:szCs w:val="16"/>
        </w:rPr>
        <w:footnoteRef/>
      </w:r>
      <w:r w:rsidRPr="00070811">
        <w:rPr>
          <w:sz w:val="16"/>
          <w:szCs w:val="16"/>
        </w:rPr>
        <w:t xml:space="preserve"> Office of the National Coordinator. (2010). State Health Information Exchange Cooperative Agreement Program Information Notice. Department of Health and Human Services.</w:t>
      </w:r>
    </w:p>
  </w:footnote>
  <w:footnote w:id="3">
    <w:p w:rsidR="0094733C" w:rsidRPr="00070811" w:rsidRDefault="0094733C" w:rsidP="005049DA">
      <w:pPr>
        <w:pStyle w:val="FootnoteText"/>
        <w:rPr>
          <w:sz w:val="16"/>
          <w:szCs w:val="16"/>
        </w:rPr>
      </w:pPr>
      <w:r w:rsidRPr="00070811">
        <w:rPr>
          <w:rStyle w:val="FootnoteReference"/>
          <w:sz w:val="16"/>
          <w:szCs w:val="16"/>
        </w:rPr>
        <w:footnoteRef/>
      </w:r>
      <w:r w:rsidRPr="00070811">
        <w:rPr>
          <w:sz w:val="16"/>
          <w:szCs w:val="16"/>
        </w:rPr>
        <w:t xml:space="preserve"> The Lewin Group. Laboratory Medicine: A National Status Report. May 2008. Available at http://www.futurelabmedicine.org/reports/laboratorymedicine‐anationalstatusreportfromthelewingroup.pdf.</w:t>
      </w:r>
    </w:p>
  </w:footnote>
  <w:footnote w:id="4">
    <w:p w:rsidR="0094733C" w:rsidRPr="00070811" w:rsidRDefault="0094733C" w:rsidP="005049DA">
      <w:pPr>
        <w:pStyle w:val="FootnoteText"/>
        <w:rPr>
          <w:sz w:val="16"/>
          <w:szCs w:val="16"/>
        </w:rPr>
      </w:pPr>
      <w:r w:rsidRPr="00070811">
        <w:rPr>
          <w:rStyle w:val="FootnoteReference"/>
          <w:sz w:val="16"/>
          <w:szCs w:val="16"/>
        </w:rPr>
        <w:footnoteRef/>
      </w:r>
      <w:r w:rsidRPr="00070811">
        <w:rPr>
          <w:sz w:val="16"/>
          <w:szCs w:val="16"/>
        </w:rPr>
        <w:t xml:space="preserve"> American Health Information Community. Letter to the Honorable Michael O. Leavitt. 2006. Available at http://www.hhs.gov/healthit/ahic/materials/meeting04/ehr/EHRDraftRecs.doc.</w:t>
      </w:r>
    </w:p>
  </w:footnote>
  <w:footnote w:id="5">
    <w:p w:rsidR="0094733C" w:rsidRPr="00070811" w:rsidRDefault="0094733C" w:rsidP="005049DA">
      <w:pPr>
        <w:pStyle w:val="FootnoteText"/>
      </w:pPr>
      <w:r w:rsidRPr="00070811">
        <w:rPr>
          <w:rStyle w:val="FootnoteReference"/>
          <w:sz w:val="16"/>
          <w:szCs w:val="16"/>
        </w:rPr>
        <w:footnoteRef/>
      </w:r>
      <w:r w:rsidRPr="00070811">
        <w:rPr>
          <w:sz w:val="16"/>
          <w:szCs w:val="16"/>
        </w:rPr>
        <w:t xml:space="preserve"> Poon EG, Wang SJ, Gandhi TK, Bates DW, Kuperman GJ. Design and Implementation of a Comprehensive Outpatient Results Manager. Journal of Biomedical Informatics. 2003; 36: 80‐91.</w:t>
      </w:r>
    </w:p>
  </w:footnote>
  <w:footnote w:id="6">
    <w:p w:rsidR="0094733C" w:rsidRPr="000165F9" w:rsidRDefault="0094733C" w:rsidP="005049DA">
      <w:pPr>
        <w:pStyle w:val="EndnoteText"/>
        <w:rPr>
          <w:rFonts w:cs="Calibri"/>
          <w:sz w:val="16"/>
          <w:szCs w:val="16"/>
        </w:rPr>
      </w:pPr>
      <w:r w:rsidRPr="00837C8E">
        <w:rPr>
          <w:rStyle w:val="FootnoteReference"/>
          <w:rFonts w:cs="Calibri"/>
          <w:sz w:val="16"/>
          <w:szCs w:val="16"/>
        </w:rPr>
        <w:footnoteRef/>
      </w:r>
      <w:r w:rsidRPr="00837C8E">
        <w:rPr>
          <w:rFonts w:cs="Calibri"/>
          <w:sz w:val="16"/>
          <w:szCs w:val="16"/>
        </w:rPr>
        <w:t xml:space="preserve"> Weydert JA, Nobbs ND, Feld R, Kemp JD. A Simple, Focused, Computerized Query to Detect Overutilization of Laboratory Tests. Archives of Pathology &amp;Laboratory Medicine. 2005; 129: 1141‐1143.</w:t>
      </w:r>
    </w:p>
  </w:footnote>
  <w:footnote w:id="7">
    <w:p w:rsidR="0094733C" w:rsidRPr="000165F9" w:rsidRDefault="0094733C" w:rsidP="005049DA">
      <w:pPr>
        <w:pStyle w:val="EndnoteText"/>
        <w:rPr>
          <w:rFonts w:cs="Calibri"/>
          <w:sz w:val="16"/>
          <w:szCs w:val="16"/>
        </w:rPr>
      </w:pPr>
      <w:r w:rsidRPr="00837C8E">
        <w:rPr>
          <w:rStyle w:val="FootnoteReference"/>
          <w:rFonts w:cs="Calibri"/>
          <w:sz w:val="16"/>
          <w:szCs w:val="16"/>
        </w:rPr>
        <w:footnoteRef/>
      </w:r>
      <w:r w:rsidRPr="00837C8E">
        <w:rPr>
          <w:rFonts w:cs="Calibri"/>
          <w:sz w:val="16"/>
          <w:szCs w:val="16"/>
        </w:rPr>
        <w:t xml:space="preserve"> Eisenberg JM, Williams SV, Garner L, Viale R, Smits S. Computer based Audit to Detect and Correct Overutilization of Laboratory Tests. Medical Care. 1977; 15(11): 915‐ 921.</w:t>
      </w:r>
    </w:p>
  </w:footnote>
  <w:footnote w:id="8">
    <w:p w:rsidR="0094733C" w:rsidRPr="000165F9" w:rsidRDefault="0094733C" w:rsidP="005049DA">
      <w:pPr>
        <w:pStyle w:val="EndnoteText"/>
        <w:rPr>
          <w:rFonts w:cs="Calibri"/>
          <w:sz w:val="16"/>
          <w:szCs w:val="16"/>
        </w:rPr>
      </w:pPr>
      <w:r w:rsidRPr="00837C8E">
        <w:rPr>
          <w:rStyle w:val="FootnoteReference"/>
          <w:rFonts w:cs="Calibri"/>
          <w:sz w:val="16"/>
          <w:szCs w:val="16"/>
        </w:rPr>
        <w:footnoteRef/>
      </w:r>
      <w:r w:rsidRPr="00837C8E">
        <w:rPr>
          <w:rFonts w:cs="Calibri"/>
          <w:sz w:val="16"/>
          <w:szCs w:val="16"/>
        </w:rPr>
        <w:t xml:space="preserve"> The Lewin Group. Laboratory Medicine: A National Status Report. May 2008. Available at http://www.futurelabmedicine.org/reports/laboratorymedicine‐anationalstat</w:t>
      </w:r>
      <w:r>
        <w:rPr>
          <w:rFonts w:cs="Calibri"/>
          <w:sz w:val="16"/>
          <w:szCs w:val="16"/>
        </w:rPr>
        <w:t>usreportfromthelewingroup.pdf</w:t>
      </w:r>
      <w:r w:rsidRPr="00837C8E">
        <w:rPr>
          <w:rFonts w:cs="Calibri"/>
          <w:sz w:val="16"/>
          <w:szCs w:val="16"/>
        </w:rPr>
        <w:t>.</w:t>
      </w:r>
    </w:p>
  </w:footnote>
  <w:footnote w:id="9">
    <w:p w:rsidR="0094733C" w:rsidRPr="00837C8E" w:rsidRDefault="0094733C" w:rsidP="005049DA">
      <w:pPr>
        <w:pStyle w:val="EndnoteText"/>
        <w:rPr>
          <w:rFonts w:cs="Calibri"/>
          <w:sz w:val="16"/>
          <w:szCs w:val="16"/>
        </w:rPr>
      </w:pPr>
      <w:r w:rsidRPr="00837C8E">
        <w:rPr>
          <w:rStyle w:val="FootnoteReference"/>
          <w:rFonts w:cs="Calibri"/>
          <w:sz w:val="16"/>
          <w:szCs w:val="16"/>
        </w:rPr>
        <w:footnoteRef/>
      </w:r>
      <w:r w:rsidRPr="00837C8E">
        <w:rPr>
          <w:rFonts w:cs="Calibri"/>
          <w:sz w:val="16"/>
          <w:szCs w:val="16"/>
        </w:rPr>
        <w:t xml:space="preserve"> Clinical Laboratory Improvement Amendments (CLIA). (2011). Overview. Available at https://www.cms.gov/clia/.</w:t>
      </w:r>
    </w:p>
    <w:p w:rsidR="0094733C" w:rsidRPr="00DF127C" w:rsidRDefault="0094733C" w:rsidP="00837C8E">
      <w:pPr>
        <w:pStyle w:val="EndnoteText"/>
        <w:rPr>
          <w:sz w:val="18"/>
          <w:szCs w:val="18"/>
        </w:rPr>
      </w:pPr>
    </w:p>
    <w:p w:rsidR="0094733C" w:rsidRDefault="0094733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Default="00947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Default="009473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C" w:rsidRDefault="00947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DB60BF6"/>
    <w:lvl w:ilvl="0">
      <w:start w:val="1"/>
      <w:numFmt w:val="decimal"/>
      <w:pStyle w:val="ListNumber2"/>
      <w:lvlText w:val="%1."/>
      <w:lvlJc w:val="left"/>
      <w:pPr>
        <w:tabs>
          <w:tab w:val="num" w:pos="531"/>
        </w:tabs>
        <w:ind w:left="531" w:hanging="360"/>
      </w:pPr>
      <w:rPr>
        <w:rFonts w:cs="Times New Roman"/>
        <w:b w:val="0"/>
      </w:rPr>
    </w:lvl>
  </w:abstractNum>
  <w:abstractNum w:abstractNumId="1">
    <w:nsid w:val="FFFFFF89"/>
    <w:multiLevelType w:val="singleLevel"/>
    <w:tmpl w:val="0F28CF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C95326"/>
    <w:multiLevelType w:val="hybridMultilevel"/>
    <w:tmpl w:val="C674FC32"/>
    <w:lvl w:ilvl="0" w:tplc="9FACFD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121CF"/>
    <w:multiLevelType w:val="multilevel"/>
    <w:tmpl w:val="348651DE"/>
    <w:lvl w:ilvl="0">
      <w:start w:val="1"/>
      <w:numFmt w:val="upperLetter"/>
      <w:pStyle w:val="Heading1"/>
      <w:lvlText w:val="%1."/>
      <w:lvlJc w:val="left"/>
      <w:pPr>
        <w:tabs>
          <w:tab w:val="num" w:pos="540"/>
        </w:tabs>
        <w:ind w:left="432" w:hanging="432"/>
      </w:pPr>
      <w:rPr>
        <w:rFonts w:cs="Times New Roman" w:hint="default"/>
        <w:sz w:val="32"/>
      </w:rPr>
    </w:lvl>
    <w:lvl w:ilvl="1">
      <w:start w:val="1"/>
      <w:numFmt w:val="decimal"/>
      <w:pStyle w:val="Heading2"/>
      <w:lvlText w:val="%1%2."/>
      <w:lvlJc w:val="left"/>
      <w:pPr>
        <w:tabs>
          <w:tab w:val="num" w:pos="720"/>
        </w:tabs>
        <w:ind w:left="720" w:hanging="720"/>
      </w:pPr>
      <w:rPr>
        <w:rFonts w:cs="Times New Roman" w:hint="default"/>
        <w:sz w:val="24"/>
      </w:rPr>
    </w:lvl>
    <w:lvl w:ilvl="2">
      <w:start w:val="1"/>
      <w:numFmt w:val="lowerLetter"/>
      <w:pStyle w:val="Heading3"/>
      <w:lvlText w:val="%1%2%3."/>
      <w:lvlJc w:val="left"/>
      <w:pPr>
        <w:tabs>
          <w:tab w:val="num" w:pos="1260"/>
        </w:tabs>
        <w:ind w:left="1332" w:hanging="1152"/>
      </w:pPr>
      <w:rPr>
        <w:rFonts w:cs="Times New Roman" w:hint="default"/>
        <w:sz w:val="20"/>
      </w:rPr>
    </w:lvl>
    <w:lvl w:ilvl="3">
      <w:start w:val="1"/>
      <w:numFmt w:val="decimal"/>
      <w:pStyle w:val="Heading4"/>
      <w:lvlText w:val="%1.%2.%3.%4"/>
      <w:lvlJc w:val="left"/>
      <w:pPr>
        <w:tabs>
          <w:tab w:val="num" w:pos="1440"/>
        </w:tabs>
        <w:ind w:left="1440" w:hanging="1440"/>
      </w:pPr>
      <w:rPr>
        <w:rFonts w:cs="Times New Roman" w:hint="default"/>
        <w:sz w:val="18"/>
      </w:rPr>
    </w:lvl>
    <w:lvl w:ilvl="4">
      <w:start w:val="1"/>
      <w:numFmt w:val="decimal"/>
      <w:pStyle w:val="Heading5"/>
      <w:lvlText w:val="%1.%2.%3.%4.%5"/>
      <w:lvlJc w:val="left"/>
      <w:pPr>
        <w:tabs>
          <w:tab w:val="num" w:pos="1800"/>
        </w:tabs>
        <w:ind w:left="1800" w:hanging="1800"/>
      </w:pPr>
      <w:rPr>
        <w:rFonts w:cs="Times New Roman" w:hint="default"/>
        <w:sz w:val="18"/>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4">
    <w:nsid w:val="07865947"/>
    <w:multiLevelType w:val="hybridMultilevel"/>
    <w:tmpl w:val="6748C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8689B"/>
    <w:multiLevelType w:val="hybridMultilevel"/>
    <w:tmpl w:val="E168FA12"/>
    <w:lvl w:ilvl="0" w:tplc="996EB756">
      <w:start w:val="1"/>
      <w:numFmt w:val="bullet"/>
      <w:pStyle w:val="Bullet2"/>
      <w:lvlText w:val=""/>
      <w:lvlJc w:val="left"/>
      <w:pPr>
        <w:ind w:left="1008" w:hanging="360"/>
      </w:pPr>
      <w:rPr>
        <w:rFonts w:ascii="Wingdings 2" w:hAnsi="Wingdings 2"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1C3F3B"/>
    <w:multiLevelType w:val="hybridMultilevel"/>
    <w:tmpl w:val="111A99AE"/>
    <w:lvl w:ilvl="0" w:tplc="9FACF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244828"/>
    <w:multiLevelType w:val="hybridMultilevel"/>
    <w:tmpl w:val="B3A4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33C07"/>
    <w:multiLevelType w:val="hybridMultilevel"/>
    <w:tmpl w:val="F328F4CA"/>
    <w:lvl w:ilvl="0" w:tplc="9FACFD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F0BD9"/>
    <w:multiLevelType w:val="hybridMultilevel"/>
    <w:tmpl w:val="500ADE9E"/>
    <w:lvl w:ilvl="0" w:tplc="9FACF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61C97"/>
    <w:multiLevelType w:val="hybridMultilevel"/>
    <w:tmpl w:val="16C8620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13457F33"/>
    <w:multiLevelType w:val="hybridMultilevel"/>
    <w:tmpl w:val="3990CD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73868D7"/>
    <w:multiLevelType w:val="hybridMultilevel"/>
    <w:tmpl w:val="03F072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AC5301A"/>
    <w:multiLevelType w:val="multilevel"/>
    <w:tmpl w:val="72C0B802"/>
    <w:lvl w:ilvl="0">
      <w:start w:val="1"/>
      <w:numFmt w:val="upperLetter"/>
      <w:pStyle w:val="Heading7"/>
      <w:lvlText w:val="Appendix %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1D3533E6"/>
    <w:multiLevelType w:val="hybridMultilevel"/>
    <w:tmpl w:val="A72CB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C5954"/>
    <w:multiLevelType w:val="hybridMultilevel"/>
    <w:tmpl w:val="9138BA3C"/>
    <w:lvl w:ilvl="0" w:tplc="EC80A0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C10E7"/>
    <w:multiLevelType w:val="hybridMultilevel"/>
    <w:tmpl w:val="2368969E"/>
    <w:lvl w:ilvl="0" w:tplc="9FACF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43720"/>
    <w:multiLevelType w:val="hybridMultilevel"/>
    <w:tmpl w:val="CA000FE2"/>
    <w:lvl w:ilvl="0" w:tplc="9FACF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C4925"/>
    <w:multiLevelType w:val="hybridMultilevel"/>
    <w:tmpl w:val="B3A4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B634B"/>
    <w:multiLevelType w:val="hybridMultilevel"/>
    <w:tmpl w:val="DA90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10556"/>
    <w:multiLevelType w:val="hybridMultilevel"/>
    <w:tmpl w:val="A3349FB6"/>
    <w:lvl w:ilvl="0" w:tplc="9FACFD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B6620"/>
    <w:multiLevelType w:val="hybridMultilevel"/>
    <w:tmpl w:val="C4EAEF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C1301A9"/>
    <w:multiLevelType w:val="hybridMultilevel"/>
    <w:tmpl w:val="A400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887B32"/>
    <w:multiLevelType w:val="hybridMultilevel"/>
    <w:tmpl w:val="B3A4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A07A2A"/>
    <w:multiLevelType w:val="hybridMultilevel"/>
    <w:tmpl w:val="25B851C6"/>
    <w:lvl w:ilvl="0" w:tplc="774E54EC">
      <w:start w:val="1"/>
      <w:numFmt w:val="bullet"/>
      <w:pStyle w:val="Bullet1"/>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3"/>
  </w:num>
  <w:num w:numId="4">
    <w:abstractNumId w:val="5"/>
  </w:num>
  <w:num w:numId="5">
    <w:abstractNumId w:val="11"/>
  </w:num>
  <w:num w:numId="6">
    <w:abstractNumId w:val="21"/>
  </w:num>
  <w:num w:numId="7">
    <w:abstractNumId w:val="12"/>
  </w:num>
  <w:num w:numId="8">
    <w:abstractNumId w:val="3"/>
  </w:num>
  <w:num w:numId="9">
    <w:abstractNumId w:val="0"/>
  </w:num>
  <w:num w:numId="10">
    <w:abstractNumId w:val="1"/>
  </w:num>
  <w:num w:numId="11">
    <w:abstractNumId w:val="25"/>
  </w:num>
  <w:num w:numId="12">
    <w:abstractNumId w:val="18"/>
  </w:num>
  <w:num w:numId="13">
    <w:abstractNumId w:val="14"/>
  </w:num>
  <w:num w:numId="14">
    <w:abstractNumId w:val="4"/>
  </w:num>
  <w:num w:numId="15">
    <w:abstractNumId w:val="23"/>
  </w:num>
  <w:num w:numId="16">
    <w:abstractNumId w:val="7"/>
  </w:num>
  <w:num w:numId="17">
    <w:abstractNumId w:val="20"/>
  </w:num>
  <w:num w:numId="18">
    <w:abstractNumId w:val="16"/>
  </w:num>
  <w:num w:numId="19">
    <w:abstractNumId w:val="9"/>
  </w:num>
  <w:num w:numId="20">
    <w:abstractNumId w:val="6"/>
  </w:num>
  <w:num w:numId="21">
    <w:abstractNumId w:val="8"/>
  </w:num>
  <w:num w:numId="22">
    <w:abstractNumId w:val="2"/>
  </w:num>
  <w:num w:numId="23">
    <w:abstractNumId w:val="17"/>
  </w:num>
  <w:num w:numId="24">
    <w:abstractNumId w:val="10"/>
  </w:num>
  <w:num w:numId="25">
    <w:abstractNumId w:val="1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AMO_XmlVersion" w:val="Empty"/>
    <w:docVar w:name="EN.InstantFormat" w:val="&lt;ENInstantFormat&gt;&lt;Enabled&gt;0&lt;/Enabled&gt;&lt;ScanUnformatted&gt;1&lt;/ScanUnformatted&gt;&lt;ScanChanges&gt;1&lt;/ScanChanges&gt;&lt;/ENInstantFormat&gt;"/>
    <w:docVar w:name="EN.Libraries" w:val="&lt;ENLibraries&gt;&lt;Libraries&gt;&lt;item&gt;Advancing E-File Study.enl&lt;/item&gt;&lt;/Libraries&gt;&lt;/ENLibraries&gt;"/>
  </w:docVars>
  <w:rsids>
    <w:rsidRoot w:val="008E1882"/>
    <w:rsid w:val="000004FF"/>
    <w:rsid w:val="00000895"/>
    <w:rsid w:val="00001951"/>
    <w:rsid w:val="00001DC5"/>
    <w:rsid w:val="00002993"/>
    <w:rsid w:val="00003524"/>
    <w:rsid w:val="00004289"/>
    <w:rsid w:val="00004A29"/>
    <w:rsid w:val="00005B0F"/>
    <w:rsid w:val="000072EF"/>
    <w:rsid w:val="00007489"/>
    <w:rsid w:val="000076DD"/>
    <w:rsid w:val="0001191A"/>
    <w:rsid w:val="000119A0"/>
    <w:rsid w:val="00012929"/>
    <w:rsid w:val="00012BD7"/>
    <w:rsid w:val="00012C31"/>
    <w:rsid w:val="000134D0"/>
    <w:rsid w:val="0001396B"/>
    <w:rsid w:val="00013BBC"/>
    <w:rsid w:val="00015AEF"/>
    <w:rsid w:val="00015BD2"/>
    <w:rsid w:val="000165F9"/>
    <w:rsid w:val="000167C8"/>
    <w:rsid w:val="0001722A"/>
    <w:rsid w:val="00017F3C"/>
    <w:rsid w:val="00021B82"/>
    <w:rsid w:val="00021BB7"/>
    <w:rsid w:val="0002277E"/>
    <w:rsid w:val="00023A62"/>
    <w:rsid w:val="000240B0"/>
    <w:rsid w:val="000247DD"/>
    <w:rsid w:val="0002519D"/>
    <w:rsid w:val="00025CA4"/>
    <w:rsid w:val="00026422"/>
    <w:rsid w:val="00032C6B"/>
    <w:rsid w:val="00033ED0"/>
    <w:rsid w:val="00034287"/>
    <w:rsid w:val="000356F6"/>
    <w:rsid w:val="0003793A"/>
    <w:rsid w:val="0004092B"/>
    <w:rsid w:val="00040F09"/>
    <w:rsid w:val="000419F9"/>
    <w:rsid w:val="0004440D"/>
    <w:rsid w:val="0004656C"/>
    <w:rsid w:val="00051383"/>
    <w:rsid w:val="00052A8F"/>
    <w:rsid w:val="0005327D"/>
    <w:rsid w:val="00053A14"/>
    <w:rsid w:val="00053A94"/>
    <w:rsid w:val="000553A7"/>
    <w:rsid w:val="0005542B"/>
    <w:rsid w:val="00057597"/>
    <w:rsid w:val="00057FA7"/>
    <w:rsid w:val="00060165"/>
    <w:rsid w:val="000613BC"/>
    <w:rsid w:val="00065F94"/>
    <w:rsid w:val="0006626B"/>
    <w:rsid w:val="00066CC9"/>
    <w:rsid w:val="00067606"/>
    <w:rsid w:val="000702FF"/>
    <w:rsid w:val="00070811"/>
    <w:rsid w:val="00070910"/>
    <w:rsid w:val="0007238F"/>
    <w:rsid w:val="00072C95"/>
    <w:rsid w:val="00072F7D"/>
    <w:rsid w:val="00073C22"/>
    <w:rsid w:val="00074253"/>
    <w:rsid w:val="00074B56"/>
    <w:rsid w:val="00074FA5"/>
    <w:rsid w:val="000766DF"/>
    <w:rsid w:val="00077FEF"/>
    <w:rsid w:val="00080237"/>
    <w:rsid w:val="0008035C"/>
    <w:rsid w:val="000814CE"/>
    <w:rsid w:val="00081766"/>
    <w:rsid w:val="00081DC5"/>
    <w:rsid w:val="0008213F"/>
    <w:rsid w:val="000825AD"/>
    <w:rsid w:val="000828AA"/>
    <w:rsid w:val="0008386C"/>
    <w:rsid w:val="0008392B"/>
    <w:rsid w:val="0008478B"/>
    <w:rsid w:val="00084D73"/>
    <w:rsid w:val="000863A7"/>
    <w:rsid w:val="000868DA"/>
    <w:rsid w:val="00086A29"/>
    <w:rsid w:val="0008773E"/>
    <w:rsid w:val="00087861"/>
    <w:rsid w:val="00087F6C"/>
    <w:rsid w:val="000907F2"/>
    <w:rsid w:val="00090BC7"/>
    <w:rsid w:val="00091387"/>
    <w:rsid w:val="00091ACF"/>
    <w:rsid w:val="00092E0F"/>
    <w:rsid w:val="00092F09"/>
    <w:rsid w:val="00092F9D"/>
    <w:rsid w:val="00093149"/>
    <w:rsid w:val="00093C36"/>
    <w:rsid w:val="00094CD3"/>
    <w:rsid w:val="0009591F"/>
    <w:rsid w:val="0009699E"/>
    <w:rsid w:val="0009768C"/>
    <w:rsid w:val="000A0A6F"/>
    <w:rsid w:val="000A0C7D"/>
    <w:rsid w:val="000A0FCF"/>
    <w:rsid w:val="000A236A"/>
    <w:rsid w:val="000A44E3"/>
    <w:rsid w:val="000A5C59"/>
    <w:rsid w:val="000A5ECB"/>
    <w:rsid w:val="000A637A"/>
    <w:rsid w:val="000A6A44"/>
    <w:rsid w:val="000B031C"/>
    <w:rsid w:val="000B07A4"/>
    <w:rsid w:val="000B11E4"/>
    <w:rsid w:val="000B2D01"/>
    <w:rsid w:val="000B3F96"/>
    <w:rsid w:val="000B4637"/>
    <w:rsid w:val="000B5C5C"/>
    <w:rsid w:val="000B65F9"/>
    <w:rsid w:val="000B74F7"/>
    <w:rsid w:val="000C006F"/>
    <w:rsid w:val="000C097D"/>
    <w:rsid w:val="000C0D3E"/>
    <w:rsid w:val="000C1D98"/>
    <w:rsid w:val="000C2FD0"/>
    <w:rsid w:val="000C3439"/>
    <w:rsid w:val="000C390D"/>
    <w:rsid w:val="000C433A"/>
    <w:rsid w:val="000C6580"/>
    <w:rsid w:val="000C711C"/>
    <w:rsid w:val="000C7BD6"/>
    <w:rsid w:val="000D273A"/>
    <w:rsid w:val="000D297C"/>
    <w:rsid w:val="000D3FF5"/>
    <w:rsid w:val="000D50E1"/>
    <w:rsid w:val="000D5960"/>
    <w:rsid w:val="000D5FF0"/>
    <w:rsid w:val="000D69BC"/>
    <w:rsid w:val="000E158E"/>
    <w:rsid w:val="000E1CFC"/>
    <w:rsid w:val="000E2DAD"/>
    <w:rsid w:val="000E45B8"/>
    <w:rsid w:val="000E5E61"/>
    <w:rsid w:val="000E6617"/>
    <w:rsid w:val="000E681D"/>
    <w:rsid w:val="000E7F0A"/>
    <w:rsid w:val="000F135E"/>
    <w:rsid w:val="000F243C"/>
    <w:rsid w:val="000F3277"/>
    <w:rsid w:val="000F3892"/>
    <w:rsid w:val="000F3A83"/>
    <w:rsid w:val="000F459C"/>
    <w:rsid w:val="000F4D47"/>
    <w:rsid w:val="000F7409"/>
    <w:rsid w:val="00101136"/>
    <w:rsid w:val="001015FB"/>
    <w:rsid w:val="00101630"/>
    <w:rsid w:val="00101829"/>
    <w:rsid w:val="00101A25"/>
    <w:rsid w:val="00102100"/>
    <w:rsid w:val="00103F2B"/>
    <w:rsid w:val="0010478D"/>
    <w:rsid w:val="00104D05"/>
    <w:rsid w:val="00107A96"/>
    <w:rsid w:val="00110621"/>
    <w:rsid w:val="0011098D"/>
    <w:rsid w:val="00110E03"/>
    <w:rsid w:val="00111292"/>
    <w:rsid w:val="001116F5"/>
    <w:rsid w:val="001119EF"/>
    <w:rsid w:val="00111EB0"/>
    <w:rsid w:val="0011334D"/>
    <w:rsid w:val="001134A2"/>
    <w:rsid w:val="00113759"/>
    <w:rsid w:val="00113C09"/>
    <w:rsid w:val="00113FF9"/>
    <w:rsid w:val="0011610A"/>
    <w:rsid w:val="00116CC3"/>
    <w:rsid w:val="00117C2D"/>
    <w:rsid w:val="00120E1C"/>
    <w:rsid w:val="001248E3"/>
    <w:rsid w:val="001250F2"/>
    <w:rsid w:val="00125A74"/>
    <w:rsid w:val="00130376"/>
    <w:rsid w:val="00130E11"/>
    <w:rsid w:val="00130EED"/>
    <w:rsid w:val="00132C4F"/>
    <w:rsid w:val="00132D6A"/>
    <w:rsid w:val="001331B4"/>
    <w:rsid w:val="001331DC"/>
    <w:rsid w:val="001334AA"/>
    <w:rsid w:val="001337F1"/>
    <w:rsid w:val="00133F99"/>
    <w:rsid w:val="00134C42"/>
    <w:rsid w:val="00135E43"/>
    <w:rsid w:val="00136484"/>
    <w:rsid w:val="00136E1E"/>
    <w:rsid w:val="00137FDF"/>
    <w:rsid w:val="00140550"/>
    <w:rsid w:val="0014095F"/>
    <w:rsid w:val="00140E1A"/>
    <w:rsid w:val="001414D1"/>
    <w:rsid w:val="00142C86"/>
    <w:rsid w:val="001434BC"/>
    <w:rsid w:val="00143897"/>
    <w:rsid w:val="00143BD8"/>
    <w:rsid w:val="001442A6"/>
    <w:rsid w:val="00150CFA"/>
    <w:rsid w:val="00150D33"/>
    <w:rsid w:val="00152248"/>
    <w:rsid w:val="00153FBF"/>
    <w:rsid w:val="001545E1"/>
    <w:rsid w:val="00154ADA"/>
    <w:rsid w:val="00155701"/>
    <w:rsid w:val="001559CB"/>
    <w:rsid w:val="00155EBD"/>
    <w:rsid w:val="0015618A"/>
    <w:rsid w:val="0015628B"/>
    <w:rsid w:val="00156928"/>
    <w:rsid w:val="001569D3"/>
    <w:rsid w:val="00156DDC"/>
    <w:rsid w:val="001576E0"/>
    <w:rsid w:val="00160B5F"/>
    <w:rsid w:val="00160C6A"/>
    <w:rsid w:val="00160D2B"/>
    <w:rsid w:val="00162133"/>
    <w:rsid w:val="00162ED8"/>
    <w:rsid w:val="00162F11"/>
    <w:rsid w:val="0016477B"/>
    <w:rsid w:val="00164874"/>
    <w:rsid w:val="00164C95"/>
    <w:rsid w:val="00165D7E"/>
    <w:rsid w:val="001666DE"/>
    <w:rsid w:val="00166961"/>
    <w:rsid w:val="00170C5E"/>
    <w:rsid w:val="00170E7C"/>
    <w:rsid w:val="00170F25"/>
    <w:rsid w:val="001712DC"/>
    <w:rsid w:val="001724CF"/>
    <w:rsid w:val="00173EE3"/>
    <w:rsid w:val="00174B03"/>
    <w:rsid w:val="00177C1A"/>
    <w:rsid w:val="001804B4"/>
    <w:rsid w:val="001819A1"/>
    <w:rsid w:val="00181DBB"/>
    <w:rsid w:val="00182002"/>
    <w:rsid w:val="00182D43"/>
    <w:rsid w:val="00182ECF"/>
    <w:rsid w:val="00183223"/>
    <w:rsid w:val="00183956"/>
    <w:rsid w:val="001843BF"/>
    <w:rsid w:val="001849E6"/>
    <w:rsid w:val="001858FD"/>
    <w:rsid w:val="00185FB0"/>
    <w:rsid w:val="0018617C"/>
    <w:rsid w:val="00187C91"/>
    <w:rsid w:val="001902AA"/>
    <w:rsid w:val="00190DA8"/>
    <w:rsid w:val="00191B82"/>
    <w:rsid w:val="00191F76"/>
    <w:rsid w:val="001927C8"/>
    <w:rsid w:val="001939E8"/>
    <w:rsid w:val="00195549"/>
    <w:rsid w:val="001A1BBF"/>
    <w:rsid w:val="001A2AD8"/>
    <w:rsid w:val="001A30D7"/>
    <w:rsid w:val="001A31AC"/>
    <w:rsid w:val="001A4C7F"/>
    <w:rsid w:val="001A4DBC"/>
    <w:rsid w:val="001A51F2"/>
    <w:rsid w:val="001A5E1B"/>
    <w:rsid w:val="001A686B"/>
    <w:rsid w:val="001B00AB"/>
    <w:rsid w:val="001B0D4F"/>
    <w:rsid w:val="001B1D7F"/>
    <w:rsid w:val="001B3F54"/>
    <w:rsid w:val="001B540F"/>
    <w:rsid w:val="001B5515"/>
    <w:rsid w:val="001C1F09"/>
    <w:rsid w:val="001C27A1"/>
    <w:rsid w:val="001C335C"/>
    <w:rsid w:val="001C385C"/>
    <w:rsid w:val="001C414D"/>
    <w:rsid w:val="001C525D"/>
    <w:rsid w:val="001C69C2"/>
    <w:rsid w:val="001C714E"/>
    <w:rsid w:val="001D000D"/>
    <w:rsid w:val="001D11A2"/>
    <w:rsid w:val="001D2DB6"/>
    <w:rsid w:val="001D5152"/>
    <w:rsid w:val="001D5AAA"/>
    <w:rsid w:val="001E18AD"/>
    <w:rsid w:val="001E1D33"/>
    <w:rsid w:val="001E281F"/>
    <w:rsid w:val="001E6780"/>
    <w:rsid w:val="001E752E"/>
    <w:rsid w:val="001F1160"/>
    <w:rsid w:val="001F2652"/>
    <w:rsid w:val="001F32EA"/>
    <w:rsid w:val="001F3A8E"/>
    <w:rsid w:val="001F4F1C"/>
    <w:rsid w:val="001F5DFE"/>
    <w:rsid w:val="001F5F4A"/>
    <w:rsid w:val="001F64CF"/>
    <w:rsid w:val="001F661A"/>
    <w:rsid w:val="001F7BD2"/>
    <w:rsid w:val="00200557"/>
    <w:rsid w:val="002006CC"/>
    <w:rsid w:val="00200D04"/>
    <w:rsid w:val="00200DDF"/>
    <w:rsid w:val="002016F0"/>
    <w:rsid w:val="00201F84"/>
    <w:rsid w:val="002020C9"/>
    <w:rsid w:val="00202B62"/>
    <w:rsid w:val="00203180"/>
    <w:rsid w:val="002039A3"/>
    <w:rsid w:val="00203AD4"/>
    <w:rsid w:val="00205DB9"/>
    <w:rsid w:val="00206469"/>
    <w:rsid w:val="00207B13"/>
    <w:rsid w:val="00210AC9"/>
    <w:rsid w:val="00212876"/>
    <w:rsid w:val="00213DB3"/>
    <w:rsid w:val="0021477A"/>
    <w:rsid w:val="002148D1"/>
    <w:rsid w:val="00215482"/>
    <w:rsid w:val="00215776"/>
    <w:rsid w:val="002165AD"/>
    <w:rsid w:val="00220B2C"/>
    <w:rsid w:val="002232B4"/>
    <w:rsid w:val="00224222"/>
    <w:rsid w:val="00230DB5"/>
    <w:rsid w:val="00231547"/>
    <w:rsid w:val="002320E8"/>
    <w:rsid w:val="00233080"/>
    <w:rsid w:val="00233606"/>
    <w:rsid w:val="0023372E"/>
    <w:rsid w:val="00233CE9"/>
    <w:rsid w:val="0023447D"/>
    <w:rsid w:val="002344E8"/>
    <w:rsid w:val="00234F97"/>
    <w:rsid w:val="00236096"/>
    <w:rsid w:val="00236201"/>
    <w:rsid w:val="00236CA3"/>
    <w:rsid w:val="00237DB7"/>
    <w:rsid w:val="002415E1"/>
    <w:rsid w:val="00241A0E"/>
    <w:rsid w:val="00242478"/>
    <w:rsid w:val="00244209"/>
    <w:rsid w:val="00245674"/>
    <w:rsid w:val="00246BED"/>
    <w:rsid w:val="0025009C"/>
    <w:rsid w:val="00250638"/>
    <w:rsid w:val="0025168E"/>
    <w:rsid w:val="00251C3B"/>
    <w:rsid w:val="0025243E"/>
    <w:rsid w:val="00252E2B"/>
    <w:rsid w:val="002534D1"/>
    <w:rsid w:val="00253F15"/>
    <w:rsid w:val="002553C9"/>
    <w:rsid w:val="00256C0D"/>
    <w:rsid w:val="00256FD8"/>
    <w:rsid w:val="002572D4"/>
    <w:rsid w:val="00257C62"/>
    <w:rsid w:val="00262718"/>
    <w:rsid w:val="00263328"/>
    <w:rsid w:val="00263B8A"/>
    <w:rsid w:val="0026474E"/>
    <w:rsid w:val="00265D15"/>
    <w:rsid w:val="002661F6"/>
    <w:rsid w:val="0026634B"/>
    <w:rsid w:val="002678FB"/>
    <w:rsid w:val="00270D5E"/>
    <w:rsid w:val="0027133C"/>
    <w:rsid w:val="0027370A"/>
    <w:rsid w:val="00274D62"/>
    <w:rsid w:val="002758C2"/>
    <w:rsid w:val="00276B5B"/>
    <w:rsid w:val="00276BF3"/>
    <w:rsid w:val="00281364"/>
    <w:rsid w:val="0028262B"/>
    <w:rsid w:val="00285176"/>
    <w:rsid w:val="002868F0"/>
    <w:rsid w:val="002879EE"/>
    <w:rsid w:val="00290895"/>
    <w:rsid w:val="00290B5D"/>
    <w:rsid w:val="00294D36"/>
    <w:rsid w:val="002951E5"/>
    <w:rsid w:val="00295F74"/>
    <w:rsid w:val="0029610D"/>
    <w:rsid w:val="002971B8"/>
    <w:rsid w:val="002A088E"/>
    <w:rsid w:val="002A0BC3"/>
    <w:rsid w:val="002A221B"/>
    <w:rsid w:val="002A3174"/>
    <w:rsid w:val="002A3D42"/>
    <w:rsid w:val="002A427F"/>
    <w:rsid w:val="002A509D"/>
    <w:rsid w:val="002A69E7"/>
    <w:rsid w:val="002A6BCC"/>
    <w:rsid w:val="002A73C8"/>
    <w:rsid w:val="002A7555"/>
    <w:rsid w:val="002A7767"/>
    <w:rsid w:val="002A7F39"/>
    <w:rsid w:val="002B0180"/>
    <w:rsid w:val="002B0C15"/>
    <w:rsid w:val="002B115E"/>
    <w:rsid w:val="002B150C"/>
    <w:rsid w:val="002B1B0B"/>
    <w:rsid w:val="002B1F46"/>
    <w:rsid w:val="002B28E7"/>
    <w:rsid w:val="002B39A7"/>
    <w:rsid w:val="002B3ABB"/>
    <w:rsid w:val="002B6498"/>
    <w:rsid w:val="002C1D83"/>
    <w:rsid w:val="002C2200"/>
    <w:rsid w:val="002C2A51"/>
    <w:rsid w:val="002C35BB"/>
    <w:rsid w:val="002C3DB3"/>
    <w:rsid w:val="002C3E15"/>
    <w:rsid w:val="002C4320"/>
    <w:rsid w:val="002C43C5"/>
    <w:rsid w:val="002C4DFE"/>
    <w:rsid w:val="002C5CA6"/>
    <w:rsid w:val="002C73D5"/>
    <w:rsid w:val="002C7F1B"/>
    <w:rsid w:val="002D0B9D"/>
    <w:rsid w:val="002D0CC1"/>
    <w:rsid w:val="002D29C4"/>
    <w:rsid w:val="002D49BD"/>
    <w:rsid w:val="002D781B"/>
    <w:rsid w:val="002E0010"/>
    <w:rsid w:val="002E22AD"/>
    <w:rsid w:val="002E263B"/>
    <w:rsid w:val="002E2C34"/>
    <w:rsid w:val="002E33AD"/>
    <w:rsid w:val="002E4967"/>
    <w:rsid w:val="002E5F17"/>
    <w:rsid w:val="002E62DE"/>
    <w:rsid w:val="002E6C63"/>
    <w:rsid w:val="002F048A"/>
    <w:rsid w:val="002F062E"/>
    <w:rsid w:val="002F0DE3"/>
    <w:rsid w:val="002F1DF9"/>
    <w:rsid w:val="002F1EF0"/>
    <w:rsid w:val="002F3FED"/>
    <w:rsid w:val="002F5365"/>
    <w:rsid w:val="002F5D14"/>
    <w:rsid w:val="002F5D78"/>
    <w:rsid w:val="002F69A3"/>
    <w:rsid w:val="002F6A89"/>
    <w:rsid w:val="002F6B66"/>
    <w:rsid w:val="002F7E3B"/>
    <w:rsid w:val="00301664"/>
    <w:rsid w:val="00301BDB"/>
    <w:rsid w:val="00304035"/>
    <w:rsid w:val="00305D99"/>
    <w:rsid w:val="00307339"/>
    <w:rsid w:val="0031345A"/>
    <w:rsid w:val="00313A85"/>
    <w:rsid w:val="003154A2"/>
    <w:rsid w:val="0031672D"/>
    <w:rsid w:val="003178F7"/>
    <w:rsid w:val="003221A5"/>
    <w:rsid w:val="003238ED"/>
    <w:rsid w:val="003243A6"/>
    <w:rsid w:val="00324A9D"/>
    <w:rsid w:val="00324B9A"/>
    <w:rsid w:val="00327716"/>
    <w:rsid w:val="0032785A"/>
    <w:rsid w:val="00330261"/>
    <w:rsid w:val="00331F0F"/>
    <w:rsid w:val="00332715"/>
    <w:rsid w:val="00332E21"/>
    <w:rsid w:val="003331B1"/>
    <w:rsid w:val="0033387E"/>
    <w:rsid w:val="003358C8"/>
    <w:rsid w:val="00335A29"/>
    <w:rsid w:val="00336554"/>
    <w:rsid w:val="003367BC"/>
    <w:rsid w:val="00336C4F"/>
    <w:rsid w:val="0033768E"/>
    <w:rsid w:val="00337EC4"/>
    <w:rsid w:val="00343509"/>
    <w:rsid w:val="00343D16"/>
    <w:rsid w:val="00345C08"/>
    <w:rsid w:val="003461CB"/>
    <w:rsid w:val="003461DD"/>
    <w:rsid w:val="00346B4A"/>
    <w:rsid w:val="00347BE7"/>
    <w:rsid w:val="0035048B"/>
    <w:rsid w:val="00351676"/>
    <w:rsid w:val="003523A2"/>
    <w:rsid w:val="00353644"/>
    <w:rsid w:val="00355356"/>
    <w:rsid w:val="00356780"/>
    <w:rsid w:val="003573E3"/>
    <w:rsid w:val="00357A7B"/>
    <w:rsid w:val="00360487"/>
    <w:rsid w:val="00360836"/>
    <w:rsid w:val="00360EA3"/>
    <w:rsid w:val="003611C8"/>
    <w:rsid w:val="0036163C"/>
    <w:rsid w:val="003618B3"/>
    <w:rsid w:val="00361C6E"/>
    <w:rsid w:val="003622B6"/>
    <w:rsid w:val="00362C13"/>
    <w:rsid w:val="003631F7"/>
    <w:rsid w:val="00364545"/>
    <w:rsid w:val="003648A1"/>
    <w:rsid w:val="003650E1"/>
    <w:rsid w:val="0036567D"/>
    <w:rsid w:val="0036585B"/>
    <w:rsid w:val="00365DCE"/>
    <w:rsid w:val="003661A2"/>
    <w:rsid w:val="003714BD"/>
    <w:rsid w:val="00371652"/>
    <w:rsid w:val="0037274A"/>
    <w:rsid w:val="00373248"/>
    <w:rsid w:val="003739AD"/>
    <w:rsid w:val="00374196"/>
    <w:rsid w:val="00374235"/>
    <w:rsid w:val="003746D3"/>
    <w:rsid w:val="00374B39"/>
    <w:rsid w:val="00374D5D"/>
    <w:rsid w:val="00375A7F"/>
    <w:rsid w:val="00376D41"/>
    <w:rsid w:val="00383C31"/>
    <w:rsid w:val="00386117"/>
    <w:rsid w:val="00386A57"/>
    <w:rsid w:val="003870AB"/>
    <w:rsid w:val="00391CCF"/>
    <w:rsid w:val="0039562F"/>
    <w:rsid w:val="0039626F"/>
    <w:rsid w:val="003970F1"/>
    <w:rsid w:val="00397D72"/>
    <w:rsid w:val="003A09B5"/>
    <w:rsid w:val="003A15BE"/>
    <w:rsid w:val="003A5033"/>
    <w:rsid w:val="003A545E"/>
    <w:rsid w:val="003A569C"/>
    <w:rsid w:val="003A56BA"/>
    <w:rsid w:val="003A602E"/>
    <w:rsid w:val="003A6B93"/>
    <w:rsid w:val="003A718C"/>
    <w:rsid w:val="003B04E2"/>
    <w:rsid w:val="003B0DF1"/>
    <w:rsid w:val="003B113A"/>
    <w:rsid w:val="003B19C5"/>
    <w:rsid w:val="003B2CC6"/>
    <w:rsid w:val="003B35B4"/>
    <w:rsid w:val="003B3984"/>
    <w:rsid w:val="003B3A31"/>
    <w:rsid w:val="003B4787"/>
    <w:rsid w:val="003B569B"/>
    <w:rsid w:val="003B610C"/>
    <w:rsid w:val="003C0C8C"/>
    <w:rsid w:val="003C21C5"/>
    <w:rsid w:val="003C21E4"/>
    <w:rsid w:val="003C4124"/>
    <w:rsid w:val="003C4CCE"/>
    <w:rsid w:val="003C62F7"/>
    <w:rsid w:val="003C6EF6"/>
    <w:rsid w:val="003C7C07"/>
    <w:rsid w:val="003D1722"/>
    <w:rsid w:val="003D240E"/>
    <w:rsid w:val="003D2ED9"/>
    <w:rsid w:val="003D3223"/>
    <w:rsid w:val="003D3845"/>
    <w:rsid w:val="003D3D69"/>
    <w:rsid w:val="003D3DCF"/>
    <w:rsid w:val="003D5063"/>
    <w:rsid w:val="003D52D5"/>
    <w:rsid w:val="003D6754"/>
    <w:rsid w:val="003D698E"/>
    <w:rsid w:val="003E0597"/>
    <w:rsid w:val="003E0986"/>
    <w:rsid w:val="003E1703"/>
    <w:rsid w:val="003E1A9D"/>
    <w:rsid w:val="003E27C3"/>
    <w:rsid w:val="003E3AA7"/>
    <w:rsid w:val="003E42E4"/>
    <w:rsid w:val="003E4339"/>
    <w:rsid w:val="003E4A72"/>
    <w:rsid w:val="003E54E2"/>
    <w:rsid w:val="003E6270"/>
    <w:rsid w:val="003E6C4B"/>
    <w:rsid w:val="003E7F71"/>
    <w:rsid w:val="003F0741"/>
    <w:rsid w:val="003F201E"/>
    <w:rsid w:val="003F2F2D"/>
    <w:rsid w:val="003F46B7"/>
    <w:rsid w:val="003F4A62"/>
    <w:rsid w:val="003F76BF"/>
    <w:rsid w:val="003F76D8"/>
    <w:rsid w:val="0040175B"/>
    <w:rsid w:val="004020AF"/>
    <w:rsid w:val="004030C6"/>
    <w:rsid w:val="00403627"/>
    <w:rsid w:val="004042D8"/>
    <w:rsid w:val="00405E90"/>
    <w:rsid w:val="00406708"/>
    <w:rsid w:val="00406A52"/>
    <w:rsid w:val="004100FC"/>
    <w:rsid w:val="00410BE2"/>
    <w:rsid w:val="00410C5C"/>
    <w:rsid w:val="00410D56"/>
    <w:rsid w:val="00411AF9"/>
    <w:rsid w:val="004126AA"/>
    <w:rsid w:val="004128EC"/>
    <w:rsid w:val="00412B60"/>
    <w:rsid w:val="00414CDB"/>
    <w:rsid w:val="00415BD9"/>
    <w:rsid w:val="00415D85"/>
    <w:rsid w:val="00417717"/>
    <w:rsid w:val="004177F6"/>
    <w:rsid w:val="004204DA"/>
    <w:rsid w:val="00421BFE"/>
    <w:rsid w:val="004220ED"/>
    <w:rsid w:val="00422284"/>
    <w:rsid w:val="00423D0C"/>
    <w:rsid w:val="00425788"/>
    <w:rsid w:val="0042709F"/>
    <w:rsid w:val="00430407"/>
    <w:rsid w:val="004318B7"/>
    <w:rsid w:val="00432017"/>
    <w:rsid w:val="00432C2B"/>
    <w:rsid w:val="004355D5"/>
    <w:rsid w:val="00436ADF"/>
    <w:rsid w:val="0043730C"/>
    <w:rsid w:val="00437486"/>
    <w:rsid w:val="004412C4"/>
    <w:rsid w:val="00441643"/>
    <w:rsid w:val="00441CC7"/>
    <w:rsid w:val="0044233F"/>
    <w:rsid w:val="004445A7"/>
    <w:rsid w:val="004476F3"/>
    <w:rsid w:val="00447744"/>
    <w:rsid w:val="00447B3E"/>
    <w:rsid w:val="00452475"/>
    <w:rsid w:val="00452790"/>
    <w:rsid w:val="004531A1"/>
    <w:rsid w:val="00453377"/>
    <w:rsid w:val="0045408B"/>
    <w:rsid w:val="0045561E"/>
    <w:rsid w:val="00456062"/>
    <w:rsid w:val="00457BC4"/>
    <w:rsid w:val="00460812"/>
    <w:rsid w:val="0046143F"/>
    <w:rsid w:val="00461DA9"/>
    <w:rsid w:val="004621E9"/>
    <w:rsid w:val="004632D3"/>
    <w:rsid w:val="00463987"/>
    <w:rsid w:val="00463C62"/>
    <w:rsid w:val="0046511F"/>
    <w:rsid w:val="0046575C"/>
    <w:rsid w:val="00466D7A"/>
    <w:rsid w:val="004676F8"/>
    <w:rsid w:val="0047227E"/>
    <w:rsid w:val="0047370A"/>
    <w:rsid w:val="00473D89"/>
    <w:rsid w:val="0047478C"/>
    <w:rsid w:val="004748C0"/>
    <w:rsid w:val="004749F7"/>
    <w:rsid w:val="00474AB9"/>
    <w:rsid w:val="00474DE9"/>
    <w:rsid w:val="0048056A"/>
    <w:rsid w:val="00480BF2"/>
    <w:rsid w:val="004818CC"/>
    <w:rsid w:val="00481D14"/>
    <w:rsid w:val="00482A22"/>
    <w:rsid w:val="00482B69"/>
    <w:rsid w:val="00482CBD"/>
    <w:rsid w:val="00483D7A"/>
    <w:rsid w:val="0048508E"/>
    <w:rsid w:val="0048633E"/>
    <w:rsid w:val="00486B7D"/>
    <w:rsid w:val="00487123"/>
    <w:rsid w:val="00487400"/>
    <w:rsid w:val="00487FBA"/>
    <w:rsid w:val="00491655"/>
    <w:rsid w:val="00491AFA"/>
    <w:rsid w:val="00491C4D"/>
    <w:rsid w:val="00493F4B"/>
    <w:rsid w:val="00494B4D"/>
    <w:rsid w:val="0049531B"/>
    <w:rsid w:val="00495F53"/>
    <w:rsid w:val="0049660A"/>
    <w:rsid w:val="004968BE"/>
    <w:rsid w:val="004A05A7"/>
    <w:rsid w:val="004A26BC"/>
    <w:rsid w:val="004A2DB7"/>
    <w:rsid w:val="004A4ECD"/>
    <w:rsid w:val="004A6CB3"/>
    <w:rsid w:val="004A7767"/>
    <w:rsid w:val="004A78A0"/>
    <w:rsid w:val="004A7C3F"/>
    <w:rsid w:val="004A7F64"/>
    <w:rsid w:val="004B0354"/>
    <w:rsid w:val="004B18B8"/>
    <w:rsid w:val="004B2725"/>
    <w:rsid w:val="004B39F7"/>
    <w:rsid w:val="004B5514"/>
    <w:rsid w:val="004B5519"/>
    <w:rsid w:val="004B5851"/>
    <w:rsid w:val="004B5A56"/>
    <w:rsid w:val="004B5EE6"/>
    <w:rsid w:val="004B5FEE"/>
    <w:rsid w:val="004B656B"/>
    <w:rsid w:val="004B69FA"/>
    <w:rsid w:val="004B7741"/>
    <w:rsid w:val="004C0F85"/>
    <w:rsid w:val="004C0FF9"/>
    <w:rsid w:val="004C14AD"/>
    <w:rsid w:val="004C200B"/>
    <w:rsid w:val="004C20C8"/>
    <w:rsid w:val="004C24E1"/>
    <w:rsid w:val="004C2AFC"/>
    <w:rsid w:val="004C2C31"/>
    <w:rsid w:val="004C3660"/>
    <w:rsid w:val="004C3684"/>
    <w:rsid w:val="004C3D84"/>
    <w:rsid w:val="004C5CD2"/>
    <w:rsid w:val="004C61F5"/>
    <w:rsid w:val="004C6929"/>
    <w:rsid w:val="004C6F6C"/>
    <w:rsid w:val="004D0180"/>
    <w:rsid w:val="004D08DD"/>
    <w:rsid w:val="004D0EAB"/>
    <w:rsid w:val="004D0F5D"/>
    <w:rsid w:val="004D2900"/>
    <w:rsid w:val="004D2A2E"/>
    <w:rsid w:val="004D2BDD"/>
    <w:rsid w:val="004D589D"/>
    <w:rsid w:val="004D719E"/>
    <w:rsid w:val="004E0B69"/>
    <w:rsid w:val="004E154B"/>
    <w:rsid w:val="004E24E1"/>
    <w:rsid w:val="004E2C12"/>
    <w:rsid w:val="004E2F7B"/>
    <w:rsid w:val="004E32B0"/>
    <w:rsid w:val="004E346D"/>
    <w:rsid w:val="004E377A"/>
    <w:rsid w:val="004E420B"/>
    <w:rsid w:val="004E51DB"/>
    <w:rsid w:val="004E541E"/>
    <w:rsid w:val="004E5AD1"/>
    <w:rsid w:val="004E78D9"/>
    <w:rsid w:val="004E794B"/>
    <w:rsid w:val="004F0314"/>
    <w:rsid w:val="004F10E6"/>
    <w:rsid w:val="004F2647"/>
    <w:rsid w:val="004F3D41"/>
    <w:rsid w:val="004F43B8"/>
    <w:rsid w:val="004F6711"/>
    <w:rsid w:val="004F79D0"/>
    <w:rsid w:val="00500102"/>
    <w:rsid w:val="00501881"/>
    <w:rsid w:val="005031B7"/>
    <w:rsid w:val="005049DA"/>
    <w:rsid w:val="00504BD7"/>
    <w:rsid w:val="00505C4B"/>
    <w:rsid w:val="00507DF8"/>
    <w:rsid w:val="005104F0"/>
    <w:rsid w:val="00512C44"/>
    <w:rsid w:val="0051445F"/>
    <w:rsid w:val="005150B0"/>
    <w:rsid w:val="00515ECD"/>
    <w:rsid w:val="0051629A"/>
    <w:rsid w:val="00516734"/>
    <w:rsid w:val="0051725E"/>
    <w:rsid w:val="00517CC3"/>
    <w:rsid w:val="00520988"/>
    <w:rsid w:val="00521ECC"/>
    <w:rsid w:val="00522CEA"/>
    <w:rsid w:val="00522F70"/>
    <w:rsid w:val="00523A56"/>
    <w:rsid w:val="00523B2B"/>
    <w:rsid w:val="005244FB"/>
    <w:rsid w:val="0052608E"/>
    <w:rsid w:val="00530614"/>
    <w:rsid w:val="00530B8B"/>
    <w:rsid w:val="00531539"/>
    <w:rsid w:val="00532144"/>
    <w:rsid w:val="00532AD9"/>
    <w:rsid w:val="00533026"/>
    <w:rsid w:val="0053358A"/>
    <w:rsid w:val="00534578"/>
    <w:rsid w:val="00534C47"/>
    <w:rsid w:val="00534FDF"/>
    <w:rsid w:val="00535444"/>
    <w:rsid w:val="00535B81"/>
    <w:rsid w:val="00535C93"/>
    <w:rsid w:val="005365EC"/>
    <w:rsid w:val="00536D1B"/>
    <w:rsid w:val="0054030A"/>
    <w:rsid w:val="00540403"/>
    <w:rsid w:val="00542ED0"/>
    <w:rsid w:val="00545325"/>
    <w:rsid w:val="005455AF"/>
    <w:rsid w:val="00547612"/>
    <w:rsid w:val="005477F5"/>
    <w:rsid w:val="00550552"/>
    <w:rsid w:val="00551C4F"/>
    <w:rsid w:val="00552036"/>
    <w:rsid w:val="00552691"/>
    <w:rsid w:val="005529D0"/>
    <w:rsid w:val="005544F0"/>
    <w:rsid w:val="00554724"/>
    <w:rsid w:val="00555222"/>
    <w:rsid w:val="005553A7"/>
    <w:rsid w:val="005558C7"/>
    <w:rsid w:val="0055645F"/>
    <w:rsid w:val="00556C15"/>
    <w:rsid w:val="0055736D"/>
    <w:rsid w:val="00557685"/>
    <w:rsid w:val="0056007A"/>
    <w:rsid w:val="0056169D"/>
    <w:rsid w:val="00561808"/>
    <w:rsid w:val="00562EC6"/>
    <w:rsid w:val="005632CA"/>
    <w:rsid w:val="00563BBF"/>
    <w:rsid w:val="005660AC"/>
    <w:rsid w:val="00566EBA"/>
    <w:rsid w:val="0056734A"/>
    <w:rsid w:val="0057164A"/>
    <w:rsid w:val="005757CC"/>
    <w:rsid w:val="00576273"/>
    <w:rsid w:val="00576AEA"/>
    <w:rsid w:val="00577832"/>
    <w:rsid w:val="00577DF4"/>
    <w:rsid w:val="0058058D"/>
    <w:rsid w:val="00580A13"/>
    <w:rsid w:val="0058183B"/>
    <w:rsid w:val="00581C0F"/>
    <w:rsid w:val="00583BED"/>
    <w:rsid w:val="005844C9"/>
    <w:rsid w:val="00587276"/>
    <w:rsid w:val="00587D74"/>
    <w:rsid w:val="00590673"/>
    <w:rsid w:val="00590741"/>
    <w:rsid w:val="00590F78"/>
    <w:rsid w:val="00593420"/>
    <w:rsid w:val="0059405F"/>
    <w:rsid w:val="00594162"/>
    <w:rsid w:val="005945D4"/>
    <w:rsid w:val="00594A92"/>
    <w:rsid w:val="00595665"/>
    <w:rsid w:val="00595A14"/>
    <w:rsid w:val="00595D21"/>
    <w:rsid w:val="00597912"/>
    <w:rsid w:val="005A088D"/>
    <w:rsid w:val="005A0DB5"/>
    <w:rsid w:val="005A1468"/>
    <w:rsid w:val="005A42A7"/>
    <w:rsid w:val="005A6B9B"/>
    <w:rsid w:val="005A72A1"/>
    <w:rsid w:val="005B3B7C"/>
    <w:rsid w:val="005B3DBE"/>
    <w:rsid w:val="005B4158"/>
    <w:rsid w:val="005B44E9"/>
    <w:rsid w:val="005B4E11"/>
    <w:rsid w:val="005B5ABF"/>
    <w:rsid w:val="005B64D1"/>
    <w:rsid w:val="005C1C56"/>
    <w:rsid w:val="005C207F"/>
    <w:rsid w:val="005C2370"/>
    <w:rsid w:val="005C24F2"/>
    <w:rsid w:val="005C2B1F"/>
    <w:rsid w:val="005C2FC7"/>
    <w:rsid w:val="005C341E"/>
    <w:rsid w:val="005C35FC"/>
    <w:rsid w:val="005C584D"/>
    <w:rsid w:val="005C61CB"/>
    <w:rsid w:val="005C698E"/>
    <w:rsid w:val="005C78B9"/>
    <w:rsid w:val="005C7E40"/>
    <w:rsid w:val="005D12D7"/>
    <w:rsid w:val="005D1A87"/>
    <w:rsid w:val="005D37EB"/>
    <w:rsid w:val="005D3FD8"/>
    <w:rsid w:val="005D4A38"/>
    <w:rsid w:val="005D5223"/>
    <w:rsid w:val="005D6400"/>
    <w:rsid w:val="005D6A63"/>
    <w:rsid w:val="005D75AA"/>
    <w:rsid w:val="005E011D"/>
    <w:rsid w:val="005E0F44"/>
    <w:rsid w:val="005E0F72"/>
    <w:rsid w:val="005E3596"/>
    <w:rsid w:val="005E3803"/>
    <w:rsid w:val="005E4095"/>
    <w:rsid w:val="005E43C2"/>
    <w:rsid w:val="005E4487"/>
    <w:rsid w:val="005E54A0"/>
    <w:rsid w:val="005F0ECC"/>
    <w:rsid w:val="005F201E"/>
    <w:rsid w:val="005F20DD"/>
    <w:rsid w:val="005F215F"/>
    <w:rsid w:val="005F3336"/>
    <w:rsid w:val="005F38DD"/>
    <w:rsid w:val="005F3931"/>
    <w:rsid w:val="005F3BC5"/>
    <w:rsid w:val="005F6C6F"/>
    <w:rsid w:val="006008F4"/>
    <w:rsid w:val="00600DBA"/>
    <w:rsid w:val="00603088"/>
    <w:rsid w:val="00603BEA"/>
    <w:rsid w:val="00604568"/>
    <w:rsid w:val="006048B0"/>
    <w:rsid w:val="0060578D"/>
    <w:rsid w:val="00606DBD"/>
    <w:rsid w:val="006073BB"/>
    <w:rsid w:val="00607464"/>
    <w:rsid w:val="006100D2"/>
    <w:rsid w:val="00610C12"/>
    <w:rsid w:val="00611563"/>
    <w:rsid w:val="0061193D"/>
    <w:rsid w:val="00611F0F"/>
    <w:rsid w:val="00612C4C"/>
    <w:rsid w:val="00613AE9"/>
    <w:rsid w:val="00615342"/>
    <w:rsid w:val="00615DE7"/>
    <w:rsid w:val="00616B9C"/>
    <w:rsid w:val="0061729B"/>
    <w:rsid w:val="00621D25"/>
    <w:rsid w:val="00622ECD"/>
    <w:rsid w:val="00622F9C"/>
    <w:rsid w:val="006237DE"/>
    <w:rsid w:val="00624DC4"/>
    <w:rsid w:val="0062515E"/>
    <w:rsid w:val="00630140"/>
    <w:rsid w:val="006303F0"/>
    <w:rsid w:val="00630487"/>
    <w:rsid w:val="006311EC"/>
    <w:rsid w:val="00632C08"/>
    <w:rsid w:val="00632C63"/>
    <w:rsid w:val="0063446D"/>
    <w:rsid w:val="00634D2B"/>
    <w:rsid w:val="006366C9"/>
    <w:rsid w:val="0063788F"/>
    <w:rsid w:val="00637896"/>
    <w:rsid w:val="00637D92"/>
    <w:rsid w:val="006407E4"/>
    <w:rsid w:val="00640D42"/>
    <w:rsid w:val="00641115"/>
    <w:rsid w:val="0064155B"/>
    <w:rsid w:val="00641815"/>
    <w:rsid w:val="00641BA3"/>
    <w:rsid w:val="006423D7"/>
    <w:rsid w:val="006431F1"/>
    <w:rsid w:val="006434EF"/>
    <w:rsid w:val="006436B3"/>
    <w:rsid w:val="0064376F"/>
    <w:rsid w:val="00643A21"/>
    <w:rsid w:val="00643B12"/>
    <w:rsid w:val="0064433D"/>
    <w:rsid w:val="006446E7"/>
    <w:rsid w:val="00647096"/>
    <w:rsid w:val="00650B53"/>
    <w:rsid w:val="0065150E"/>
    <w:rsid w:val="00651C9C"/>
    <w:rsid w:val="00651FC9"/>
    <w:rsid w:val="006524E8"/>
    <w:rsid w:val="00653A23"/>
    <w:rsid w:val="0065438A"/>
    <w:rsid w:val="00660C28"/>
    <w:rsid w:val="0066157D"/>
    <w:rsid w:val="00661D40"/>
    <w:rsid w:val="00662B4B"/>
    <w:rsid w:val="00663834"/>
    <w:rsid w:val="00664AF3"/>
    <w:rsid w:val="00664D06"/>
    <w:rsid w:val="00664F99"/>
    <w:rsid w:val="006701BB"/>
    <w:rsid w:val="00670C0D"/>
    <w:rsid w:val="006715A0"/>
    <w:rsid w:val="00672223"/>
    <w:rsid w:val="006745CB"/>
    <w:rsid w:val="006746DA"/>
    <w:rsid w:val="006749AE"/>
    <w:rsid w:val="0067626D"/>
    <w:rsid w:val="0067641F"/>
    <w:rsid w:val="006779DD"/>
    <w:rsid w:val="00680442"/>
    <w:rsid w:val="00680BD7"/>
    <w:rsid w:val="00681417"/>
    <w:rsid w:val="00681730"/>
    <w:rsid w:val="00681AC3"/>
    <w:rsid w:val="00684BC9"/>
    <w:rsid w:val="0068512C"/>
    <w:rsid w:val="0068540C"/>
    <w:rsid w:val="006855F5"/>
    <w:rsid w:val="00685FDF"/>
    <w:rsid w:val="00687990"/>
    <w:rsid w:val="00687B9B"/>
    <w:rsid w:val="00687F41"/>
    <w:rsid w:val="00690055"/>
    <w:rsid w:val="0069029C"/>
    <w:rsid w:val="00690376"/>
    <w:rsid w:val="0069157D"/>
    <w:rsid w:val="00691B57"/>
    <w:rsid w:val="006923E6"/>
    <w:rsid w:val="00693061"/>
    <w:rsid w:val="00693270"/>
    <w:rsid w:val="006940BA"/>
    <w:rsid w:val="0069661B"/>
    <w:rsid w:val="00696ED2"/>
    <w:rsid w:val="00696FEA"/>
    <w:rsid w:val="0069759F"/>
    <w:rsid w:val="006A0B4E"/>
    <w:rsid w:val="006A0D4B"/>
    <w:rsid w:val="006A26C3"/>
    <w:rsid w:val="006A2FEE"/>
    <w:rsid w:val="006A3B94"/>
    <w:rsid w:val="006A402E"/>
    <w:rsid w:val="006A4D1C"/>
    <w:rsid w:val="006A4EDC"/>
    <w:rsid w:val="006A5B35"/>
    <w:rsid w:val="006A6239"/>
    <w:rsid w:val="006A6D08"/>
    <w:rsid w:val="006B0F17"/>
    <w:rsid w:val="006B1723"/>
    <w:rsid w:val="006B19F7"/>
    <w:rsid w:val="006B220B"/>
    <w:rsid w:val="006B3D11"/>
    <w:rsid w:val="006B47E3"/>
    <w:rsid w:val="006B51D9"/>
    <w:rsid w:val="006B5C1F"/>
    <w:rsid w:val="006B6470"/>
    <w:rsid w:val="006B65A1"/>
    <w:rsid w:val="006B71B8"/>
    <w:rsid w:val="006B74F1"/>
    <w:rsid w:val="006C0394"/>
    <w:rsid w:val="006C0451"/>
    <w:rsid w:val="006C21BA"/>
    <w:rsid w:val="006C2D98"/>
    <w:rsid w:val="006C32E5"/>
    <w:rsid w:val="006C4820"/>
    <w:rsid w:val="006C4DA1"/>
    <w:rsid w:val="006C6939"/>
    <w:rsid w:val="006C74CF"/>
    <w:rsid w:val="006C7E4E"/>
    <w:rsid w:val="006D3EEE"/>
    <w:rsid w:val="006D4966"/>
    <w:rsid w:val="006D5F07"/>
    <w:rsid w:val="006D770A"/>
    <w:rsid w:val="006D7E15"/>
    <w:rsid w:val="006E09A8"/>
    <w:rsid w:val="006E0C86"/>
    <w:rsid w:val="006E10A9"/>
    <w:rsid w:val="006E2A40"/>
    <w:rsid w:val="006E3F95"/>
    <w:rsid w:val="006E4589"/>
    <w:rsid w:val="006E4CAB"/>
    <w:rsid w:val="006E4E2F"/>
    <w:rsid w:val="006E51B8"/>
    <w:rsid w:val="006E578F"/>
    <w:rsid w:val="006E67E7"/>
    <w:rsid w:val="006E7030"/>
    <w:rsid w:val="006E7488"/>
    <w:rsid w:val="006F0A4D"/>
    <w:rsid w:val="006F15AA"/>
    <w:rsid w:val="006F2E0A"/>
    <w:rsid w:val="006F369F"/>
    <w:rsid w:val="006F63C7"/>
    <w:rsid w:val="006F6650"/>
    <w:rsid w:val="00701438"/>
    <w:rsid w:val="00701528"/>
    <w:rsid w:val="0070217B"/>
    <w:rsid w:val="007032DA"/>
    <w:rsid w:val="00704E60"/>
    <w:rsid w:val="007068AB"/>
    <w:rsid w:val="0070710C"/>
    <w:rsid w:val="00707A0E"/>
    <w:rsid w:val="007101B1"/>
    <w:rsid w:val="007105A4"/>
    <w:rsid w:val="00710955"/>
    <w:rsid w:val="007109CA"/>
    <w:rsid w:val="00713EC1"/>
    <w:rsid w:val="007140B8"/>
    <w:rsid w:val="007145D0"/>
    <w:rsid w:val="007152C3"/>
    <w:rsid w:val="0071688D"/>
    <w:rsid w:val="00716C26"/>
    <w:rsid w:val="00717B1C"/>
    <w:rsid w:val="00721881"/>
    <w:rsid w:val="0072239F"/>
    <w:rsid w:val="0072320D"/>
    <w:rsid w:val="007237AB"/>
    <w:rsid w:val="007249D6"/>
    <w:rsid w:val="00724BDB"/>
    <w:rsid w:val="00725F9D"/>
    <w:rsid w:val="007265D2"/>
    <w:rsid w:val="0072664B"/>
    <w:rsid w:val="007267CC"/>
    <w:rsid w:val="00726863"/>
    <w:rsid w:val="00727E5B"/>
    <w:rsid w:val="00730F30"/>
    <w:rsid w:val="00730F80"/>
    <w:rsid w:val="007327EB"/>
    <w:rsid w:val="00732D91"/>
    <w:rsid w:val="00733764"/>
    <w:rsid w:val="00733CF0"/>
    <w:rsid w:val="00734355"/>
    <w:rsid w:val="007347EC"/>
    <w:rsid w:val="00734B6B"/>
    <w:rsid w:val="00734C68"/>
    <w:rsid w:val="00734D79"/>
    <w:rsid w:val="00735D9C"/>
    <w:rsid w:val="00736112"/>
    <w:rsid w:val="00736655"/>
    <w:rsid w:val="00736671"/>
    <w:rsid w:val="00736C79"/>
    <w:rsid w:val="00736D0C"/>
    <w:rsid w:val="00737043"/>
    <w:rsid w:val="00737194"/>
    <w:rsid w:val="00737B46"/>
    <w:rsid w:val="007413B9"/>
    <w:rsid w:val="00741C0F"/>
    <w:rsid w:val="00742631"/>
    <w:rsid w:val="0074334C"/>
    <w:rsid w:val="00744C3D"/>
    <w:rsid w:val="00744F10"/>
    <w:rsid w:val="00745515"/>
    <w:rsid w:val="0074632A"/>
    <w:rsid w:val="00746A34"/>
    <w:rsid w:val="007472F2"/>
    <w:rsid w:val="00747B2A"/>
    <w:rsid w:val="00747BEE"/>
    <w:rsid w:val="00747E6C"/>
    <w:rsid w:val="0075061B"/>
    <w:rsid w:val="0075272A"/>
    <w:rsid w:val="0075390C"/>
    <w:rsid w:val="00753C49"/>
    <w:rsid w:val="007542AA"/>
    <w:rsid w:val="007554CC"/>
    <w:rsid w:val="007558DE"/>
    <w:rsid w:val="00755F3B"/>
    <w:rsid w:val="00760FF7"/>
    <w:rsid w:val="00761317"/>
    <w:rsid w:val="00761DDA"/>
    <w:rsid w:val="00762050"/>
    <w:rsid w:val="007622D3"/>
    <w:rsid w:val="00763AF3"/>
    <w:rsid w:val="00763D8D"/>
    <w:rsid w:val="0076429F"/>
    <w:rsid w:val="007643F5"/>
    <w:rsid w:val="00764620"/>
    <w:rsid w:val="00764907"/>
    <w:rsid w:val="00764F9C"/>
    <w:rsid w:val="00765089"/>
    <w:rsid w:val="00766F3C"/>
    <w:rsid w:val="0076793E"/>
    <w:rsid w:val="00767A49"/>
    <w:rsid w:val="0077059E"/>
    <w:rsid w:val="00770974"/>
    <w:rsid w:val="00773D1F"/>
    <w:rsid w:val="0077512E"/>
    <w:rsid w:val="0077599B"/>
    <w:rsid w:val="00776E52"/>
    <w:rsid w:val="00781CCC"/>
    <w:rsid w:val="00782B34"/>
    <w:rsid w:val="0078312C"/>
    <w:rsid w:val="00783315"/>
    <w:rsid w:val="00783510"/>
    <w:rsid w:val="0078589A"/>
    <w:rsid w:val="00786883"/>
    <w:rsid w:val="00787417"/>
    <w:rsid w:val="007916CF"/>
    <w:rsid w:val="00791B36"/>
    <w:rsid w:val="0079242B"/>
    <w:rsid w:val="00793140"/>
    <w:rsid w:val="0079320A"/>
    <w:rsid w:val="00793AD3"/>
    <w:rsid w:val="007955D8"/>
    <w:rsid w:val="00795ABC"/>
    <w:rsid w:val="00796B70"/>
    <w:rsid w:val="00797F9E"/>
    <w:rsid w:val="007A1038"/>
    <w:rsid w:val="007A1375"/>
    <w:rsid w:val="007A1420"/>
    <w:rsid w:val="007A2D49"/>
    <w:rsid w:val="007A320F"/>
    <w:rsid w:val="007A417F"/>
    <w:rsid w:val="007A45C0"/>
    <w:rsid w:val="007A5DCB"/>
    <w:rsid w:val="007A63DE"/>
    <w:rsid w:val="007A647D"/>
    <w:rsid w:val="007A64E1"/>
    <w:rsid w:val="007A68B7"/>
    <w:rsid w:val="007A6BB8"/>
    <w:rsid w:val="007A7504"/>
    <w:rsid w:val="007B06BE"/>
    <w:rsid w:val="007B2F1C"/>
    <w:rsid w:val="007B3549"/>
    <w:rsid w:val="007B3703"/>
    <w:rsid w:val="007B43AC"/>
    <w:rsid w:val="007B4FA5"/>
    <w:rsid w:val="007B52B0"/>
    <w:rsid w:val="007B587A"/>
    <w:rsid w:val="007B7456"/>
    <w:rsid w:val="007B75E5"/>
    <w:rsid w:val="007B7A4E"/>
    <w:rsid w:val="007C1282"/>
    <w:rsid w:val="007C2106"/>
    <w:rsid w:val="007C24C9"/>
    <w:rsid w:val="007C2877"/>
    <w:rsid w:val="007C2DA0"/>
    <w:rsid w:val="007C32DA"/>
    <w:rsid w:val="007C4516"/>
    <w:rsid w:val="007C5CB3"/>
    <w:rsid w:val="007D03FA"/>
    <w:rsid w:val="007D04BC"/>
    <w:rsid w:val="007D06B9"/>
    <w:rsid w:val="007D1343"/>
    <w:rsid w:val="007D1542"/>
    <w:rsid w:val="007D190E"/>
    <w:rsid w:val="007D3267"/>
    <w:rsid w:val="007D49E0"/>
    <w:rsid w:val="007D4DF7"/>
    <w:rsid w:val="007D502E"/>
    <w:rsid w:val="007D5C2E"/>
    <w:rsid w:val="007D5E2F"/>
    <w:rsid w:val="007D601F"/>
    <w:rsid w:val="007D6351"/>
    <w:rsid w:val="007D6500"/>
    <w:rsid w:val="007D6BCF"/>
    <w:rsid w:val="007D774D"/>
    <w:rsid w:val="007D7F7D"/>
    <w:rsid w:val="007E0507"/>
    <w:rsid w:val="007E18B3"/>
    <w:rsid w:val="007E2646"/>
    <w:rsid w:val="007E2A7E"/>
    <w:rsid w:val="007E36D1"/>
    <w:rsid w:val="007E3EBF"/>
    <w:rsid w:val="007E40C2"/>
    <w:rsid w:val="007E42B4"/>
    <w:rsid w:val="007E4C0E"/>
    <w:rsid w:val="007E567B"/>
    <w:rsid w:val="007E56E2"/>
    <w:rsid w:val="007E5B8A"/>
    <w:rsid w:val="007E64D6"/>
    <w:rsid w:val="007F25EA"/>
    <w:rsid w:val="007F3843"/>
    <w:rsid w:val="007F38DE"/>
    <w:rsid w:val="007F51D5"/>
    <w:rsid w:val="007F551F"/>
    <w:rsid w:val="007F5C0F"/>
    <w:rsid w:val="007F62CC"/>
    <w:rsid w:val="007F631C"/>
    <w:rsid w:val="007F709A"/>
    <w:rsid w:val="008006C1"/>
    <w:rsid w:val="00800975"/>
    <w:rsid w:val="00800DED"/>
    <w:rsid w:val="008013CB"/>
    <w:rsid w:val="008031E4"/>
    <w:rsid w:val="0080341C"/>
    <w:rsid w:val="0080368C"/>
    <w:rsid w:val="00803806"/>
    <w:rsid w:val="00804396"/>
    <w:rsid w:val="00804BE3"/>
    <w:rsid w:val="00805732"/>
    <w:rsid w:val="00806437"/>
    <w:rsid w:val="0080721A"/>
    <w:rsid w:val="00807B6E"/>
    <w:rsid w:val="00810702"/>
    <w:rsid w:val="00810906"/>
    <w:rsid w:val="008116DF"/>
    <w:rsid w:val="00812984"/>
    <w:rsid w:val="00813031"/>
    <w:rsid w:val="00813164"/>
    <w:rsid w:val="0081337A"/>
    <w:rsid w:val="00813722"/>
    <w:rsid w:val="0081408B"/>
    <w:rsid w:val="0081486E"/>
    <w:rsid w:val="00814BF2"/>
    <w:rsid w:val="0081526B"/>
    <w:rsid w:val="0081698B"/>
    <w:rsid w:val="00817EE9"/>
    <w:rsid w:val="008204FA"/>
    <w:rsid w:val="008207D4"/>
    <w:rsid w:val="00820BAF"/>
    <w:rsid w:val="008212C8"/>
    <w:rsid w:val="00824912"/>
    <w:rsid w:val="0082630C"/>
    <w:rsid w:val="0082685E"/>
    <w:rsid w:val="008268A2"/>
    <w:rsid w:val="00827A93"/>
    <w:rsid w:val="00827BE9"/>
    <w:rsid w:val="00830CB7"/>
    <w:rsid w:val="00830DDE"/>
    <w:rsid w:val="00831AC7"/>
    <w:rsid w:val="0083247B"/>
    <w:rsid w:val="008326D3"/>
    <w:rsid w:val="00832A45"/>
    <w:rsid w:val="0083351B"/>
    <w:rsid w:val="00834F9F"/>
    <w:rsid w:val="00837C8E"/>
    <w:rsid w:val="00840130"/>
    <w:rsid w:val="0084134C"/>
    <w:rsid w:val="00841772"/>
    <w:rsid w:val="00841F42"/>
    <w:rsid w:val="0084270F"/>
    <w:rsid w:val="0084370A"/>
    <w:rsid w:val="008437E5"/>
    <w:rsid w:val="00843A87"/>
    <w:rsid w:val="0084586E"/>
    <w:rsid w:val="0084677C"/>
    <w:rsid w:val="00847809"/>
    <w:rsid w:val="008508EF"/>
    <w:rsid w:val="00851453"/>
    <w:rsid w:val="0085147E"/>
    <w:rsid w:val="008515FB"/>
    <w:rsid w:val="008518FC"/>
    <w:rsid w:val="00854067"/>
    <w:rsid w:val="008554FF"/>
    <w:rsid w:val="008564E0"/>
    <w:rsid w:val="00856963"/>
    <w:rsid w:val="00856A9C"/>
    <w:rsid w:val="00857137"/>
    <w:rsid w:val="00860E29"/>
    <w:rsid w:val="008624E5"/>
    <w:rsid w:val="00862FC8"/>
    <w:rsid w:val="0086379B"/>
    <w:rsid w:val="008649CE"/>
    <w:rsid w:val="00864A99"/>
    <w:rsid w:val="008659D2"/>
    <w:rsid w:val="00865B0D"/>
    <w:rsid w:val="00865BDB"/>
    <w:rsid w:val="0086627C"/>
    <w:rsid w:val="0086770D"/>
    <w:rsid w:val="00867B1D"/>
    <w:rsid w:val="00870DA8"/>
    <w:rsid w:val="00871292"/>
    <w:rsid w:val="00872870"/>
    <w:rsid w:val="00872C35"/>
    <w:rsid w:val="00873970"/>
    <w:rsid w:val="00873A41"/>
    <w:rsid w:val="00875B1E"/>
    <w:rsid w:val="00880720"/>
    <w:rsid w:val="008808C2"/>
    <w:rsid w:val="00881EB6"/>
    <w:rsid w:val="008837BA"/>
    <w:rsid w:val="00883FB6"/>
    <w:rsid w:val="008849D3"/>
    <w:rsid w:val="00886F09"/>
    <w:rsid w:val="008877FF"/>
    <w:rsid w:val="00887F8A"/>
    <w:rsid w:val="008905FB"/>
    <w:rsid w:val="0089297A"/>
    <w:rsid w:val="0089390D"/>
    <w:rsid w:val="00893DD7"/>
    <w:rsid w:val="008941D5"/>
    <w:rsid w:val="008960B1"/>
    <w:rsid w:val="008962F8"/>
    <w:rsid w:val="00896851"/>
    <w:rsid w:val="00897361"/>
    <w:rsid w:val="008974E2"/>
    <w:rsid w:val="00897D0F"/>
    <w:rsid w:val="008A0CDB"/>
    <w:rsid w:val="008A15D8"/>
    <w:rsid w:val="008A1A4B"/>
    <w:rsid w:val="008A5309"/>
    <w:rsid w:val="008A7283"/>
    <w:rsid w:val="008A7C2B"/>
    <w:rsid w:val="008A7D3E"/>
    <w:rsid w:val="008B277E"/>
    <w:rsid w:val="008B2802"/>
    <w:rsid w:val="008B390E"/>
    <w:rsid w:val="008B3D8E"/>
    <w:rsid w:val="008B520D"/>
    <w:rsid w:val="008B6F1C"/>
    <w:rsid w:val="008C0074"/>
    <w:rsid w:val="008C1C6B"/>
    <w:rsid w:val="008C1DF1"/>
    <w:rsid w:val="008C3146"/>
    <w:rsid w:val="008C3C7C"/>
    <w:rsid w:val="008C47CF"/>
    <w:rsid w:val="008C57C9"/>
    <w:rsid w:val="008C5E3D"/>
    <w:rsid w:val="008C7B78"/>
    <w:rsid w:val="008C7D1B"/>
    <w:rsid w:val="008D0FEF"/>
    <w:rsid w:val="008D13F7"/>
    <w:rsid w:val="008D13FE"/>
    <w:rsid w:val="008D150A"/>
    <w:rsid w:val="008D25A3"/>
    <w:rsid w:val="008D3A11"/>
    <w:rsid w:val="008D401B"/>
    <w:rsid w:val="008D6687"/>
    <w:rsid w:val="008D7452"/>
    <w:rsid w:val="008D74A3"/>
    <w:rsid w:val="008E0016"/>
    <w:rsid w:val="008E1882"/>
    <w:rsid w:val="008E1894"/>
    <w:rsid w:val="008E25C9"/>
    <w:rsid w:val="008E28B6"/>
    <w:rsid w:val="008E38B2"/>
    <w:rsid w:val="008E460D"/>
    <w:rsid w:val="008E5AE2"/>
    <w:rsid w:val="008E5F4E"/>
    <w:rsid w:val="008E698A"/>
    <w:rsid w:val="008E7558"/>
    <w:rsid w:val="008F0F46"/>
    <w:rsid w:val="008F132C"/>
    <w:rsid w:val="008F1493"/>
    <w:rsid w:val="008F1514"/>
    <w:rsid w:val="008F1AC8"/>
    <w:rsid w:val="008F1FD4"/>
    <w:rsid w:val="008F3C8D"/>
    <w:rsid w:val="008F4B85"/>
    <w:rsid w:val="008F5A92"/>
    <w:rsid w:val="008F6D2F"/>
    <w:rsid w:val="008F7001"/>
    <w:rsid w:val="008F71E1"/>
    <w:rsid w:val="008F72D3"/>
    <w:rsid w:val="00901A36"/>
    <w:rsid w:val="0090258C"/>
    <w:rsid w:val="009027B6"/>
    <w:rsid w:val="00904FFB"/>
    <w:rsid w:val="00905754"/>
    <w:rsid w:val="00905B00"/>
    <w:rsid w:val="009066C6"/>
    <w:rsid w:val="00906A65"/>
    <w:rsid w:val="00911391"/>
    <w:rsid w:val="0091170A"/>
    <w:rsid w:val="009135E6"/>
    <w:rsid w:val="0091602C"/>
    <w:rsid w:val="0091614C"/>
    <w:rsid w:val="00917C24"/>
    <w:rsid w:val="00921083"/>
    <w:rsid w:val="0092265A"/>
    <w:rsid w:val="00922CB0"/>
    <w:rsid w:val="00923734"/>
    <w:rsid w:val="00925831"/>
    <w:rsid w:val="00926D71"/>
    <w:rsid w:val="009270F9"/>
    <w:rsid w:val="00927A4E"/>
    <w:rsid w:val="00927F6A"/>
    <w:rsid w:val="0093053A"/>
    <w:rsid w:val="00931A5C"/>
    <w:rsid w:val="009338DF"/>
    <w:rsid w:val="009365B3"/>
    <w:rsid w:val="00936891"/>
    <w:rsid w:val="00936BFF"/>
    <w:rsid w:val="0093712A"/>
    <w:rsid w:val="00937BEA"/>
    <w:rsid w:val="0094162B"/>
    <w:rsid w:val="009416FD"/>
    <w:rsid w:val="00941BB8"/>
    <w:rsid w:val="00943314"/>
    <w:rsid w:val="00944E39"/>
    <w:rsid w:val="0094523C"/>
    <w:rsid w:val="00945EAF"/>
    <w:rsid w:val="00945F8D"/>
    <w:rsid w:val="0094733C"/>
    <w:rsid w:val="0095181D"/>
    <w:rsid w:val="00952D1C"/>
    <w:rsid w:val="009530A1"/>
    <w:rsid w:val="009545A7"/>
    <w:rsid w:val="00954FA6"/>
    <w:rsid w:val="0095526A"/>
    <w:rsid w:val="00955E58"/>
    <w:rsid w:val="0095760D"/>
    <w:rsid w:val="009601DE"/>
    <w:rsid w:val="00960E10"/>
    <w:rsid w:val="00960F9C"/>
    <w:rsid w:val="00960FEB"/>
    <w:rsid w:val="00961905"/>
    <w:rsid w:val="0096337E"/>
    <w:rsid w:val="0096350E"/>
    <w:rsid w:val="00970884"/>
    <w:rsid w:val="00971293"/>
    <w:rsid w:val="0097131D"/>
    <w:rsid w:val="0097171C"/>
    <w:rsid w:val="00971FFB"/>
    <w:rsid w:val="0097225C"/>
    <w:rsid w:val="00972408"/>
    <w:rsid w:val="009732CF"/>
    <w:rsid w:val="009734C6"/>
    <w:rsid w:val="00976193"/>
    <w:rsid w:val="0097649F"/>
    <w:rsid w:val="0097746F"/>
    <w:rsid w:val="00980F58"/>
    <w:rsid w:val="0098271D"/>
    <w:rsid w:val="00984B8C"/>
    <w:rsid w:val="00990C19"/>
    <w:rsid w:val="0099150D"/>
    <w:rsid w:val="00991E78"/>
    <w:rsid w:val="00993459"/>
    <w:rsid w:val="009935A0"/>
    <w:rsid w:val="009939B8"/>
    <w:rsid w:val="00997314"/>
    <w:rsid w:val="009A2327"/>
    <w:rsid w:val="009A29C4"/>
    <w:rsid w:val="009A2A4D"/>
    <w:rsid w:val="009A34FB"/>
    <w:rsid w:val="009A4C9C"/>
    <w:rsid w:val="009A508C"/>
    <w:rsid w:val="009A5ABB"/>
    <w:rsid w:val="009B034D"/>
    <w:rsid w:val="009B13C8"/>
    <w:rsid w:val="009B3FAA"/>
    <w:rsid w:val="009B4241"/>
    <w:rsid w:val="009B4528"/>
    <w:rsid w:val="009B47B2"/>
    <w:rsid w:val="009B5515"/>
    <w:rsid w:val="009B5A67"/>
    <w:rsid w:val="009B5CA5"/>
    <w:rsid w:val="009C02CC"/>
    <w:rsid w:val="009C29AB"/>
    <w:rsid w:val="009C2BF8"/>
    <w:rsid w:val="009C2EC4"/>
    <w:rsid w:val="009C4E4E"/>
    <w:rsid w:val="009C4F24"/>
    <w:rsid w:val="009C609F"/>
    <w:rsid w:val="009C6A53"/>
    <w:rsid w:val="009D01C4"/>
    <w:rsid w:val="009D15CF"/>
    <w:rsid w:val="009D2189"/>
    <w:rsid w:val="009D34DA"/>
    <w:rsid w:val="009D3580"/>
    <w:rsid w:val="009D35C2"/>
    <w:rsid w:val="009D386B"/>
    <w:rsid w:val="009D5049"/>
    <w:rsid w:val="009D626F"/>
    <w:rsid w:val="009D78E4"/>
    <w:rsid w:val="009D7F00"/>
    <w:rsid w:val="009E0B0F"/>
    <w:rsid w:val="009E0B83"/>
    <w:rsid w:val="009E0E74"/>
    <w:rsid w:val="009E1005"/>
    <w:rsid w:val="009E24B7"/>
    <w:rsid w:val="009E50D1"/>
    <w:rsid w:val="009E64B5"/>
    <w:rsid w:val="009E69A0"/>
    <w:rsid w:val="009E6DD7"/>
    <w:rsid w:val="009E7DAE"/>
    <w:rsid w:val="009F0B09"/>
    <w:rsid w:val="009F0F77"/>
    <w:rsid w:val="009F1E35"/>
    <w:rsid w:val="009F250B"/>
    <w:rsid w:val="009F2B13"/>
    <w:rsid w:val="009F2B88"/>
    <w:rsid w:val="009F4392"/>
    <w:rsid w:val="009F443C"/>
    <w:rsid w:val="009F45CD"/>
    <w:rsid w:val="009F4627"/>
    <w:rsid w:val="009F5C7A"/>
    <w:rsid w:val="009F64F1"/>
    <w:rsid w:val="00A014A5"/>
    <w:rsid w:val="00A01979"/>
    <w:rsid w:val="00A01A66"/>
    <w:rsid w:val="00A01C71"/>
    <w:rsid w:val="00A03519"/>
    <w:rsid w:val="00A03E19"/>
    <w:rsid w:val="00A03F18"/>
    <w:rsid w:val="00A05386"/>
    <w:rsid w:val="00A058F6"/>
    <w:rsid w:val="00A064FC"/>
    <w:rsid w:val="00A06AD1"/>
    <w:rsid w:val="00A076C7"/>
    <w:rsid w:val="00A1014D"/>
    <w:rsid w:val="00A10668"/>
    <w:rsid w:val="00A10B14"/>
    <w:rsid w:val="00A10B72"/>
    <w:rsid w:val="00A10FCC"/>
    <w:rsid w:val="00A120EA"/>
    <w:rsid w:val="00A1250B"/>
    <w:rsid w:val="00A13AC5"/>
    <w:rsid w:val="00A13E91"/>
    <w:rsid w:val="00A14190"/>
    <w:rsid w:val="00A144EE"/>
    <w:rsid w:val="00A1561A"/>
    <w:rsid w:val="00A15E75"/>
    <w:rsid w:val="00A17CA5"/>
    <w:rsid w:val="00A206EF"/>
    <w:rsid w:val="00A22761"/>
    <w:rsid w:val="00A241D1"/>
    <w:rsid w:val="00A24A2D"/>
    <w:rsid w:val="00A2522A"/>
    <w:rsid w:val="00A259A2"/>
    <w:rsid w:val="00A25A32"/>
    <w:rsid w:val="00A30439"/>
    <w:rsid w:val="00A31A05"/>
    <w:rsid w:val="00A3313D"/>
    <w:rsid w:val="00A33E80"/>
    <w:rsid w:val="00A36D5F"/>
    <w:rsid w:val="00A37647"/>
    <w:rsid w:val="00A41103"/>
    <w:rsid w:val="00A43429"/>
    <w:rsid w:val="00A449CA"/>
    <w:rsid w:val="00A467FC"/>
    <w:rsid w:val="00A47877"/>
    <w:rsid w:val="00A50935"/>
    <w:rsid w:val="00A522E8"/>
    <w:rsid w:val="00A5249C"/>
    <w:rsid w:val="00A52FC9"/>
    <w:rsid w:val="00A53149"/>
    <w:rsid w:val="00A544B5"/>
    <w:rsid w:val="00A55B86"/>
    <w:rsid w:val="00A5742C"/>
    <w:rsid w:val="00A57498"/>
    <w:rsid w:val="00A57626"/>
    <w:rsid w:val="00A60381"/>
    <w:rsid w:val="00A60A79"/>
    <w:rsid w:val="00A60ECF"/>
    <w:rsid w:val="00A60FDA"/>
    <w:rsid w:val="00A613A5"/>
    <w:rsid w:val="00A61CBC"/>
    <w:rsid w:val="00A62ABC"/>
    <w:rsid w:val="00A63570"/>
    <w:rsid w:val="00A64300"/>
    <w:rsid w:val="00A6443D"/>
    <w:rsid w:val="00A64D43"/>
    <w:rsid w:val="00A65A5E"/>
    <w:rsid w:val="00A65FEE"/>
    <w:rsid w:val="00A66980"/>
    <w:rsid w:val="00A669C3"/>
    <w:rsid w:val="00A66FC9"/>
    <w:rsid w:val="00A672E6"/>
    <w:rsid w:val="00A672EB"/>
    <w:rsid w:val="00A700DB"/>
    <w:rsid w:val="00A703BC"/>
    <w:rsid w:val="00A70EC4"/>
    <w:rsid w:val="00A7215C"/>
    <w:rsid w:val="00A729DB"/>
    <w:rsid w:val="00A72E4A"/>
    <w:rsid w:val="00A750A6"/>
    <w:rsid w:val="00A75FD0"/>
    <w:rsid w:val="00A77930"/>
    <w:rsid w:val="00A80206"/>
    <w:rsid w:val="00A82E85"/>
    <w:rsid w:val="00A82FA5"/>
    <w:rsid w:val="00A84C19"/>
    <w:rsid w:val="00A85455"/>
    <w:rsid w:val="00A85FF8"/>
    <w:rsid w:val="00A869C9"/>
    <w:rsid w:val="00A87C05"/>
    <w:rsid w:val="00A87FD3"/>
    <w:rsid w:val="00A9166A"/>
    <w:rsid w:val="00A92B1E"/>
    <w:rsid w:val="00A94E4C"/>
    <w:rsid w:val="00A95476"/>
    <w:rsid w:val="00A95B9A"/>
    <w:rsid w:val="00A968DD"/>
    <w:rsid w:val="00AA1166"/>
    <w:rsid w:val="00AA2657"/>
    <w:rsid w:val="00AA2C6C"/>
    <w:rsid w:val="00AA39E2"/>
    <w:rsid w:val="00AA4B35"/>
    <w:rsid w:val="00AA4D39"/>
    <w:rsid w:val="00AA5F77"/>
    <w:rsid w:val="00AA66B9"/>
    <w:rsid w:val="00AB05F3"/>
    <w:rsid w:val="00AB0ACE"/>
    <w:rsid w:val="00AB0BE4"/>
    <w:rsid w:val="00AB13FD"/>
    <w:rsid w:val="00AB2AFA"/>
    <w:rsid w:val="00AB2DFB"/>
    <w:rsid w:val="00AB3387"/>
    <w:rsid w:val="00AB3759"/>
    <w:rsid w:val="00AB60A2"/>
    <w:rsid w:val="00AB6ABF"/>
    <w:rsid w:val="00AB7133"/>
    <w:rsid w:val="00AB7E42"/>
    <w:rsid w:val="00AC0438"/>
    <w:rsid w:val="00AC1588"/>
    <w:rsid w:val="00AC19F8"/>
    <w:rsid w:val="00AC432E"/>
    <w:rsid w:val="00AC77DD"/>
    <w:rsid w:val="00AD07F1"/>
    <w:rsid w:val="00AD1CFE"/>
    <w:rsid w:val="00AD2B51"/>
    <w:rsid w:val="00AD2F98"/>
    <w:rsid w:val="00AD4075"/>
    <w:rsid w:val="00AD483F"/>
    <w:rsid w:val="00AD486B"/>
    <w:rsid w:val="00AD48B7"/>
    <w:rsid w:val="00AD67FE"/>
    <w:rsid w:val="00AD6FD9"/>
    <w:rsid w:val="00AD7A34"/>
    <w:rsid w:val="00AE00D3"/>
    <w:rsid w:val="00AE1721"/>
    <w:rsid w:val="00AE175C"/>
    <w:rsid w:val="00AE28BC"/>
    <w:rsid w:val="00AE341D"/>
    <w:rsid w:val="00AE43E3"/>
    <w:rsid w:val="00AE4897"/>
    <w:rsid w:val="00AE4A69"/>
    <w:rsid w:val="00AE4E2B"/>
    <w:rsid w:val="00AE6E95"/>
    <w:rsid w:val="00AE736B"/>
    <w:rsid w:val="00AF02E0"/>
    <w:rsid w:val="00AF17B9"/>
    <w:rsid w:val="00AF1AF8"/>
    <w:rsid w:val="00AF25F0"/>
    <w:rsid w:val="00AF2CB6"/>
    <w:rsid w:val="00AF31A8"/>
    <w:rsid w:val="00AF32D7"/>
    <w:rsid w:val="00AF37F4"/>
    <w:rsid w:val="00AF436D"/>
    <w:rsid w:val="00AF4EE6"/>
    <w:rsid w:val="00AF5361"/>
    <w:rsid w:val="00AF548F"/>
    <w:rsid w:val="00B00D1B"/>
    <w:rsid w:val="00B013AB"/>
    <w:rsid w:val="00B01C85"/>
    <w:rsid w:val="00B0257C"/>
    <w:rsid w:val="00B03918"/>
    <w:rsid w:val="00B04EBF"/>
    <w:rsid w:val="00B053DA"/>
    <w:rsid w:val="00B064E2"/>
    <w:rsid w:val="00B0689A"/>
    <w:rsid w:val="00B0691A"/>
    <w:rsid w:val="00B076DA"/>
    <w:rsid w:val="00B1099D"/>
    <w:rsid w:val="00B119D1"/>
    <w:rsid w:val="00B132AA"/>
    <w:rsid w:val="00B1476A"/>
    <w:rsid w:val="00B14B8C"/>
    <w:rsid w:val="00B14CD6"/>
    <w:rsid w:val="00B152F8"/>
    <w:rsid w:val="00B177B1"/>
    <w:rsid w:val="00B17D26"/>
    <w:rsid w:val="00B20013"/>
    <w:rsid w:val="00B20D0B"/>
    <w:rsid w:val="00B20E09"/>
    <w:rsid w:val="00B22166"/>
    <w:rsid w:val="00B25239"/>
    <w:rsid w:val="00B25850"/>
    <w:rsid w:val="00B260B5"/>
    <w:rsid w:val="00B27B44"/>
    <w:rsid w:val="00B30B15"/>
    <w:rsid w:val="00B313A8"/>
    <w:rsid w:val="00B317AA"/>
    <w:rsid w:val="00B318D4"/>
    <w:rsid w:val="00B3320A"/>
    <w:rsid w:val="00B34378"/>
    <w:rsid w:val="00B34884"/>
    <w:rsid w:val="00B34C24"/>
    <w:rsid w:val="00B36284"/>
    <w:rsid w:val="00B36799"/>
    <w:rsid w:val="00B367E1"/>
    <w:rsid w:val="00B372D8"/>
    <w:rsid w:val="00B378F4"/>
    <w:rsid w:val="00B379D1"/>
    <w:rsid w:val="00B40007"/>
    <w:rsid w:val="00B415CC"/>
    <w:rsid w:val="00B41818"/>
    <w:rsid w:val="00B420B3"/>
    <w:rsid w:val="00B4656A"/>
    <w:rsid w:val="00B4668E"/>
    <w:rsid w:val="00B470FC"/>
    <w:rsid w:val="00B47CB7"/>
    <w:rsid w:val="00B50F06"/>
    <w:rsid w:val="00B52313"/>
    <w:rsid w:val="00B52505"/>
    <w:rsid w:val="00B525F2"/>
    <w:rsid w:val="00B529B8"/>
    <w:rsid w:val="00B54ADF"/>
    <w:rsid w:val="00B54E4C"/>
    <w:rsid w:val="00B5511C"/>
    <w:rsid w:val="00B55E0F"/>
    <w:rsid w:val="00B55F8E"/>
    <w:rsid w:val="00B56668"/>
    <w:rsid w:val="00B56B2A"/>
    <w:rsid w:val="00B56B85"/>
    <w:rsid w:val="00B57049"/>
    <w:rsid w:val="00B574D9"/>
    <w:rsid w:val="00B60240"/>
    <w:rsid w:val="00B60C9C"/>
    <w:rsid w:val="00B61315"/>
    <w:rsid w:val="00B61EF2"/>
    <w:rsid w:val="00B62110"/>
    <w:rsid w:val="00B62E66"/>
    <w:rsid w:val="00B63550"/>
    <w:rsid w:val="00B6444D"/>
    <w:rsid w:val="00B64C6D"/>
    <w:rsid w:val="00B64E79"/>
    <w:rsid w:val="00B65C09"/>
    <w:rsid w:val="00B65FF5"/>
    <w:rsid w:val="00B66714"/>
    <w:rsid w:val="00B66966"/>
    <w:rsid w:val="00B66B79"/>
    <w:rsid w:val="00B67E6E"/>
    <w:rsid w:val="00B7170A"/>
    <w:rsid w:val="00B71A02"/>
    <w:rsid w:val="00B71A91"/>
    <w:rsid w:val="00B72456"/>
    <w:rsid w:val="00B74332"/>
    <w:rsid w:val="00B74908"/>
    <w:rsid w:val="00B76A0A"/>
    <w:rsid w:val="00B76C77"/>
    <w:rsid w:val="00B77217"/>
    <w:rsid w:val="00B77BF5"/>
    <w:rsid w:val="00B81476"/>
    <w:rsid w:val="00B82583"/>
    <w:rsid w:val="00B831A1"/>
    <w:rsid w:val="00B831A4"/>
    <w:rsid w:val="00B845A4"/>
    <w:rsid w:val="00B849DF"/>
    <w:rsid w:val="00B85212"/>
    <w:rsid w:val="00B853C9"/>
    <w:rsid w:val="00B85ED4"/>
    <w:rsid w:val="00B913E7"/>
    <w:rsid w:val="00B91654"/>
    <w:rsid w:val="00B91888"/>
    <w:rsid w:val="00B918DA"/>
    <w:rsid w:val="00B91CEE"/>
    <w:rsid w:val="00B93CA3"/>
    <w:rsid w:val="00B9416C"/>
    <w:rsid w:val="00B945C0"/>
    <w:rsid w:val="00B94C6D"/>
    <w:rsid w:val="00B96535"/>
    <w:rsid w:val="00B965A0"/>
    <w:rsid w:val="00B97D87"/>
    <w:rsid w:val="00BA0851"/>
    <w:rsid w:val="00BA0BF0"/>
    <w:rsid w:val="00BA17DE"/>
    <w:rsid w:val="00BA2158"/>
    <w:rsid w:val="00BA21D2"/>
    <w:rsid w:val="00BA2612"/>
    <w:rsid w:val="00BA2DD9"/>
    <w:rsid w:val="00BA40E7"/>
    <w:rsid w:val="00BA4375"/>
    <w:rsid w:val="00BA52E4"/>
    <w:rsid w:val="00BA5558"/>
    <w:rsid w:val="00BA6D54"/>
    <w:rsid w:val="00BB04B5"/>
    <w:rsid w:val="00BB0B01"/>
    <w:rsid w:val="00BB1E0D"/>
    <w:rsid w:val="00BB37CA"/>
    <w:rsid w:val="00BB48F8"/>
    <w:rsid w:val="00BB4F82"/>
    <w:rsid w:val="00BB4FBF"/>
    <w:rsid w:val="00BB6C31"/>
    <w:rsid w:val="00BB761E"/>
    <w:rsid w:val="00BB7BE5"/>
    <w:rsid w:val="00BC010E"/>
    <w:rsid w:val="00BC0110"/>
    <w:rsid w:val="00BC20AE"/>
    <w:rsid w:val="00BC33DD"/>
    <w:rsid w:val="00BC3EB7"/>
    <w:rsid w:val="00BC4913"/>
    <w:rsid w:val="00BC79F9"/>
    <w:rsid w:val="00BC7A58"/>
    <w:rsid w:val="00BD0683"/>
    <w:rsid w:val="00BD10EF"/>
    <w:rsid w:val="00BD2763"/>
    <w:rsid w:val="00BD3740"/>
    <w:rsid w:val="00BD3DA7"/>
    <w:rsid w:val="00BD4719"/>
    <w:rsid w:val="00BD4973"/>
    <w:rsid w:val="00BD4DCF"/>
    <w:rsid w:val="00BD4DF2"/>
    <w:rsid w:val="00BD7130"/>
    <w:rsid w:val="00BD7795"/>
    <w:rsid w:val="00BD7B6C"/>
    <w:rsid w:val="00BE1CEA"/>
    <w:rsid w:val="00BE1E7B"/>
    <w:rsid w:val="00BE3074"/>
    <w:rsid w:val="00BE31AD"/>
    <w:rsid w:val="00BE4045"/>
    <w:rsid w:val="00BE40C3"/>
    <w:rsid w:val="00BE460D"/>
    <w:rsid w:val="00BE4CD1"/>
    <w:rsid w:val="00BE7726"/>
    <w:rsid w:val="00BF0308"/>
    <w:rsid w:val="00BF253A"/>
    <w:rsid w:val="00BF25A4"/>
    <w:rsid w:val="00BF25DC"/>
    <w:rsid w:val="00BF2C25"/>
    <w:rsid w:val="00BF4573"/>
    <w:rsid w:val="00BF5854"/>
    <w:rsid w:val="00BF5883"/>
    <w:rsid w:val="00BF5C99"/>
    <w:rsid w:val="00BF75C3"/>
    <w:rsid w:val="00BF787A"/>
    <w:rsid w:val="00C0059D"/>
    <w:rsid w:val="00C00D6E"/>
    <w:rsid w:val="00C01DB5"/>
    <w:rsid w:val="00C021EE"/>
    <w:rsid w:val="00C02E86"/>
    <w:rsid w:val="00C032A1"/>
    <w:rsid w:val="00C03356"/>
    <w:rsid w:val="00C033A5"/>
    <w:rsid w:val="00C061CF"/>
    <w:rsid w:val="00C062F1"/>
    <w:rsid w:val="00C0716A"/>
    <w:rsid w:val="00C11A60"/>
    <w:rsid w:val="00C12653"/>
    <w:rsid w:val="00C130FE"/>
    <w:rsid w:val="00C13DAE"/>
    <w:rsid w:val="00C156E2"/>
    <w:rsid w:val="00C17166"/>
    <w:rsid w:val="00C17642"/>
    <w:rsid w:val="00C203CB"/>
    <w:rsid w:val="00C20BAB"/>
    <w:rsid w:val="00C22CA0"/>
    <w:rsid w:val="00C23132"/>
    <w:rsid w:val="00C23300"/>
    <w:rsid w:val="00C23585"/>
    <w:rsid w:val="00C238B1"/>
    <w:rsid w:val="00C239AC"/>
    <w:rsid w:val="00C2530A"/>
    <w:rsid w:val="00C25CD7"/>
    <w:rsid w:val="00C2658F"/>
    <w:rsid w:val="00C27B35"/>
    <w:rsid w:val="00C30709"/>
    <w:rsid w:val="00C31072"/>
    <w:rsid w:val="00C32169"/>
    <w:rsid w:val="00C32705"/>
    <w:rsid w:val="00C3293A"/>
    <w:rsid w:val="00C3346C"/>
    <w:rsid w:val="00C3372D"/>
    <w:rsid w:val="00C34319"/>
    <w:rsid w:val="00C35B06"/>
    <w:rsid w:val="00C37427"/>
    <w:rsid w:val="00C401A9"/>
    <w:rsid w:val="00C40741"/>
    <w:rsid w:val="00C40F8F"/>
    <w:rsid w:val="00C41770"/>
    <w:rsid w:val="00C42057"/>
    <w:rsid w:val="00C423C3"/>
    <w:rsid w:val="00C42658"/>
    <w:rsid w:val="00C42C39"/>
    <w:rsid w:val="00C42EEB"/>
    <w:rsid w:val="00C43FE2"/>
    <w:rsid w:val="00C44B71"/>
    <w:rsid w:val="00C44C83"/>
    <w:rsid w:val="00C457B7"/>
    <w:rsid w:val="00C466AF"/>
    <w:rsid w:val="00C466DC"/>
    <w:rsid w:val="00C46D75"/>
    <w:rsid w:val="00C474F8"/>
    <w:rsid w:val="00C47C87"/>
    <w:rsid w:val="00C5066D"/>
    <w:rsid w:val="00C517B2"/>
    <w:rsid w:val="00C52097"/>
    <w:rsid w:val="00C520F2"/>
    <w:rsid w:val="00C52A4A"/>
    <w:rsid w:val="00C53027"/>
    <w:rsid w:val="00C53FB8"/>
    <w:rsid w:val="00C5688A"/>
    <w:rsid w:val="00C57BF7"/>
    <w:rsid w:val="00C6057E"/>
    <w:rsid w:val="00C60B44"/>
    <w:rsid w:val="00C61C70"/>
    <w:rsid w:val="00C62908"/>
    <w:rsid w:val="00C63161"/>
    <w:rsid w:val="00C635F2"/>
    <w:rsid w:val="00C64289"/>
    <w:rsid w:val="00C651BD"/>
    <w:rsid w:val="00C6571A"/>
    <w:rsid w:val="00C659E3"/>
    <w:rsid w:val="00C65E7A"/>
    <w:rsid w:val="00C66744"/>
    <w:rsid w:val="00C6679F"/>
    <w:rsid w:val="00C67E29"/>
    <w:rsid w:val="00C702B1"/>
    <w:rsid w:val="00C704F5"/>
    <w:rsid w:val="00C70A93"/>
    <w:rsid w:val="00C70E63"/>
    <w:rsid w:val="00C71867"/>
    <w:rsid w:val="00C73431"/>
    <w:rsid w:val="00C73F69"/>
    <w:rsid w:val="00C74149"/>
    <w:rsid w:val="00C747CF"/>
    <w:rsid w:val="00C751F6"/>
    <w:rsid w:val="00C75950"/>
    <w:rsid w:val="00C77206"/>
    <w:rsid w:val="00C77DF8"/>
    <w:rsid w:val="00C77E66"/>
    <w:rsid w:val="00C8041E"/>
    <w:rsid w:val="00C804D7"/>
    <w:rsid w:val="00C80BAF"/>
    <w:rsid w:val="00C82E4A"/>
    <w:rsid w:val="00C8419A"/>
    <w:rsid w:val="00C84798"/>
    <w:rsid w:val="00C84B4C"/>
    <w:rsid w:val="00C84D67"/>
    <w:rsid w:val="00C859C9"/>
    <w:rsid w:val="00C86257"/>
    <w:rsid w:val="00C867FF"/>
    <w:rsid w:val="00C87F41"/>
    <w:rsid w:val="00C91765"/>
    <w:rsid w:val="00C91B17"/>
    <w:rsid w:val="00C92146"/>
    <w:rsid w:val="00C9298A"/>
    <w:rsid w:val="00C92E37"/>
    <w:rsid w:val="00C93F5A"/>
    <w:rsid w:val="00C94F34"/>
    <w:rsid w:val="00C95A99"/>
    <w:rsid w:val="00CA0052"/>
    <w:rsid w:val="00CA1910"/>
    <w:rsid w:val="00CA201B"/>
    <w:rsid w:val="00CA22C1"/>
    <w:rsid w:val="00CA2938"/>
    <w:rsid w:val="00CA2B44"/>
    <w:rsid w:val="00CA32D7"/>
    <w:rsid w:val="00CA3959"/>
    <w:rsid w:val="00CA3EFC"/>
    <w:rsid w:val="00CA537E"/>
    <w:rsid w:val="00CA585B"/>
    <w:rsid w:val="00CA6D89"/>
    <w:rsid w:val="00CA6F78"/>
    <w:rsid w:val="00CB1698"/>
    <w:rsid w:val="00CB172D"/>
    <w:rsid w:val="00CB1DCD"/>
    <w:rsid w:val="00CB415C"/>
    <w:rsid w:val="00CB5765"/>
    <w:rsid w:val="00CB5CFC"/>
    <w:rsid w:val="00CB6F96"/>
    <w:rsid w:val="00CB75D4"/>
    <w:rsid w:val="00CC3222"/>
    <w:rsid w:val="00CC3745"/>
    <w:rsid w:val="00CC395C"/>
    <w:rsid w:val="00CC422D"/>
    <w:rsid w:val="00CC5D6A"/>
    <w:rsid w:val="00CC6120"/>
    <w:rsid w:val="00CC62A7"/>
    <w:rsid w:val="00CC64C7"/>
    <w:rsid w:val="00CC721B"/>
    <w:rsid w:val="00CC79F2"/>
    <w:rsid w:val="00CD118E"/>
    <w:rsid w:val="00CD1CF1"/>
    <w:rsid w:val="00CD26B8"/>
    <w:rsid w:val="00CD41C4"/>
    <w:rsid w:val="00CD462F"/>
    <w:rsid w:val="00CD4D75"/>
    <w:rsid w:val="00CD5AFD"/>
    <w:rsid w:val="00CD5BEF"/>
    <w:rsid w:val="00CD6A85"/>
    <w:rsid w:val="00CD768C"/>
    <w:rsid w:val="00CE030D"/>
    <w:rsid w:val="00CE2C72"/>
    <w:rsid w:val="00CE42C2"/>
    <w:rsid w:val="00CE67B4"/>
    <w:rsid w:val="00CE68A5"/>
    <w:rsid w:val="00CE7B7C"/>
    <w:rsid w:val="00CF03F9"/>
    <w:rsid w:val="00CF1575"/>
    <w:rsid w:val="00CF1FAD"/>
    <w:rsid w:val="00CF242B"/>
    <w:rsid w:val="00CF293F"/>
    <w:rsid w:val="00CF58B7"/>
    <w:rsid w:val="00CF5EBE"/>
    <w:rsid w:val="00CF7242"/>
    <w:rsid w:val="00CF7286"/>
    <w:rsid w:val="00CF7913"/>
    <w:rsid w:val="00CF7B1B"/>
    <w:rsid w:val="00D00C0B"/>
    <w:rsid w:val="00D01184"/>
    <w:rsid w:val="00D023DB"/>
    <w:rsid w:val="00D0242E"/>
    <w:rsid w:val="00D031B6"/>
    <w:rsid w:val="00D03411"/>
    <w:rsid w:val="00D03A9C"/>
    <w:rsid w:val="00D050EA"/>
    <w:rsid w:val="00D06057"/>
    <w:rsid w:val="00D07403"/>
    <w:rsid w:val="00D1070C"/>
    <w:rsid w:val="00D1092B"/>
    <w:rsid w:val="00D141D2"/>
    <w:rsid w:val="00D155AB"/>
    <w:rsid w:val="00D15957"/>
    <w:rsid w:val="00D15D8A"/>
    <w:rsid w:val="00D16650"/>
    <w:rsid w:val="00D16CB5"/>
    <w:rsid w:val="00D16E24"/>
    <w:rsid w:val="00D16E55"/>
    <w:rsid w:val="00D17B23"/>
    <w:rsid w:val="00D20B3C"/>
    <w:rsid w:val="00D20D97"/>
    <w:rsid w:val="00D246FE"/>
    <w:rsid w:val="00D2693E"/>
    <w:rsid w:val="00D270CA"/>
    <w:rsid w:val="00D27543"/>
    <w:rsid w:val="00D2759E"/>
    <w:rsid w:val="00D30ABD"/>
    <w:rsid w:val="00D30F27"/>
    <w:rsid w:val="00D324BE"/>
    <w:rsid w:val="00D32E4D"/>
    <w:rsid w:val="00D33DA8"/>
    <w:rsid w:val="00D33E95"/>
    <w:rsid w:val="00D33F7C"/>
    <w:rsid w:val="00D407E1"/>
    <w:rsid w:val="00D412F5"/>
    <w:rsid w:val="00D4137E"/>
    <w:rsid w:val="00D422F4"/>
    <w:rsid w:val="00D42BDE"/>
    <w:rsid w:val="00D4304D"/>
    <w:rsid w:val="00D442D1"/>
    <w:rsid w:val="00D4539D"/>
    <w:rsid w:val="00D47939"/>
    <w:rsid w:val="00D50372"/>
    <w:rsid w:val="00D50D59"/>
    <w:rsid w:val="00D51F13"/>
    <w:rsid w:val="00D528F2"/>
    <w:rsid w:val="00D52A05"/>
    <w:rsid w:val="00D52A29"/>
    <w:rsid w:val="00D52AB7"/>
    <w:rsid w:val="00D5390B"/>
    <w:rsid w:val="00D53AB8"/>
    <w:rsid w:val="00D5413C"/>
    <w:rsid w:val="00D54693"/>
    <w:rsid w:val="00D55B70"/>
    <w:rsid w:val="00D573A4"/>
    <w:rsid w:val="00D5766B"/>
    <w:rsid w:val="00D60EF4"/>
    <w:rsid w:val="00D613AA"/>
    <w:rsid w:val="00D6210F"/>
    <w:rsid w:val="00D62423"/>
    <w:rsid w:val="00D6254E"/>
    <w:rsid w:val="00D6487D"/>
    <w:rsid w:val="00D65512"/>
    <w:rsid w:val="00D65689"/>
    <w:rsid w:val="00D66844"/>
    <w:rsid w:val="00D66FE2"/>
    <w:rsid w:val="00D67DE2"/>
    <w:rsid w:val="00D702FC"/>
    <w:rsid w:val="00D71BC0"/>
    <w:rsid w:val="00D71EF7"/>
    <w:rsid w:val="00D7258A"/>
    <w:rsid w:val="00D738D2"/>
    <w:rsid w:val="00D75001"/>
    <w:rsid w:val="00D75643"/>
    <w:rsid w:val="00D75ECF"/>
    <w:rsid w:val="00D7686E"/>
    <w:rsid w:val="00D768CE"/>
    <w:rsid w:val="00D803D7"/>
    <w:rsid w:val="00D83731"/>
    <w:rsid w:val="00D8379C"/>
    <w:rsid w:val="00D8425E"/>
    <w:rsid w:val="00D8465C"/>
    <w:rsid w:val="00D851D5"/>
    <w:rsid w:val="00D85683"/>
    <w:rsid w:val="00D85F0F"/>
    <w:rsid w:val="00D873B8"/>
    <w:rsid w:val="00D87F5B"/>
    <w:rsid w:val="00D90875"/>
    <w:rsid w:val="00D90D6D"/>
    <w:rsid w:val="00D91AA6"/>
    <w:rsid w:val="00D93317"/>
    <w:rsid w:val="00D947C1"/>
    <w:rsid w:val="00D94BA8"/>
    <w:rsid w:val="00D96251"/>
    <w:rsid w:val="00DA1BE8"/>
    <w:rsid w:val="00DA2729"/>
    <w:rsid w:val="00DA2AA2"/>
    <w:rsid w:val="00DA3BA4"/>
    <w:rsid w:val="00DA3C75"/>
    <w:rsid w:val="00DA4CBF"/>
    <w:rsid w:val="00DA6829"/>
    <w:rsid w:val="00DA6DF1"/>
    <w:rsid w:val="00DA6E20"/>
    <w:rsid w:val="00DA7251"/>
    <w:rsid w:val="00DA7561"/>
    <w:rsid w:val="00DB013E"/>
    <w:rsid w:val="00DB021D"/>
    <w:rsid w:val="00DB03CC"/>
    <w:rsid w:val="00DB1272"/>
    <w:rsid w:val="00DB1BF5"/>
    <w:rsid w:val="00DB1F89"/>
    <w:rsid w:val="00DB29FD"/>
    <w:rsid w:val="00DB3AD3"/>
    <w:rsid w:val="00DB49C0"/>
    <w:rsid w:val="00DB5DB0"/>
    <w:rsid w:val="00DB60F5"/>
    <w:rsid w:val="00DB6CC1"/>
    <w:rsid w:val="00DB7111"/>
    <w:rsid w:val="00DB71C2"/>
    <w:rsid w:val="00DB7543"/>
    <w:rsid w:val="00DB765B"/>
    <w:rsid w:val="00DC4363"/>
    <w:rsid w:val="00DC5149"/>
    <w:rsid w:val="00DC5A8D"/>
    <w:rsid w:val="00DC63BD"/>
    <w:rsid w:val="00DC739A"/>
    <w:rsid w:val="00DC7BB9"/>
    <w:rsid w:val="00DC7FCC"/>
    <w:rsid w:val="00DD00EB"/>
    <w:rsid w:val="00DD2767"/>
    <w:rsid w:val="00DD4503"/>
    <w:rsid w:val="00DD5953"/>
    <w:rsid w:val="00DD778C"/>
    <w:rsid w:val="00DD7CAA"/>
    <w:rsid w:val="00DE02F1"/>
    <w:rsid w:val="00DE0AC4"/>
    <w:rsid w:val="00DE2C4F"/>
    <w:rsid w:val="00DE3E1C"/>
    <w:rsid w:val="00DE4463"/>
    <w:rsid w:val="00DE6F34"/>
    <w:rsid w:val="00DF038D"/>
    <w:rsid w:val="00DF0913"/>
    <w:rsid w:val="00DF11CF"/>
    <w:rsid w:val="00DF127B"/>
    <w:rsid w:val="00DF181B"/>
    <w:rsid w:val="00DF271A"/>
    <w:rsid w:val="00DF3584"/>
    <w:rsid w:val="00DF36EB"/>
    <w:rsid w:val="00DF4491"/>
    <w:rsid w:val="00DF5B4B"/>
    <w:rsid w:val="00DF61CB"/>
    <w:rsid w:val="00DF7EE5"/>
    <w:rsid w:val="00E01AB2"/>
    <w:rsid w:val="00E01FCD"/>
    <w:rsid w:val="00E02513"/>
    <w:rsid w:val="00E02859"/>
    <w:rsid w:val="00E0299A"/>
    <w:rsid w:val="00E03228"/>
    <w:rsid w:val="00E03444"/>
    <w:rsid w:val="00E03CEC"/>
    <w:rsid w:val="00E05146"/>
    <w:rsid w:val="00E066D2"/>
    <w:rsid w:val="00E06FCC"/>
    <w:rsid w:val="00E11C03"/>
    <w:rsid w:val="00E12643"/>
    <w:rsid w:val="00E1295A"/>
    <w:rsid w:val="00E13350"/>
    <w:rsid w:val="00E13755"/>
    <w:rsid w:val="00E1440D"/>
    <w:rsid w:val="00E149CE"/>
    <w:rsid w:val="00E14A54"/>
    <w:rsid w:val="00E15752"/>
    <w:rsid w:val="00E1671B"/>
    <w:rsid w:val="00E16B1F"/>
    <w:rsid w:val="00E17CF1"/>
    <w:rsid w:val="00E20E57"/>
    <w:rsid w:val="00E219B7"/>
    <w:rsid w:val="00E21B37"/>
    <w:rsid w:val="00E23551"/>
    <w:rsid w:val="00E23E88"/>
    <w:rsid w:val="00E244D6"/>
    <w:rsid w:val="00E24854"/>
    <w:rsid w:val="00E24A41"/>
    <w:rsid w:val="00E24F5A"/>
    <w:rsid w:val="00E2509E"/>
    <w:rsid w:val="00E25722"/>
    <w:rsid w:val="00E26905"/>
    <w:rsid w:val="00E26953"/>
    <w:rsid w:val="00E26CAE"/>
    <w:rsid w:val="00E2774C"/>
    <w:rsid w:val="00E31021"/>
    <w:rsid w:val="00E322BF"/>
    <w:rsid w:val="00E32303"/>
    <w:rsid w:val="00E33E71"/>
    <w:rsid w:val="00E344D6"/>
    <w:rsid w:val="00E34D9E"/>
    <w:rsid w:val="00E34FD1"/>
    <w:rsid w:val="00E36A73"/>
    <w:rsid w:val="00E36C9C"/>
    <w:rsid w:val="00E36CFC"/>
    <w:rsid w:val="00E36F56"/>
    <w:rsid w:val="00E370C7"/>
    <w:rsid w:val="00E373DE"/>
    <w:rsid w:val="00E377DF"/>
    <w:rsid w:val="00E37C1A"/>
    <w:rsid w:val="00E37FDF"/>
    <w:rsid w:val="00E427CF"/>
    <w:rsid w:val="00E42C9D"/>
    <w:rsid w:val="00E43835"/>
    <w:rsid w:val="00E44F25"/>
    <w:rsid w:val="00E45BBD"/>
    <w:rsid w:val="00E46661"/>
    <w:rsid w:val="00E46E81"/>
    <w:rsid w:val="00E4751D"/>
    <w:rsid w:val="00E50A5B"/>
    <w:rsid w:val="00E5135B"/>
    <w:rsid w:val="00E51851"/>
    <w:rsid w:val="00E54319"/>
    <w:rsid w:val="00E54FE7"/>
    <w:rsid w:val="00E554A3"/>
    <w:rsid w:val="00E55806"/>
    <w:rsid w:val="00E55954"/>
    <w:rsid w:val="00E617F2"/>
    <w:rsid w:val="00E61B3A"/>
    <w:rsid w:val="00E61F2E"/>
    <w:rsid w:val="00E63181"/>
    <w:rsid w:val="00E65C30"/>
    <w:rsid w:val="00E65F16"/>
    <w:rsid w:val="00E6625E"/>
    <w:rsid w:val="00E67438"/>
    <w:rsid w:val="00E67DA5"/>
    <w:rsid w:val="00E706C3"/>
    <w:rsid w:val="00E70DF3"/>
    <w:rsid w:val="00E72B6F"/>
    <w:rsid w:val="00E72F8A"/>
    <w:rsid w:val="00E73024"/>
    <w:rsid w:val="00E73462"/>
    <w:rsid w:val="00E74761"/>
    <w:rsid w:val="00E76284"/>
    <w:rsid w:val="00E770E6"/>
    <w:rsid w:val="00E773A1"/>
    <w:rsid w:val="00E777DE"/>
    <w:rsid w:val="00E8038C"/>
    <w:rsid w:val="00E80530"/>
    <w:rsid w:val="00E811C7"/>
    <w:rsid w:val="00E81EE5"/>
    <w:rsid w:val="00E8270E"/>
    <w:rsid w:val="00E832E8"/>
    <w:rsid w:val="00E83DB4"/>
    <w:rsid w:val="00E84727"/>
    <w:rsid w:val="00E861A5"/>
    <w:rsid w:val="00E861F7"/>
    <w:rsid w:val="00E86223"/>
    <w:rsid w:val="00E86BCB"/>
    <w:rsid w:val="00E87EF1"/>
    <w:rsid w:val="00E907E4"/>
    <w:rsid w:val="00E908E6"/>
    <w:rsid w:val="00E926E8"/>
    <w:rsid w:val="00E93E68"/>
    <w:rsid w:val="00E93E94"/>
    <w:rsid w:val="00E943D5"/>
    <w:rsid w:val="00E9453E"/>
    <w:rsid w:val="00E94781"/>
    <w:rsid w:val="00E953B8"/>
    <w:rsid w:val="00E95776"/>
    <w:rsid w:val="00E958CB"/>
    <w:rsid w:val="00E9626F"/>
    <w:rsid w:val="00EA0747"/>
    <w:rsid w:val="00EA106F"/>
    <w:rsid w:val="00EA1CC4"/>
    <w:rsid w:val="00EA4F5B"/>
    <w:rsid w:val="00EA505D"/>
    <w:rsid w:val="00EA535D"/>
    <w:rsid w:val="00EB057A"/>
    <w:rsid w:val="00EB1E29"/>
    <w:rsid w:val="00EB2211"/>
    <w:rsid w:val="00EB3D9A"/>
    <w:rsid w:val="00EB5258"/>
    <w:rsid w:val="00EB6084"/>
    <w:rsid w:val="00EB655F"/>
    <w:rsid w:val="00EB65AD"/>
    <w:rsid w:val="00EB686A"/>
    <w:rsid w:val="00EB68E4"/>
    <w:rsid w:val="00EC0938"/>
    <w:rsid w:val="00EC09EE"/>
    <w:rsid w:val="00EC1206"/>
    <w:rsid w:val="00EC1994"/>
    <w:rsid w:val="00EC20E2"/>
    <w:rsid w:val="00EC2C26"/>
    <w:rsid w:val="00EC459C"/>
    <w:rsid w:val="00EC5226"/>
    <w:rsid w:val="00EC6519"/>
    <w:rsid w:val="00EC67F2"/>
    <w:rsid w:val="00EC789D"/>
    <w:rsid w:val="00ED0058"/>
    <w:rsid w:val="00ED010C"/>
    <w:rsid w:val="00ED107D"/>
    <w:rsid w:val="00ED1108"/>
    <w:rsid w:val="00ED2055"/>
    <w:rsid w:val="00ED24D8"/>
    <w:rsid w:val="00ED31D0"/>
    <w:rsid w:val="00ED3E7D"/>
    <w:rsid w:val="00ED4613"/>
    <w:rsid w:val="00ED5803"/>
    <w:rsid w:val="00ED634D"/>
    <w:rsid w:val="00ED66DC"/>
    <w:rsid w:val="00EE0BAC"/>
    <w:rsid w:val="00EE5BF5"/>
    <w:rsid w:val="00EE7283"/>
    <w:rsid w:val="00EE7C03"/>
    <w:rsid w:val="00EF081B"/>
    <w:rsid w:val="00EF0D9C"/>
    <w:rsid w:val="00EF11D8"/>
    <w:rsid w:val="00EF17F8"/>
    <w:rsid w:val="00EF274D"/>
    <w:rsid w:val="00EF2FC4"/>
    <w:rsid w:val="00EF366E"/>
    <w:rsid w:val="00EF38C0"/>
    <w:rsid w:val="00EF3E57"/>
    <w:rsid w:val="00EF5839"/>
    <w:rsid w:val="00EF7C8E"/>
    <w:rsid w:val="00F004DC"/>
    <w:rsid w:val="00F01531"/>
    <w:rsid w:val="00F0232A"/>
    <w:rsid w:val="00F02796"/>
    <w:rsid w:val="00F02D0A"/>
    <w:rsid w:val="00F030C5"/>
    <w:rsid w:val="00F03ED5"/>
    <w:rsid w:val="00F040C1"/>
    <w:rsid w:val="00F05250"/>
    <w:rsid w:val="00F06FC2"/>
    <w:rsid w:val="00F0793D"/>
    <w:rsid w:val="00F112EF"/>
    <w:rsid w:val="00F12FEB"/>
    <w:rsid w:val="00F13ED5"/>
    <w:rsid w:val="00F141EB"/>
    <w:rsid w:val="00F153CC"/>
    <w:rsid w:val="00F167AA"/>
    <w:rsid w:val="00F169A0"/>
    <w:rsid w:val="00F16DF8"/>
    <w:rsid w:val="00F17710"/>
    <w:rsid w:val="00F206B4"/>
    <w:rsid w:val="00F214F2"/>
    <w:rsid w:val="00F231B2"/>
    <w:rsid w:val="00F2350A"/>
    <w:rsid w:val="00F247CE"/>
    <w:rsid w:val="00F24CED"/>
    <w:rsid w:val="00F25B90"/>
    <w:rsid w:val="00F264C9"/>
    <w:rsid w:val="00F266E1"/>
    <w:rsid w:val="00F3034A"/>
    <w:rsid w:val="00F3039D"/>
    <w:rsid w:val="00F306B9"/>
    <w:rsid w:val="00F31BE9"/>
    <w:rsid w:val="00F3286E"/>
    <w:rsid w:val="00F33BC8"/>
    <w:rsid w:val="00F34EDB"/>
    <w:rsid w:val="00F37778"/>
    <w:rsid w:val="00F3793D"/>
    <w:rsid w:val="00F4122F"/>
    <w:rsid w:val="00F415AE"/>
    <w:rsid w:val="00F4502C"/>
    <w:rsid w:val="00F4517C"/>
    <w:rsid w:val="00F456E8"/>
    <w:rsid w:val="00F4657A"/>
    <w:rsid w:val="00F4679B"/>
    <w:rsid w:val="00F4690A"/>
    <w:rsid w:val="00F46F7F"/>
    <w:rsid w:val="00F50596"/>
    <w:rsid w:val="00F53735"/>
    <w:rsid w:val="00F54E04"/>
    <w:rsid w:val="00F5548C"/>
    <w:rsid w:val="00F555C4"/>
    <w:rsid w:val="00F5588F"/>
    <w:rsid w:val="00F568E1"/>
    <w:rsid w:val="00F56F93"/>
    <w:rsid w:val="00F608AA"/>
    <w:rsid w:val="00F622AB"/>
    <w:rsid w:val="00F62F2A"/>
    <w:rsid w:val="00F631F0"/>
    <w:rsid w:val="00F635D9"/>
    <w:rsid w:val="00F65069"/>
    <w:rsid w:val="00F654B8"/>
    <w:rsid w:val="00F668A4"/>
    <w:rsid w:val="00F67083"/>
    <w:rsid w:val="00F6735D"/>
    <w:rsid w:val="00F67D58"/>
    <w:rsid w:val="00F7150B"/>
    <w:rsid w:val="00F72C38"/>
    <w:rsid w:val="00F735E4"/>
    <w:rsid w:val="00F7433E"/>
    <w:rsid w:val="00F7488A"/>
    <w:rsid w:val="00F74FC5"/>
    <w:rsid w:val="00F75EB4"/>
    <w:rsid w:val="00F82A95"/>
    <w:rsid w:val="00F83504"/>
    <w:rsid w:val="00F835C7"/>
    <w:rsid w:val="00F8361D"/>
    <w:rsid w:val="00F9234A"/>
    <w:rsid w:val="00F93148"/>
    <w:rsid w:val="00F93965"/>
    <w:rsid w:val="00F941D3"/>
    <w:rsid w:val="00F946B0"/>
    <w:rsid w:val="00F97738"/>
    <w:rsid w:val="00F97B02"/>
    <w:rsid w:val="00FA191A"/>
    <w:rsid w:val="00FA1976"/>
    <w:rsid w:val="00FA1EFF"/>
    <w:rsid w:val="00FA2D47"/>
    <w:rsid w:val="00FA2EAE"/>
    <w:rsid w:val="00FA34D0"/>
    <w:rsid w:val="00FA3526"/>
    <w:rsid w:val="00FA3FE8"/>
    <w:rsid w:val="00FA434E"/>
    <w:rsid w:val="00FA4365"/>
    <w:rsid w:val="00FA4536"/>
    <w:rsid w:val="00FA54DE"/>
    <w:rsid w:val="00FA6E18"/>
    <w:rsid w:val="00FA6ED5"/>
    <w:rsid w:val="00FA7010"/>
    <w:rsid w:val="00FA7806"/>
    <w:rsid w:val="00FB0732"/>
    <w:rsid w:val="00FB0F03"/>
    <w:rsid w:val="00FB24B7"/>
    <w:rsid w:val="00FB2B67"/>
    <w:rsid w:val="00FB31FD"/>
    <w:rsid w:val="00FB3C19"/>
    <w:rsid w:val="00FB3E0F"/>
    <w:rsid w:val="00FB434E"/>
    <w:rsid w:val="00FB4A9E"/>
    <w:rsid w:val="00FB6185"/>
    <w:rsid w:val="00FB6927"/>
    <w:rsid w:val="00FB6D25"/>
    <w:rsid w:val="00FB75E1"/>
    <w:rsid w:val="00FC0AAF"/>
    <w:rsid w:val="00FC0F67"/>
    <w:rsid w:val="00FC123E"/>
    <w:rsid w:val="00FC1653"/>
    <w:rsid w:val="00FC2201"/>
    <w:rsid w:val="00FC3BDC"/>
    <w:rsid w:val="00FC45B7"/>
    <w:rsid w:val="00FC489A"/>
    <w:rsid w:val="00FC4E17"/>
    <w:rsid w:val="00FC5C70"/>
    <w:rsid w:val="00FC5F4C"/>
    <w:rsid w:val="00FC78E1"/>
    <w:rsid w:val="00FD00A0"/>
    <w:rsid w:val="00FD198E"/>
    <w:rsid w:val="00FD1CE0"/>
    <w:rsid w:val="00FD271F"/>
    <w:rsid w:val="00FD3132"/>
    <w:rsid w:val="00FD3492"/>
    <w:rsid w:val="00FD4333"/>
    <w:rsid w:val="00FD481D"/>
    <w:rsid w:val="00FD52E3"/>
    <w:rsid w:val="00FD5EA7"/>
    <w:rsid w:val="00FD6004"/>
    <w:rsid w:val="00FE0011"/>
    <w:rsid w:val="00FE1374"/>
    <w:rsid w:val="00FE1492"/>
    <w:rsid w:val="00FE177A"/>
    <w:rsid w:val="00FE2282"/>
    <w:rsid w:val="00FE4F4F"/>
    <w:rsid w:val="00FE5D34"/>
    <w:rsid w:val="00FE6303"/>
    <w:rsid w:val="00FF2650"/>
    <w:rsid w:val="00FF2AF8"/>
    <w:rsid w:val="00FF2D23"/>
    <w:rsid w:val="00FF4301"/>
    <w:rsid w:val="00FF4908"/>
    <w:rsid w:val="00FF4AED"/>
    <w:rsid w:val="00FF4D41"/>
    <w:rsid w:val="00FF55EE"/>
    <w:rsid w:val="00FF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292"/>
    <w:pPr>
      <w:spacing w:before="120" w:after="120"/>
    </w:pPr>
    <w:rPr>
      <w:sz w:val="22"/>
      <w:szCs w:val="22"/>
    </w:r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clear" w:pos="1260"/>
        <w:tab w:val="left" w:pos="504"/>
        <w:tab w:val="num" w:pos="1350"/>
      </w:tabs>
      <w:ind w:left="1422"/>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0"/>
    </w:rPr>
  </w:style>
  <w:style w:type="paragraph" w:styleId="Heading6">
    <w:name w:val="heading 6"/>
    <w:basedOn w:val="Heading5"/>
    <w:next w:val="Normal"/>
    <w:link w:val="Heading6Char"/>
    <w:uiPriority w:val="99"/>
    <w:qFormat/>
    <w:rsid w:val="00881EB6"/>
    <w:pPr>
      <w:numPr>
        <w:ilvl w:val="0"/>
        <w:numId w:val="0"/>
      </w:numPr>
      <w:spacing w:after="0"/>
      <w:outlineLvl w:val="5"/>
    </w:pPr>
    <w:rPr>
      <w:rFonts w:eastAsia="Calibri"/>
      <w:i/>
      <w:color w:val="0047B7"/>
      <w:sz w:val="26"/>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25A4"/>
    <w:rPr>
      <w:rFonts w:ascii="Cambria" w:eastAsia="Times New Roman" w:hAnsi="Cambria"/>
      <w:b/>
      <w:bCs/>
      <w:color w:val="00357F"/>
      <w:sz w:val="32"/>
      <w:szCs w:val="28"/>
    </w:rPr>
  </w:style>
  <w:style w:type="character" w:customStyle="1" w:styleId="Heading2Char">
    <w:name w:val="Heading 2 Char"/>
    <w:link w:val="Heading2"/>
    <w:uiPriority w:val="99"/>
    <w:locked/>
    <w:rsid w:val="00BF25A4"/>
    <w:rPr>
      <w:rFonts w:ascii="Cambria" w:eastAsia="Times New Roman" w:hAnsi="Cambria"/>
      <w:b/>
      <w:color w:val="00357F"/>
      <w:sz w:val="28"/>
      <w:szCs w:val="26"/>
    </w:rPr>
  </w:style>
  <w:style w:type="character" w:customStyle="1" w:styleId="Heading3Char">
    <w:name w:val="Heading 3 Char"/>
    <w:link w:val="Heading3"/>
    <w:uiPriority w:val="99"/>
    <w:locked/>
    <w:rsid w:val="00BF25A4"/>
    <w:rPr>
      <w:rFonts w:ascii="Cambria" w:eastAsia="Times New Roman" w:hAnsi="Cambria"/>
      <w:b/>
      <w:bCs/>
      <w:color w:val="00357F"/>
      <w:sz w:val="26"/>
      <w:szCs w:val="26"/>
    </w:rPr>
  </w:style>
  <w:style w:type="character" w:customStyle="1" w:styleId="Heading4Char">
    <w:name w:val="Heading 4 Char"/>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link w:val="Heading5"/>
    <w:uiPriority w:val="99"/>
    <w:locked/>
    <w:rsid w:val="008D401B"/>
    <w:rPr>
      <w:rFonts w:ascii="Cambria" w:eastAsia="Times New Roman" w:hAnsi="Cambria"/>
      <w:b/>
      <w:bCs/>
      <w:iCs/>
      <w:color w:val="00357F"/>
      <w:szCs w:val="26"/>
    </w:rPr>
  </w:style>
  <w:style w:type="character" w:customStyle="1" w:styleId="Heading6Char">
    <w:name w:val="Heading 6 Char"/>
    <w:link w:val="Heading6"/>
    <w:uiPriority w:val="99"/>
    <w:locked/>
    <w:rsid w:val="008D401B"/>
    <w:rPr>
      <w:rFonts w:ascii="Cambria" w:hAnsi="Cambria" w:cs="Times New Roman"/>
      <w:b/>
      <w:bCs/>
      <w:i/>
      <w:iCs/>
      <w:color w:val="0047B7"/>
      <w:sz w:val="26"/>
      <w:szCs w:val="26"/>
    </w:rPr>
  </w:style>
  <w:style w:type="character" w:customStyle="1" w:styleId="Heading7Char">
    <w:name w:val="Heading 7 Char"/>
    <w:link w:val="Heading7"/>
    <w:uiPriority w:val="99"/>
    <w:locked/>
    <w:rsid w:val="008D401B"/>
    <w:rPr>
      <w:rFonts w:ascii="Cambria" w:eastAsia="Times New Roman" w:hAnsi="Cambria"/>
      <w:b/>
      <w:bCs/>
      <w:color w:val="00357F"/>
      <w:sz w:val="32"/>
      <w:szCs w:val="28"/>
    </w:rPr>
  </w:style>
  <w:style w:type="character" w:customStyle="1" w:styleId="Heading8Char">
    <w:name w:val="Heading 8 Char"/>
    <w:link w:val="Heading8"/>
    <w:uiPriority w:val="99"/>
    <w:locked/>
    <w:rsid w:val="00BD3DA7"/>
    <w:rPr>
      <w:rFonts w:ascii="Cambria" w:hAnsi="Cambria" w:cs="Times New Roman"/>
      <w:color w:val="404040"/>
      <w:sz w:val="20"/>
      <w:szCs w:val="20"/>
    </w:rPr>
  </w:style>
  <w:style w:type="character" w:customStyle="1" w:styleId="Heading9Char">
    <w:name w:val="Heading 9 Char"/>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rPr>
      <w:b w:val="0"/>
      <w:bCs w:val="0"/>
    </w:rPr>
  </w:style>
  <w:style w:type="paragraph" w:styleId="Header">
    <w:name w:val="header"/>
    <w:basedOn w:val="Normal"/>
    <w:link w:val="HeaderChar"/>
    <w:uiPriority w:val="99"/>
    <w:rsid w:val="00881EB6"/>
    <w:pPr>
      <w:tabs>
        <w:tab w:val="center" w:pos="4680"/>
        <w:tab w:val="right" w:pos="9360"/>
      </w:tabs>
    </w:pPr>
    <w:rPr>
      <w:sz w:val="20"/>
      <w:szCs w:val="20"/>
    </w:rPr>
  </w:style>
  <w:style w:type="character" w:customStyle="1" w:styleId="HeaderChar">
    <w:name w:val="Header Char"/>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eastAsia="Times New Roman" w:hAnsi="Cambria"/>
      <w:noProof/>
      <w:color w:val="595959"/>
      <w:sz w:val="16"/>
      <w:szCs w:val="20"/>
    </w:rPr>
  </w:style>
  <w:style w:type="character" w:customStyle="1" w:styleId="FooterChar">
    <w:name w:val="Footer Char"/>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20"/>
      <w:szCs w:val="20"/>
    </w:rPr>
  </w:style>
  <w:style w:type="character" w:customStyle="1" w:styleId="FootnoteTextChar">
    <w:name w:val="Footnote Text Char"/>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uiPriority w:val="99"/>
    <w:rsid w:val="00881EB6"/>
    <w:rPr>
      <w:rFonts w:cs="Times New Roman"/>
      <w:vertAlign w:val="superscript"/>
    </w:rPr>
  </w:style>
  <w:style w:type="character" w:customStyle="1" w:styleId="HeadingFrontandBackMatterChar">
    <w:name w:val="Heading Front and Back Matter Char"/>
    <w:link w:val="HeadingFrontandBackMatter"/>
    <w:uiPriority w:val="99"/>
    <w:locked/>
    <w:rsid w:val="00DA6DF1"/>
    <w:rPr>
      <w:rFonts w:ascii="Cambria" w:eastAsia="Times New Roman" w:hAnsi="Cambria"/>
      <w:b w:val="0"/>
      <w:bCs w:val="0"/>
      <w:color w:val="00357F"/>
      <w:sz w:val="32"/>
      <w:szCs w:val="28"/>
    </w:rPr>
  </w:style>
  <w:style w:type="character" w:styleId="Hyperlink">
    <w:name w:val="Hyperlink"/>
    <w:uiPriority w:val="99"/>
    <w:rsid w:val="00881EB6"/>
    <w:rPr>
      <w:rFonts w:cs="Times New Roman"/>
      <w:color w:val="00357F"/>
      <w:u w:val="single"/>
    </w:rPr>
  </w:style>
  <w:style w:type="character" w:styleId="Emphasis">
    <w:name w:val="Emphasis"/>
    <w:uiPriority w:val="99"/>
    <w:qFormat/>
    <w:rsid w:val="00881EB6"/>
    <w:rPr>
      <w:rFonts w:cs="Times New Roman"/>
      <w:b/>
      <w:iCs/>
    </w:rPr>
  </w:style>
  <w:style w:type="character" w:styleId="IntenseEmphasis">
    <w:name w:val="Intense Emphasis"/>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sz w:val="20"/>
      <w:szCs w:val="20"/>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szCs w:val="20"/>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hAnsi="Cambria"/>
      <w:b/>
      <w:bCs/>
      <w:color w:val="00357F"/>
      <w:sz w:val="2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hAnsi="Cambria"/>
      <w:b/>
      <w:bCs/>
      <w:caps/>
      <w:color w:val="9F2D21"/>
      <w:sz w:val="28"/>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hAnsi="Cambria"/>
      <w:b/>
      <w:bCs/>
      <w:color w:val="00235B"/>
      <w:sz w:val="28"/>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hAnsi="Cambria"/>
      <w:b/>
      <w:bCs/>
      <w:color w:val="00235B"/>
      <w:sz w:val="28"/>
      <w:szCs w:val="28"/>
    </w:rPr>
  </w:style>
  <w:style w:type="table" w:customStyle="1" w:styleId="IRSTabletextual">
    <w:name w:val="IRS Table (textual)"/>
    <w:uiPriority w:val="99"/>
    <w:qFormat/>
    <w:rsid w:val="00881EB6"/>
    <w:pPr>
      <w:spacing w:before="40" w:after="40"/>
      <w:ind w:left="72" w:right="72"/>
    </w:pPr>
    <w:rPr>
      <w:sz w:val="18"/>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style>
  <w:style w:type="paragraph" w:customStyle="1" w:styleId="Tabletext">
    <w:name w:val="Table (text)"/>
    <w:basedOn w:val="Normal"/>
    <w:link w:val="TabletextChar"/>
    <w:qFormat/>
    <w:rsid w:val="00881EB6"/>
    <w:pPr>
      <w:spacing w:before="40" w:after="40"/>
      <w:ind w:left="29" w:right="29"/>
    </w:pPr>
    <w:rPr>
      <w:sz w:val="20"/>
      <w:szCs w:val="20"/>
    </w:rPr>
  </w:style>
  <w:style w:type="paragraph" w:customStyle="1" w:styleId="TableNote">
    <w:name w:val="Table Note"/>
    <w:basedOn w:val="Tabletext"/>
    <w:link w:val="TableNoteChar"/>
    <w:uiPriority w:val="99"/>
    <w:rsid w:val="00BE460D"/>
    <w:pPr>
      <w:ind w:left="0" w:right="0"/>
    </w:pPr>
  </w:style>
  <w:style w:type="character" w:customStyle="1" w:styleId="DocumentTitleChar">
    <w:name w:val="Document Title Char"/>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b w:val="0"/>
      <w:bCs w:val="0"/>
    </w:rPr>
  </w:style>
  <w:style w:type="character" w:customStyle="1" w:styleId="DocumentSubtitleChar">
    <w:name w:val="Document Subtitle Char"/>
    <w:link w:val="DocumentSubtitle"/>
    <w:uiPriority w:val="99"/>
    <w:locked/>
    <w:rsid w:val="00C9298A"/>
    <w:rPr>
      <w:rFonts w:ascii="Cambria" w:hAnsi="Cambria" w:cs="Times New Roman"/>
      <w:b w:val="0"/>
      <w:bCs w:val="0"/>
      <w:color w:val="00357F"/>
      <w:sz w:val="28"/>
      <w:szCs w:val="28"/>
    </w:rPr>
  </w:style>
  <w:style w:type="character" w:customStyle="1" w:styleId="CaptionChar">
    <w:name w:val="Caption Char"/>
    <w:link w:val="Caption"/>
    <w:uiPriority w:val="99"/>
    <w:locked/>
    <w:rsid w:val="00BD3DA7"/>
    <w:rPr>
      <w:rFonts w:ascii="Cambria" w:hAnsi="Cambria" w:cs="Times New Roman"/>
      <w:bCs/>
      <w:color w:val="0047B7"/>
      <w:sz w:val="18"/>
      <w:szCs w:val="18"/>
    </w:rPr>
  </w:style>
  <w:style w:type="character" w:customStyle="1" w:styleId="Bullet1Char">
    <w:name w:val="Bullet 1 Char"/>
    <w:link w:val="Bullet1"/>
    <w:uiPriority w:val="99"/>
    <w:locked/>
    <w:rsid w:val="00832A45"/>
    <w:rPr>
      <w:noProof/>
    </w:rPr>
  </w:style>
  <w:style w:type="character" w:customStyle="1" w:styleId="Bullet2Char">
    <w:name w:val="Bullet 2 Char"/>
    <w:link w:val="Bullet2"/>
    <w:uiPriority w:val="99"/>
    <w:locked/>
    <w:rsid w:val="00832A45"/>
    <w:rPr>
      <w:noProof/>
    </w:rPr>
  </w:style>
  <w:style w:type="character" w:customStyle="1" w:styleId="QuoteBlockChar">
    <w:name w:val="Quote Block Char"/>
    <w:link w:val="QuoteBlock"/>
    <w:uiPriority w:val="99"/>
    <w:locked/>
    <w:rsid w:val="00B76A0A"/>
    <w:rPr>
      <w:rFonts w:cs="Times New Roman"/>
      <w:sz w:val="18"/>
    </w:rPr>
  </w:style>
  <w:style w:type="character" w:customStyle="1" w:styleId="TabletextChar">
    <w:name w:val="Table (text) Char"/>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sz w:val="16"/>
      <w:szCs w:val="16"/>
    </w:rPr>
  </w:style>
  <w:style w:type="character" w:customStyle="1" w:styleId="BalloonTextChar">
    <w:name w:val="Balloon Text Char"/>
    <w:link w:val="BalloonText"/>
    <w:uiPriority w:val="99"/>
    <w:semiHidden/>
    <w:locked/>
    <w:rsid w:val="00BD3DA7"/>
    <w:rPr>
      <w:rFonts w:ascii="Tahoma" w:hAnsi="Tahoma" w:cs="Tahoma"/>
      <w:sz w:val="16"/>
      <w:szCs w:val="16"/>
    </w:rPr>
  </w:style>
  <w:style w:type="character" w:customStyle="1" w:styleId="TableNoteChar">
    <w:name w:val="Table Note 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 w:val="20"/>
      <w:szCs w:val="20"/>
    </w:rPr>
  </w:style>
  <w:style w:type="character" w:customStyle="1" w:styleId="EndnoteTextChar">
    <w:name w:val="Endnote Text Char"/>
    <w:link w:val="EndnoteText"/>
    <w:uiPriority w:val="99"/>
    <w:semiHidden/>
    <w:locked/>
    <w:rsid w:val="00BD3DA7"/>
    <w:rPr>
      <w:rFonts w:cs="Times New Roman"/>
      <w:sz w:val="20"/>
      <w:szCs w:val="20"/>
    </w:rPr>
  </w:style>
  <w:style w:type="paragraph" w:styleId="Revision">
    <w:name w:val="Revision"/>
    <w:hidden/>
    <w:uiPriority w:val="99"/>
    <w:semiHidden/>
    <w:rsid w:val="00BD3DA7"/>
    <w:rPr>
      <w:szCs w:val="22"/>
    </w:rPr>
  </w:style>
  <w:style w:type="paragraph" w:styleId="CommentText">
    <w:name w:val="annotation text"/>
    <w:basedOn w:val="Normal"/>
    <w:link w:val="CommentTextChar"/>
    <w:uiPriority w:val="99"/>
    <w:rsid w:val="00881EB6"/>
    <w:rPr>
      <w:sz w:val="20"/>
      <w:szCs w:val="20"/>
    </w:rPr>
  </w:style>
  <w:style w:type="character" w:customStyle="1" w:styleId="CommentTextChar">
    <w:name w:val="Comment Text Char"/>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uiPriority w:val="99"/>
    <w:semiHidden/>
    <w:rsid w:val="00881EB6"/>
    <w:rPr>
      <w:rFonts w:cs="Times New Roman"/>
      <w:vertAlign w:val="superscript"/>
    </w:rPr>
  </w:style>
  <w:style w:type="character" w:styleId="FollowedHyperlink">
    <w:name w:val="FollowedHyperlink"/>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rPr>
  </w:style>
  <w:style w:type="character" w:styleId="CommentReference">
    <w:name w:val="annotation reference"/>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sz w:val="16"/>
      <w:szCs w:val="16"/>
    </w:rPr>
  </w:style>
  <w:style w:type="character" w:customStyle="1" w:styleId="DocumentMapChar">
    <w:name w:val="Document Map Char"/>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rsid w:val="00E02859"/>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0"/>
    <w:uiPriority w:val="99"/>
    <w:semiHidden/>
    <w:rsid w:val="00411AF9"/>
    <w:pPr>
      <w:tabs>
        <w:tab w:val="left" w:pos="720"/>
        <w:tab w:val="left" w:pos="1080"/>
        <w:tab w:val="left" w:pos="1440"/>
        <w:tab w:val="left" w:pos="1800"/>
      </w:tabs>
      <w:spacing w:before="0" w:after="240" w:line="300" w:lineRule="exact"/>
    </w:pPr>
    <w:rPr>
      <w:rFonts w:ascii="Times New Roman" w:eastAsia="Times New Roman" w:hAnsi="Times New Roman"/>
      <w:sz w:val="20"/>
      <w:szCs w:val="20"/>
    </w:rPr>
  </w:style>
  <w:style w:type="character" w:customStyle="1" w:styleId="BodyTextChar0">
    <w:name w:val="Body Text Char"/>
    <w:link w:val="BodyText"/>
    <w:uiPriority w:val="99"/>
    <w:semiHidden/>
    <w:rsid w:val="00411AF9"/>
    <w:rPr>
      <w:rFonts w:ascii="Times New Roman" w:eastAsia="Times New Roman" w:hAnsi="Times New Roman"/>
      <w:szCs w:val="20"/>
    </w:rPr>
  </w:style>
  <w:style w:type="paragraph" w:styleId="ListNumber2">
    <w:name w:val="List Number 2"/>
    <w:basedOn w:val="Normal"/>
    <w:uiPriority w:val="99"/>
    <w:rsid w:val="00411AF9"/>
    <w:pPr>
      <w:numPr>
        <w:numId w:val="9"/>
      </w:numPr>
      <w:tabs>
        <w:tab w:val="clear" w:pos="531"/>
      </w:tabs>
      <w:spacing w:before="0"/>
      <w:ind w:left="720"/>
    </w:pPr>
    <w:rPr>
      <w:rFonts w:ascii="Times New Roman" w:eastAsia="Times New Roman" w:hAnsi="Times New Roman"/>
      <w:sz w:val="24"/>
      <w:szCs w:val="24"/>
    </w:rPr>
  </w:style>
  <w:style w:type="character" w:customStyle="1" w:styleId="fullname2">
    <w:name w:val="fullname2"/>
    <w:basedOn w:val="DefaultParagraphFont"/>
    <w:rsid w:val="00630140"/>
  </w:style>
  <w:style w:type="paragraph" w:customStyle="1" w:styleId="NORCProposalBody15Space11ptGaramond">
    <w:name w:val="NORC Proposal Body 1.5 Space 11pt Garamond"/>
    <w:qFormat/>
    <w:rsid w:val="00530B8B"/>
    <w:pPr>
      <w:spacing w:after="240" w:line="360" w:lineRule="auto"/>
    </w:pPr>
    <w:rPr>
      <w:rFonts w:ascii="Garamond" w:eastAsia="Times New Roman" w:hAnsi="Garamond" w:cs="AGaramond-Regular"/>
      <w:sz w:val="22"/>
    </w:rPr>
  </w:style>
  <w:style w:type="paragraph" w:styleId="ListBullet">
    <w:name w:val="List Bullet"/>
    <w:basedOn w:val="Normal"/>
    <w:uiPriority w:val="99"/>
    <w:rsid w:val="00AE1721"/>
    <w:pPr>
      <w:numPr>
        <w:numId w:val="10"/>
      </w:numPr>
      <w:spacing w:before="0" w:after="0"/>
      <w:contextualSpacing/>
    </w:pPr>
    <w:rPr>
      <w:rFonts w:ascii="Times New Roman" w:eastAsia="Times New Roman" w:hAnsi="Times New Roman"/>
      <w:sz w:val="24"/>
      <w:szCs w:val="24"/>
    </w:rPr>
  </w:style>
  <w:style w:type="paragraph" w:customStyle="1" w:styleId="TableSubheadBlack">
    <w:name w:val="Table Subhead Black"/>
    <w:uiPriority w:val="99"/>
    <w:rsid w:val="00AE1721"/>
    <w:pPr>
      <w:keepNext/>
      <w:spacing w:before="60" w:after="40"/>
      <w:jc w:val="center"/>
    </w:pPr>
    <w:rPr>
      <w:rFonts w:ascii="Arial" w:eastAsia="Times New Roman" w:hAnsi="Arial"/>
      <w:b/>
      <w:color w:val="000000"/>
      <w:sz w:val="18"/>
    </w:rPr>
  </w:style>
  <w:style w:type="paragraph" w:customStyle="1" w:styleId="TableTextLeft">
    <w:name w:val="Table Text Left"/>
    <w:uiPriority w:val="99"/>
    <w:rsid w:val="00AE1721"/>
    <w:pPr>
      <w:spacing w:before="40" w:after="40"/>
    </w:pPr>
    <w:rPr>
      <w:rFonts w:ascii="Arial" w:eastAsia="Times New Roman" w:hAnsi="Arial"/>
      <w:sz w:val="18"/>
      <w:szCs w:val="22"/>
    </w:rPr>
  </w:style>
  <w:style w:type="paragraph" w:styleId="NoSpacing">
    <w:name w:val="No Spacing"/>
    <w:uiPriority w:val="1"/>
    <w:qFormat/>
    <w:rsid w:val="007B06BE"/>
    <w:rPr>
      <w:sz w:val="22"/>
      <w:szCs w:val="22"/>
    </w:rPr>
  </w:style>
  <w:style w:type="paragraph" w:customStyle="1" w:styleId="Jessica">
    <w:name w:val="Jessica"/>
    <w:basedOn w:val="BodyText"/>
    <w:rsid w:val="00F835C7"/>
    <w:pPr>
      <w:tabs>
        <w:tab w:val="clear" w:pos="720"/>
        <w:tab w:val="clear" w:pos="1080"/>
        <w:tab w:val="clear" w:pos="1440"/>
        <w:tab w:val="clear" w:pos="1800"/>
      </w:tabs>
      <w:spacing w:before="100" w:after="100" w:line="240" w:lineRule="auto"/>
      <w:jc w:val="both"/>
    </w:pPr>
    <w:rPr>
      <w:rFonts w:ascii="Garamond" w:hAnsi="Garamond" w:cs="Tahoma"/>
    </w:rPr>
  </w:style>
  <w:style w:type="paragraph" w:styleId="BodyText2">
    <w:name w:val="Body Text 2"/>
    <w:basedOn w:val="Normal"/>
    <w:link w:val="BodyText2Char"/>
    <w:locked/>
    <w:rsid w:val="00B17D26"/>
    <w:pPr>
      <w:spacing w:before="0" w:line="480" w:lineRule="auto"/>
    </w:pPr>
    <w:rPr>
      <w:rFonts w:ascii="Times New Roman" w:eastAsia="Times New Roman" w:hAnsi="Times New Roman"/>
      <w:sz w:val="20"/>
      <w:szCs w:val="20"/>
    </w:rPr>
  </w:style>
  <w:style w:type="character" w:customStyle="1" w:styleId="BodyText2Char">
    <w:name w:val="Body Text 2 Char"/>
    <w:link w:val="BodyText2"/>
    <w:rsid w:val="00B17D26"/>
    <w:rPr>
      <w:rFonts w:ascii="Times New Roman" w:eastAsia="Times New Roman" w:hAnsi="Times New Roman"/>
    </w:rPr>
  </w:style>
  <w:style w:type="paragraph" w:customStyle="1" w:styleId="P1-StandPara">
    <w:name w:val="P1-Stand Para"/>
    <w:uiPriority w:val="99"/>
    <w:rsid w:val="009D3580"/>
    <w:pPr>
      <w:spacing w:line="360" w:lineRule="atLeast"/>
      <w:ind w:firstLine="1152"/>
      <w:jc w:val="both"/>
    </w:pPr>
    <w:rPr>
      <w:rFonts w:ascii="Times New Roman" w:eastAsia="Times New Roman" w:hAnsi="Times New Roman"/>
      <w:sz w:val="22"/>
    </w:rPr>
  </w:style>
  <w:style w:type="paragraph" w:customStyle="1" w:styleId="copyblack">
    <w:name w:val="copyblack"/>
    <w:basedOn w:val="Normal"/>
    <w:rsid w:val="00AD2F98"/>
    <w:pPr>
      <w:spacing w:before="100" w:beforeAutospacing="1" w:after="100" w:afterAutospacing="1"/>
    </w:pPr>
    <w:rPr>
      <w:rFonts w:ascii="Verdana" w:hAnsi="Verdana"/>
      <w:color w:val="000000"/>
      <w:sz w:val="18"/>
      <w:szCs w:val="18"/>
    </w:rPr>
  </w:style>
  <w:style w:type="paragraph" w:styleId="Title">
    <w:name w:val="Title"/>
    <w:basedOn w:val="Normal"/>
    <w:next w:val="Normal"/>
    <w:link w:val="TitleChar"/>
    <w:uiPriority w:val="10"/>
    <w:qFormat/>
    <w:locked/>
    <w:rsid w:val="004100FC"/>
    <w:pPr>
      <w:spacing w:before="240" w:after="60" w:line="276" w:lineRule="auto"/>
      <w:outlineLvl w:val="0"/>
    </w:pPr>
    <w:rPr>
      <w:rFonts w:ascii="Arial" w:eastAsia="Times New Roman" w:hAnsi="Arial"/>
      <w:b/>
      <w:bCs/>
      <w:kern w:val="28"/>
      <w:sz w:val="32"/>
      <w:szCs w:val="32"/>
    </w:rPr>
  </w:style>
  <w:style w:type="character" w:customStyle="1" w:styleId="TitleChar">
    <w:name w:val="Title Char"/>
    <w:basedOn w:val="DefaultParagraphFont"/>
    <w:link w:val="Title"/>
    <w:uiPriority w:val="10"/>
    <w:rsid w:val="004100FC"/>
    <w:rPr>
      <w:rFonts w:ascii="Arial" w:eastAsia="Times New Roman"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292"/>
    <w:pPr>
      <w:spacing w:before="120" w:after="120"/>
    </w:pPr>
    <w:rPr>
      <w:sz w:val="22"/>
      <w:szCs w:val="22"/>
    </w:r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lang w:val="x-none" w:eastAsia="x-none"/>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clear" w:pos="1260"/>
        <w:tab w:val="left" w:pos="504"/>
        <w:tab w:val="num" w:pos="1350"/>
      </w:tabs>
      <w:ind w:left="1422"/>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0"/>
    </w:rPr>
  </w:style>
  <w:style w:type="paragraph" w:styleId="Heading6">
    <w:name w:val="heading 6"/>
    <w:basedOn w:val="Heading5"/>
    <w:next w:val="Normal"/>
    <w:link w:val="Heading6Char"/>
    <w:uiPriority w:val="99"/>
    <w:qFormat/>
    <w:rsid w:val="00881EB6"/>
    <w:pPr>
      <w:numPr>
        <w:ilvl w:val="0"/>
        <w:numId w:val="0"/>
      </w:numPr>
      <w:spacing w:after="0"/>
      <w:outlineLvl w:val="5"/>
    </w:pPr>
    <w:rPr>
      <w:rFonts w:eastAsia="Calibri"/>
      <w:i/>
      <w:color w:val="0047B7"/>
      <w:sz w:val="26"/>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lang w:val="x-none" w:eastAsia="x-none"/>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25A4"/>
    <w:rPr>
      <w:rFonts w:ascii="Cambria" w:eastAsia="Times New Roman" w:hAnsi="Cambria"/>
      <w:b/>
      <w:bCs/>
      <w:color w:val="00357F"/>
      <w:sz w:val="32"/>
      <w:szCs w:val="28"/>
    </w:rPr>
  </w:style>
  <w:style w:type="character" w:customStyle="1" w:styleId="Heading2Char">
    <w:name w:val="Heading 2 Char"/>
    <w:link w:val="Heading2"/>
    <w:uiPriority w:val="99"/>
    <w:locked/>
    <w:rsid w:val="00BF25A4"/>
    <w:rPr>
      <w:rFonts w:ascii="Cambria" w:eastAsia="Times New Roman" w:hAnsi="Cambria"/>
      <w:b/>
      <w:color w:val="00357F"/>
      <w:sz w:val="28"/>
      <w:szCs w:val="26"/>
    </w:rPr>
  </w:style>
  <w:style w:type="character" w:customStyle="1" w:styleId="Heading3Char">
    <w:name w:val="Heading 3 Char"/>
    <w:link w:val="Heading3"/>
    <w:uiPriority w:val="99"/>
    <w:locked/>
    <w:rsid w:val="00BF25A4"/>
    <w:rPr>
      <w:rFonts w:ascii="Cambria" w:eastAsia="Times New Roman" w:hAnsi="Cambria"/>
      <w:b/>
      <w:bCs/>
      <w:color w:val="00357F"/>
      <w:sz w:val="26"/>
      <w:szCs w:val="26"/>
    </w:rPr>
  </w:style>
  <w:style w:type="character" w:customStyle="1" w:styleId="Heading4Char">
    <w:name w:val="Heading 4 Char"/>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link w:val="Heading5"/>
    <w:uiPriority w:val="99"/>
    <w:locked/>
    <w:rsid w:val="008D401B"/>
    <w:rPr>
      <w:rFonts w:ascii="Cambria" w:eastAsia="Times New Roman" w:hAnsi="Cambria"/>
      <w:b/>
      <w:bCs/>
      <w:iCs/>
      <w:color w:val="00357F"/>
      <w:szCs w:val="26"/>
    </w:rPr>
  </w:style>
  <w:style w:type="character" w:customStyle="1" w:styleId="Heading6Char">
    <w:name w:val="Heading 6 Char"/>
    <w:link w:val="Heading6"/>
    <w:uiPriority w:val="99"/>
    <w:locked/>
    <w:rsid w:val="008D401B"/>
    <w:rPr>
      <w:rFonts w:ascii="Cambria" w:hAnsi="Cambria" w:cs="Times New Roman"/>
      <w:b/>
      <w:bCs/>
      <w:i/>
      <w:iCs/>
      <w:color w:val="0047B7"/>
      <w:sz w:val="26"/>
      <w:szCs w:val="26"/>
    </w:rPr>
  </w:style>
  <w:style w:type="character" w:customStyle="1" w:styleId="Heading7Char">
    <w:name w:val="Heading 7 Char"/>
    <w:link w:val="Heading7"/>
    <w:uiPriority w:val="99"/>
    <w:locked/>
    <w:rsid w:val="008D401B"/>
    <w:rPr>
      <w:rFonts w:ascii="Cambria" w:eastAsia="Times New Roman" w:hAnsi="Cambria"/>
      <w:b/>
      <w:bCs/>
      <w:color w:val="00357F"/>
      <w:sz w:val="32"/>
      <w:szCs w:val="28"/>
    </w:rPr>
  </w:style>
  <w:style w:type="character" w:customStyle="1" w:styleId="Heading8Char">
    <w:name w:val="Heading 8 Char"/>
    <w:link w:val="Heading8"/>
    <w:uiPriority w:val="99"/>
    <w:locked/>
    <w:rsid w:val="00BD3DA7"/>
    <w:rPr>
      <w:rFonts w:ascii="Cambria" w:hAnsi="Cambria" w:cs="Times New Roman"/>
      <w:color w:val="404040"/>
      <w:sz w:val="20"/>
      <w:szCs w:val="20"/>
    </w:rPr>
  </w:style>
  <w:style w:type="character" w:customStyle="1" w:styleId="Heading9Char">
    <w:name w:val="Heading 9 Char"/>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rPr>
      <w:b w:val="0"/>
      <w:bCs w:val="0"/>
    </w:rPr>
  </w:style>
  <w:style w:type="paragraph" w:styleId="Header">
    <w:name w:val="header"/>
    <w:basedOn w:val="Normal"/>
    <w:link w:val="HeaderChar"/>
    <w:uiPriority w:val="99"/>
    <w:rsid w:val="00881EB6"/>
    <w:pPr>
      <w:tabs>
        <w:tab w:val="center" w:pos="4680"/>
        <w:tab w:val="right" w:pos="9360"/>
      </w:tabs>
    </w:pPr>
    <w:rPr>
      <w:sz w:val="20"/>
      <w:szCs w:val="20"/>
      <w:lang w:val="x-none" w:eastAsia="x-none"/>
    </w:rPr>
  </w:style>
  <w:style w:type="character" w:customStyle="1" w:styleId="HeaderChar">
    <w:name w:val="Header Char"/>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eastAsia="Times New Roman" w:hAnsi="Cambria"/>
      <w:noProof/>
      <w:color w:val="595959"/>
      <w:sz w:val="16"/>
      <w:szCs w:val="20"/>
      <w:lang w:val="x-none" w:eastAsia="x-none"/>
    </w:rPr>
  </w:style>
  <w:style w:type="character" w:customStyle="1" w:styleId="FooterChar">
    <w:name w:val="Footer Char"/>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20"/>
      <w:szCs w:val="20"/>
      <w:lang w:val="x-none" w:eastAsia="x-none"/>
    </w:rPr>
  </w:style>
  <w:style w:type="character" w:customStyle="1" w:styleId="FootnoteTextChar">
    <w:name w:val="Footnote Text Char"/>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lang w:val="x-none" w:eastAsia="x-none"/>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uiPriority w:val="99"/>
    <w:rsid w:val="00881EB6"/>
    <w:rPr>
      <w:rFonts w:cs="Times New Roman"/>
      <w:vertAlign w:val="superscript"/>
    </w:rPr>
  </w:style>
  <w:style w:type="character" w:customStyle="1" w:styleId="HeadingFrontandBackMatterChar">
    <w:name w:val="Heading Front and Back Matter Char"/>
    <w:link w:val="HeadingFrontandBackMatter"/>
    <w:uiPriority w:val="99"/>
    <w:locked/>
    <w:rsid w:val="00DA6DF1"/>
    <w:rPr>
      <w:rFonts w:ascii="Cambria" w:eastAsia="Times New Roman" w:hAnsi="Cambria"/>
      <w:b w:val="0"/>
      <w:bCs w:val="0"/>
      <w:color w:val="00357F"/>
      <w:sz w:val="32"/>
      <w:szCs w:val="28"/>
    </w:rPr>
  </w:style>
  <w:style w:type="character" w:styleId="Hyperlink">
    <w:name w:val="Hyperlink"/>
    <w:uiPriority w:val="99"/>
    <w:rsid w:val="00881EB6"/>
    <w:rPr>
      <w:rFonts w:cs="Times New Roman"/>
      <w:color w:val="00357F"/>
      <w:u w:val="single"/>
    </w:rPr>
  </w:style>
  <w:style w:type="character" w:styleId="Emphasis">
    <w:name w:val="Emphasis"/>
    <w:uiPriority w:val="99"/>
    <w:qFormat/>
    <w:rsid w:val="00881EB6"/>
    <w:rPr>
      <w:rFonts w:cs="Times New Roman"/>
      <w:b/>
      <w:iCs/>
    </w:rPr>
  </w:style>
  <w:style w:type="character" w:styleId="IntenseEmphasis">
    <w:name w:val="Intense Emphasis"/>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sz w:val="20"/>
      <w:szCs w:val="20"/>
      <w:lang w:val="x-none" w:eastAsia="x-none"/>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szCs w:val="20"/>
      <w:lang w:val="x-none" w:eastAsia="x-none"/>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hAnsi="Cambria"/>
      <w:b/>
      <w:bCs/>
      <w:color w:val="00357F"/>
      <w:sz w:val="28"/>
      <w:szCs w:val="28"/>
      <w:lang w:val="x-none" w:eastAsia="x-none"/>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hAnsi="Cambria"/>
      <w:b/>
      <w:bCs/>
      <w:caps/>
      <w:color w:val="9F2D21"/>
      <w:sz w:val="28"/>
      <w:szCs w:val="28"/>
      <w:lang w:val="x-none" w:eastAsia="x-none"/>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hAnsi="Cambria"/>
      <w:b/>
      <w:bCs/>
      <w:color w:val="00235B"/>
      <w:sz w:val="28"/>
      <w:szCs w:val="28"/>
      <w:lang w:val="x-none" w:eastAsia="x-none"/>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hAnsi="Cambria"/>
      <w:b/>
      <w:bCs/>
      <w:color w:val="00235B"/>
      <w:sz w:val="28"/>
      <w:szCs w:val="28"/>
      <w:lang w:val="x-none" w:eastAsia="x-none"/>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hAnsi="Cambria"/>
      <w:b/>
      <w:bCs/>
      <w:color w:val="00235B"/>
      <w:sz w:val="28"/>
      <w:szCs w:val="28"/>
      <w:lang w:val="x-none" w:eastAsia="x-none"/>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hAnsi="Cambria"/>
      <w:b/>
      <w:bCs/>
      <w:color w:val="00235B"/>
      <w:sz w:val="28"/>
      <w:szCs w:val="28"/>
      <w:lang w:val="x-none" w:eastAsia="x-none"/>
    </w:rPr>
  </w:style>
  <w:style w:type="table" w:customStyle="1" w:styleId="IRSTabletextual">
    <w:name w:val="IRS Table (textual)"/>
    <w:uiPriority w:val="99"/>
    <w:qFormat/>
    <w:rsid w:val="00881EB6"/>
    <w:pPr>
      <w:spacing w:before="40" w:after="40"/>
      <w:ind w:left="72" w:right="72"/>
    </w:pPr>
    <w:rPr>
      <w:sz w:val="18"/>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style>
  <w:style w:type="paragraph" w:customStyle="1" w:styleId="Tabletext">
    <w:name w:val="Table (text)"/>
    <w:basedOn w:val="Normal"/>
    <w:link w:val="TabletextChar"/>
    <w:qFormat/>
    <w:rsid w:val="00881EB6"/>
    <w:pPr>
      <w:spacing w:before="40" w:after="40"/>
      <w:ind w:left="29" w:right="29"/>
    </w:pPr>
    <w:rPr>
      <w:sz w:val="20"/>
      <w:szCs w:val="20"/>
      <w:lang w:val="x-none" w:eastAsia="x-none"/>
    </w:rPr>
  </w:style>
  <w:style w:type="paragraph" w:customStyle="1" w:styleId="TableNote">
    <w:name w:val="Table Note"/>
    <w:basedOn w:val="Tabletext"/>
    <w:link w:val="TableNoteChar"/>
    <w:uiPriority w:val="99"/>
    <w:rsid w:val="00BE460D"/>
    <w:pPr>
      <w:ind w:left="0" w:right="0"/>
    </w:pPr>
  </w:style>
  <w:style w:type="character" w:customStyle="1" w:styleId="DocumentTitleChar">
    <w:name w:val="Document Title Char"/>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b w:val="0"/>
      <w:bCs w:val="0"/>
    </w:rPr>
  </w:style>
  <w:style w:type="character" w:customStyle="1" w:styleId="DocumentSubtitleChar">
    <w:name w:val="Document Subtitle Char"/>
    <w:link w:val="DocumentSubtitle"/>
    <w:uiPriority w:val="99"/>
    <w:locked/>
    <w:rsid w:val="00C9298A"/>
    <w:rPr>
      <w:rFonts w:ascii="Cambria" w:hAnsi="Cambria" w:cs="Times New Roman"/>
      <w:b w:val="0"/>
      <w:bCs w:val="0"/>
      <w:color w:val="00357F"/>
      <w:sz w:val="28"/>
      <w:szCs w:val="28"/>
    </w:rPr>
  </w:style>
  <w:style w:type="character" w:customStyle="1" w:styleId="CaptionChar">
    <w:name w:val="Caption Char"/>
    <w:link w:val="Caption"/>
    <w:uiPriority w:val="99"/>
    <w:locked/>
    <w:rsid w:val="00BD3DA7"/>
    <w:rPr>
      <w:rFonts w:ascii="Cambria" w:hAnsi="Cambria" w:cs="Times New Roman"/>
      <w:bCs/>
      <w:color w:val="0047B7"/>
      <w:sz w:val="18"/>
      <w:szCs w:val="18"/>
    </w:rPr>
  </w:style>
  <w:style w:type="character" w:customStyle="1" w:styleId="Bullet1Char">
    <w:name w:val="Bullet 1 Char"/>
    <w:link w:val="Bullet1"/>
    <w:uiPriority w:val="99"/>
    <w:locked/>
    <w:rsid w:val="00832A45"/>
    <w:rPr>
      <w:noProof/>
    </w:rPr>
  </w:style>
  <w:style w:type="character" w:customStyle="1" w:styleId="Bullet2Char">
    <w:name w:val="Bullet 2 Char"/>
    <w:link w:val="Bullet2"/>
    <w:uiPriority w:val="99"/>
    <w:locked/>
    <w:rsid w:val="00832A45"/>
    <w:rPr>
      <w:noProof/>
    </w:rPr>
  </w:style>
  <w:style w:type="character" w:customStyle="1" w:styleId="QuoteBlockChar">
    <w:name w:val="Quote Block Char"/>
    <w:link w:val="QuoteBlock"/>
    <w:uiPriority w:val="99"/>
    <w:locked/>
    <w:rsid w:val="00B76A0A"/>
    <w:rPr>
      <w:rFonts w:cs="Times New Roman"/>
      <w:sz w:val="18"/>
    </w:rPr>
  </w:style>
  <w:style w:type="character" w:customStyle="1" w:styleId="TabletextChar">
    <w:name w:val="Table (text) Char"/>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locked/>
    <w:rsid w:val="00BD3DA7"/>
    <w:rPr>
      <w:rFonts w:ascii="Tahoma" w:hAnsi="Tahoma" w:cs="Tahoma"/>
      <w:sz w:val="16"/>
      <w:szCs w:val="16"/>
    </w:rPr>
  </w:style>
  <w:style w:type="character" w:customStyle="1" w:styleId="TableNoteChar">
    <w:name w:val="Table Note 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 w:val="20"/>
      <w:szCs w:val="20"/>
      <w:lang w:val="x-none" w:eastAsia="x-none"/>
    </w:rPr>
  </w:style>
  <w:style w:type="character" w:customStyle="1" w:styleId="EndnoteTextChar">
    <w:name w:val="Endnote Text Char"/>
    <w:link w:val="EndnoteText"/>
    <w:uiPriority w:val="99"/>
    <w:semiHidden/>
    <w:locked/>
    <w:rsid w:val="00BD3DA7"/>
    <w:rPr>
      <w:rFonts w:cs="Times New Roman"/>
      <w:sz w:val="20"/>
      <w:szCs w:val="20"/>
    </w:rPr>
  </w:style>
  <w:style w:type="paragraph" w:styleId="Revision">
    <w:name w:val="Revision"/>
    <w:hidden/>
    <w:uiPriority w:val="99"/>
    <w:semiHidden/>
    <w:rsid w:val="00BD3DA7"/>
    <w:rPr>
      <w:szCs w:val="22"/>
    </w:rPr>
  </w:style>
  <w:style w:type="paragraph" w:styleId="CommentText">
    <w:name w:val="annotation text"/>
    <w:basedOn w:val="Normal"/>
    <w:link w:val="CommentTextChar"/>
    <w:uiPriority w:val="99"/>
    <w:rsid w:val="00881EB6"/>
    <w:rPr>
      <w:sz w:val="20"/>
      <w:szCs w:val="20"/>
      <w:lang w:val="x-none" w:eastAsia="x-none"/>
    </w:rPr>
  </w:style>
  <w:style w:type="character" w:customStyle="1" w:styleId="CommentTextChar">
    <w:name w:val="Comment Text Char"/>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uiPriority w:val="99"/>
    <w:semiHidden/>
    <w:rsid w:val="00881EB6"/>
    <w:rPr>
      <w:rFonts w:cs="Times New Roman"/>
      <w:vertAlign w:val="superscript"/>
    </w:rPr>
  </w:style>
  <w:style w:type="character" w:styleId="FollowedHyperlink">
    <w:name w:val="FollowedHyperlink"/>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rPr>
  </w:style>
  <w:style w:type="character" w:styleId="CommentReference">
    <w:name w:val="annotation reference"/>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sz w:val="16"/>
      <w:szCs w:val="16"/>
      <w:lang w:val="x-none" w:eastAsia="x-none"/>
    </w:rPr>
  </w:style>
  <w:style w:type="character" w:customStyle="1" w:styleId="DocumentMapChar">
    <w:name w:val="Document Map Char"/>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rsid w:val="00E02859"/>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0"/>
    <w:uiPriority w:val="99"/>
    <w:semiHidden/>
    <w:rsid w:val="00411AF9"/>
    <w:pPr>
      <w:tabs>
        <w:tab w:val="left" w:pos="720"/>
        <w:tab w:val="left" w:pos="1080"/>
        <w:tab w:val="left" w:pos="1440"/>
        <w:tab w:val="left" w:pos="1800"/>
      </w:tabs>
      <w:spacing w:before="0" w:after="240" w:line="300" w:lineRule="exact"/>
    </w:pPr>
    <w:rPr>
      <w:rFonts w:ascii="Times New Roman" w:eastAsia="Times New Roman" w:hAnsi="Times New Roman"/>
      <w:sz w:val="20"/>
      <w:szCs w:val="20"/>
      <w:lang w:val="x-none" w:eastAsia="x-none"/>
    </w:rPr>
  </w:style>
  <w:style w:type="character" w:customStyle="1" w:styleId="BodyTextChar0">
    <w:name w:val="Body Text Char"/>
    <w:link w:val="BodyText"/>
    <w:uiPriority w:val="99"/>
    <w:semiHidden/>
    <w:rsid w:val="00411AF9"/>
    <w:rPr>
      <w:rFonts w:ascii="Times New Roman" w:eastAsia="Times New Roman" w:hAnsi="Times New Roman"/>
      <w:szCs w:val="20"/>
    </w:rPr>
  </w:style>
  <w:style w:type="paragraph" w:styleId="ListNumber2">
    <w:name w:val="List Number 2"/>
    <w:basedOn w:val="Normal"/>
    <w:uiPriority w:val="99"/>
    <w:rsid w:val="00411AF9"/>
    <w:pPr>
      <w:numPr>
        <w:numId w:val="9"/>
      </w:numPr>
      <w:tabs>
        <w:tab w:val="clear" w:pos="531"/>
      </w:tabs>
      <w:spacing w:before="0"/>
      <w:ind w:left="720"/>
    </w:pPr>
    <w:rPr>
      <w:rFonts w:ascii="Times New Roman" w:eastAsia="Times New Roman" w:hAnsi="Times New Roman"/>
      <w:sz w:val="24"/>
      <w:szCs w:val="24"/>
    </w:rPr>
  </w:style>
  <w:style w:type="character" w:customStyle="1" w:styleId="fullname2">
    <w:name w:val="fullname2"/>
    <w:basedOn w:val="DefaultParagraphFont"/>
    <w:rsid w:val="00630140"/>
  </w:style>
  <w:style w:type="paragraph" w:customStyle="1" w:styleId="NORCProposalBody15Space11ptGaramond">
    <w:name w:val="NORC Proposal Body 1.5 Space 11pt Garamond"/>
    <w:qFormat/>
    <w:rsid w:val="00530B8B"/>
    <w:pPr>
      <w:spacing w:after="240" w:line="360" w:lineRule="auto"/>
    </w:pPr>
    <w:rPr>
      <w:rFonts w:ascii="Garamond" w:eastAsia="Times New Roman" w:hAnsi="Garamond" w:cs="AGaramond-Regular"/>
      <w:sz w:val="22"/>
    </w:rPr>
  </w:style>
  <w:style w:type="paragraph" w:styleId="ListBullet">
    <w:name w:val="List Bullet"/>
    <w:basedOn w:val="Normal"/>
    <w:uiPriority w:val="99"/>
    <w:rsid w:val="00AE1721"/>
    <w:pPr>
      <w:numPr>
        <w:numId w:val="10"/>
      </w:numPr>
      <w:spacing w:before="0" w:after="0"/>
      <w:contextualSpacing/>
    </w:pPr>
    <w:rPr>
      <w:rFonts w:ascii="Times New Roman" w:eastAsia="Times New Roman" w:hAnsi="Times New Roman"/>
      <w:sz w:val="24"/>
      <w:szCs w:val="24"/>
    </w:rPr>
  </w:style>
  <w:style w:type="paragraph" w:customStyle="1" w:styleId="TableSubheadBlack">
    <w:name w:val="Table Subhead Black"/>
    <w:uiPriority w:val="99"/>
    <w:rsid w:val="00AE1721"/>
    <w:pPr>
      <w:keepNext/>
      <w:spacing w:before="60" w:after="40"/>
      <w:jc w:val="center"/>
    </w:pPr>
    <w:rPr>
      <w:rFonts w:ascii="Arial" w:eastAsia="Times New Roman" w:hAnsi="Arial"/>
      <w:b/>
      <w:color w:val="000000"/>
      <w:sz w:val="18"/>
    </w:rPr>
  </w:style>
  <w:style w:type="paragraph" w:customStyle="1" w:styleId="TableTextLeft">
    <w:name w:val="Table Text Left"/>
    <w:uiPriority w:val="99"/>
    <w:rsid w:val="00AE1721"/>
    <w:pPr>
      <w:spacing w:before="40" w:after="40"/>
    </w:pPr>
    <w:rPr>
      <w:rFonts w:ascii="Arial" w:eastAsia="Times New Roman" w:hAnsi="Arial"/>
      <w:sz w:val="18"/>
      <w:szCs w:val="22"/>
    </w:rPr>
  </w:style>
  <w:style w:type="paragraph" w:styleId="NoSpacing">
    <w:name w:val="No Spacing"/>
    <w:uiPriority w:val="1"/>
    <w:qFormat/>
    <w:rsid w:val="007B06BE"/>
    <w:rPr>
      <w:sz w:val="22"/>
      <w:szCs w:val="22"/>
    </w:rPr>
  </w:style>
  <w:style w:type="paragraph" w:customStyle="1" w:styleId="Jessica">
    <w:name w:val="Jessica"/>
    <w:basedOn w:val="BodyText"/>
    <w:rsid w:val="00F835C7"/>
    <w:pPr>
      <w:tabs>
        <w:tab w:val="clear" w:pos="720"/>
        <w:tab w:val="clear" w:pos="1080"/>
        <w:tab w:val="clear" w:pos="1440"/>
        <w:tab w:val="clear" w:pos="1800"/>
      </w:tabs>
      <w:spacing w:before="100" w:after="100" w:line="240" w:lineRule="auto"/>
      <w:jc w:val="both"/>
    </w:pPr>
    <w:rPr>
      <w:rFonts w:ascii="Garamond" w:hAnsi="Garamond" w:cs="Tahoma"/>
    </w:rPr>
  </w:style>
  <w:style w:type="paragraph" w:styleId="BodyText2">
    <w:name w:val="Body Text 2"/>
    <w:basedOn w:val="Normal"/>
    <w:link w:val="BodyText2Char"/>
    <w:locked/>
    <w:rsid w:val="00B17D26"/>
    <w:pPr>
      <w:spacing w:before="0" w:line="480" w:lineRule="auto"/>
    </w:pPr>
    <w:rPr>
      <w:rFonts w:ascii="Times New Roman" w:eastAsia="Times New Roman" w:hAnsi="Times New Roman"/>
      <w:sz w:val="20"/>
      <w:szCs w:val="20"/>
      <w:lang w:val="x-none" w:eastAsia="x-none"/>
    </w:rPr>
  </w:style>
  <w:style w:type="character" w:customStyle="1" w:styleId="BodyText2Char">
    <w:name w:val="Body Text 2 Char"/>
    <w:link w:val="BodyText2"/>
    <w:rsid w:val="00B17D26"/>
    <w:rPr>
      <w:rFonts w:ascii="Times New Roman" w:eastAsia="Times New Roman" w:hAnsi="Times New Roman"/>
    </w:rPr>
  </w:style>
  <w:style w:type="paragraph" w:customStyle="1" w:styleId="P1-StandPara">
    <w:name w:val="P1-Stand Para"/>
    <w:uiPriority w:val="99"/>
    <w:rsid w:val="009D3580"/>
    <w:pPr>
      <w:spacing w:line="360" w:lineRule="atLeast"/>
      <w:ind w:firstLine="1152"/>
      <w:jc w:val="both"/>
    </w:pPr>
    <w:rPr>
      <w:rFonts w:ascii="Times New Roman" w:eastAsia="Times New Roman" w:hAnsi="Times New Roman"/>
      <w:sz w:val="22"/>
    </w:rPr>
  </w:style>
  <w:style w:type="paragraph" w:customStyle="1" w:styleId="copyblack">
    <w:name w:val="copyblack"/>
    <w:basedOn w:val="Normal"/>
    <w:rsid w:val="00AD2F98"/>
    <w:pPr>
      <w:spacing w:before="100" w:beforeAutospacing="1" w:after="100" w:afterAutospacing="1"/>
    </w:pPr>
    <w:rPr>
      <w:rFonts w:ascii="Verdana" w:hAnsi="Verdana"/>
      <w:color w:val="000000"/>
      <w:sz w:val="18"/>
      <w:szCs w:val="18"/>
    </w:rPr>
  </w:style>
  <w:style w:type="paragraph" w:styleId="Title">
    <w:name w:val="Title"/>
    <w:basedOn w:val="Normal"/>
    <w:next w:val="Normal"/>
    <w:link w:val="TitleChar"/>
    <w:uiPriority w:val="10"/>
    <w:qFormat/>
    <w:locked/>
    <w:rsid w:val="004100FC"/>
    <w:pPr>
      <w:spacing w:before="240" w:after="60" w:line="276" w:lineRule="auto"/>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uiPriority w:val="10"/>
    <w:rsid w:val="004100FC"/>
    <w:rPr>
      <w:rFonts w:ascii="Arial" w:eastAsia="Times New Roman" w:hAnsi="Arial"/>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394">
      <w:bodyDiv w:val="1"/>
      <w:marLeft w:val="0"/>
      <w:marRight w:val="0"/>
      <w:marTop w:val="0"/>
      <w:marBottom w:val="0"/>
      <w:divBdr>
        <w:top w:val="none" w:sz="0" w:space="0" w:color="auto"/>
        <w:left w:val="none" w:sz="0" w:space="0" w:color="auto"/>
        <w:bottom w:val="none" w:sz="0" w:space="0" w:color="auto"/>
        <w:right w:val="none" w:sz="0" w:space="0" w:color="auto"/>
      </w:divBdr>
    </w:div>
    <w:div w:id="52583837">
      <w:bodyDiv w:val="1"/>
      <w:marLeft w:val="0"/>
      <w:marRight w:val="0"/>
      <w:marTop w:val="0"/>
      <w:marBottom w:val="0"/>
      <w:divBdr>
        <w:top w:val="none" w:sz="0" w:space="0" w:color="auto"/>
        <w:left w:val="none" w:sz="0" w:space="0" w:color="auto"/>
        <w:bottom w:val="none" w:sz="0" w:space="0" w:color="auto"/>
        <w:right w:val="none" w:sz="0" w:space="0" w:color="auto"/>
      </w:divBdr>
    </w:div>
    <w:div w:id="62535393">
      <w:bodyDiv w:val="1"/>
      <w:marLeft w:val="0"/>
      <w:marRight w:val="0"/>
      <w:marTop w:val="0"/>
      <w:marBottom w:val="0"/>
      <w:divBdr>
        <w:top w:val="none" w:sz="0" w:space="0" w:color="auto"/>
        <w:left w:val="none" w:sz="0" w:space="0" w:color="auto"/>
        <w:bottom w:val="none" w:sz="0" w:space="0" w:color="auto"/>
        <w:right w:val="none" w:sz="0" w:space="0" w:color="auto"/>
      </w:divBdr>
    </w:div>
    <w:div w:id="170031737">
      <w:bodyDiv w:val="1"/>
      <w:marLeft w:val="0"/>
      <w:marRight w:val="0"/>
      <w:marTop w:val="0"/>
      <w:marBottom w:val="0"/>
      <w:divBdr>
        <w:top w:val="none" w:sz="0" w:space="0" w:color="auto"/>
        <w:left w:val="none" w:sz="0" w:space="0" w:color="auto"/>
        <w:bottom w:val="none" w:sz="0" w:space="0" w:color="auto"/>
        <w:right w:val="none" w:sz="0" w:space="0" w:color="auto"/>
      </w:divBdr>
      <w:divsChild>
        <w:div w:id="865828079">
          <w:marLeft w:val="0"/>
          <w:marRight w:val="0"/>
          <w:marTop w:val="0"/>
          <w:marBottom w:val="0"/>
          <w:divBdr>
            <w:top w:val="none" w:sz="0" w:space="0" w:color="auto"/>
            <w:left w:val="none" w:sz="0" w:space="0" w:color="auto"/>
            <w:bottom w:val="none" w:sz="0" w:space="0" w:color="auto"/>
            <w:right w:val="none" w:sz="0" w:space="0" w:color="auto"/>
          </w:divBdr>
          <w:divsChild>
            <w:div w:id="59333746">
              <w:marLeft w:val="0"/>
              <w:marRight w:val="0"/>
              <w:marTop w:val="0"/>
              <w:marBottom w:val="0"/>
              <w:divBdr>
                <w:top w:val="none" w:sz="0" w:space="0" w:color="auto"/>
                <w:left w:val="none" w:sz="0" w:space="0" w:color="auto"/>
                <w:bottom w:val="none" w:sz="0" w:space="0" w:color="auto"/>
                <w:right w:val="none" w:sz="0" w:space="0" w:color="auto"/>
              </w:divBdr>
              <w:divsChild>
                <w:div w:id="724989820">
                  <w:marLeft w:val="0"/>
                  <w:marRight w:val="0"/>
                  <w:marTop w:val="0"/>
                  <w:marBottom w:val="0"/>
                  <w:divBdr>
                    <w:top w:val="none" w:sz="0" w:space="0" w:color="auto"/>
                    <w:left w:val="none" w:sz="0" w:space="0" w:color="auto"/>
                    <w:bottom w:val="none" w:sz="0" w:space="0" w:color="auto"/>
                    <w:right w:val="none" w:sz="0" w:space="0" w:color="auto"/>
                  </w:divBdr>
                  <w:divsChild>
                    <w:div w:id="1174109951">
                      <w:marLeft w:val="0"/>
                      <w:marRight w:val="0"/>
                      <w:marTop w:val="0"/>
                      <w:marBottom w:val="0"/>
                      <w:divBdr>
                        <w:top w:val="none" w:sz="0" w:space="0" w:color="auto"/>
                        <w:left w:val="none" w:sz="0" w:space="0" w:color="auto"/>
                        <w:bottom w:val="none" w:sz="0" w:space="0" w:color="auto"/>
                        <w:right w:val="none" w:sz="0" w:space="0" w:color="auto"/>
                      </w:divBdr>
                      <w:divsChild>
                        <w:div w:id="1018967723">
                          <w:marLeft w:val="0"/>
                          <w:marRight w:val="0"/>
                          <w:marTop w:val="0"/>
                          <w:marBottom w:val="0"/>
                          <w:divBdr>
                            <w:top w:val="none" w:sz="0" w:space="0" w:color="auto"/>
                            <w:left w:val="none" w:sz="0" w:space="0" w:color="auto"/>
                            <w:bottom w:val="none" w:sz="0" w:space="0" w:color="auto"/>
                            <w:right w:val="none" w:sz="0" w:space="0" w:color="auto"/>
                          </w:divBdr>
                          <w:divsChild>
                            <w:div w:id="1743407427">
                              <w:marLeft w:val="0"/>
                              <w:marRight w:val="0"/>
                              <w:marTop w:val="0"/>
                              <w:marBottom w:val="0"/>
                              <w:divBdr>
                                <w:top w:val="none" w:sz="0" w:space="0" w:color="auto"/>
                                <w:left w:val="none" w:sz="0" w:space="0" w:color="auto"/>
                                <w:bottom w:val="none" w:sz="0" w:space="0" w:color="auto"/>
                                <w:right w:val="none" w:sz="0" w:space="0" w:color="auto"/>
                              </w:divBdr>
                              <w:divsChild>
                                <w:div w:id="763963511">
                                  <w:marLeft w:val="0"/>
                                  <w:marRight w:val="0"/>
                                  <w:marTop w:val="0"/>
                                  <w:marBottom w:val="0"/>
                                  <w:divBdr>
                                    <w:top w:val="none" w:sz="0" w:space="0" w:color="auto"/>
                                    <w:left w:val="none" w:sz="0" w:space="0" w:color="auto"/>
                                    <w:bottom w:val="none" w:sz="0" w:space="0" w:color="auto"/>
                                    <w:right w:val="none" w:sz="0" w:space="0" w:color="auto"/>
                                  </w:divBdr>
                                  <w:divsChild>
                                    <w:div w:id="1316959383">
                                      <w:marLeft w:val="0"/>
                                      <w:marRight w:val="0"/>
                                      <w:marTop w:val="0"/>
                                      <w:marBottom w:val="0"/>
                                      <w:divBdr>
                                        <w:top w:val="none" w:sz="0" w:space="0" w:color="auto"/>
                                        <w:left w:val="none" w:sz="0" w:space="0" w:color="auto"/>
                                        <w:bottom w:val="none" w:sz="0" w:space="0" w:color="auto"/>
                                        <w:right w:val="none" w:sz="0" w:space="0" w:color="auto"/>
                                      </w:divBdr>
                                      <w:divsChild>
                                        <w:div w:id="279655620">
                                          <w:marLeft w:val="0"/>
                                          <w:marRight w:val="0"/>
                                          <w:marTop w:val="0"/>
                                          <w:marBottom w:val="180"/>
                                          <w:divBdr>
                                            <w:top w:val="none" w:sz="0" w:space="0" w:color="auto"/>
                                            <w:left w:val="none" w:sz="0" w:space="0" w:color="auto"/>
                                            <w:bottom w:val="none" w:sz="0" w:space="0" w:color="auto"/>
                                            <w:right w:val="none" w:sz="0" w:space="0" w:color="auto"/>
                                          </w:divBdr>
                                          <w:divsChild>
                                            <w:div w:id="266470260">
                                              <w:marLeft w:val="0"/>
                                              <w:marRight w:val="0"/>
                                              <w:marTop w:val="0"/>
                                              <w:marBottom w:val="0"/>
                                              <w:divBdr>
                                                <w:top w:val="none" w:sz="0" w:space="0" w:color="auto"/>
                                                <w:left w:val="none" w:sz="0" w:space="0" w:color="auto"/>
                                                <w:bottom w:val="none" w:sz="0" w:space="0" w:color="auto"/>
                                                <w:right w:val="none" w:sz="0" w:space="0" w:color="auto"/>
                                              </w:divBdr>
                                              <w:divsChild>
                                                <w:div w:id="528493271">
                                                  <w:marLeft w:val="0"/>
                                                  <w:marRight w:val="0"/>
                                                  <w:marTop w:val="0"/>
                                                  <w:marBottom w:val="0"/>
                                                  <w:divBdr>
                                                    <w:top w:val="none" w:sz="0" w:space="0" w:color="auto"/>
                                                    <w:left w:val="none" w:sz="0" w:space="0" w:color="auto"/>
                                                    <w:bottom w:val="none" w:sz="0" w:space="0" w:color="auto"/>
                                                    <w:right w:val="none" w:sz="0" w:space="0" w:color="auto"/>
                                                  </w:divBdr>
                                                </w:div>
                                                <w:div w:id="21342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857490">
      <w:bodyDiv w:val="1"/>
      <w:marLeft w:val="0"/>
      <w:marRight w:val="0"/>
      <w:marTop w:val="0"/>
      <w:marBottom w:val="0"/>
      <w:divBdr>
        <w:top w:val="none" w:sz="0" w:space="0" w:color="auto"/>
        <w:left w:val="none" w:sz="0" w:space="0" w:color="auto"/>
        <w:bottom w:val="none" w:sz="0" w:space="0" w:color="auto"/>
        <w:right w:val="none" w:sz="0" w:space="0" w:color="auto"/>
      </w:divBdr>
    </w:div>
    <w:div w:id="320429919">
      <w:bodyDiv w:val="1"/>
      <w:marLeft w:val="0"/>
      <w:marRight w:val="0"/>
      <w:marTop w:val="0"/>
      <w:marBottom w:val="0"/>
      <w:divBdr>
        <w:top w:val="none" w:sz="0" w:space="0" w:color="auto"/>
        <w:left w:val="none" w:sz="0" w:space="0" w:color="auto"/>
        <w:bottom w:val="none" w:sz="0" w:space="0" w:color="auto"/>
        <w:right w:val="none" w:sz="0" w:space="0" w:color="auto"/>
      </w:divBdr>
    </w:div>
    <w:div w:id="392120459">
      <w:bodyDiv w:val="1"/>
      <w:marLeft w:val="0"/>
      <w:marRight w:val="0"/>
      <w:marTop w:val="0"/>
      <w:marBottom w:val="0"/>
      <w:divBdr>
        <w:top w:val="none" w:sz="0" w:space="0" w:color="auto"/>
        <w:left w:val="none" w:sz="0" w:space="0" w:color="auto"/>
        <w:bottom w:val="none" w:sz="0" w:space="0" w:color="auto"/>
        <w:right w:val="none" w:sz="0" w:space="0" w:color="auto"/>
      </w:divBdr>
    </w:div>
    <w:div w:id="591623600">
      <w:bodyDiv w:val="1"/>
      <w:marLeft w:val="0"/>
      <w:marRight w:val="0"/>
      <w:marTop w:val="0"/>
      <w:marBottom w:val="0"/>
      <w:divBdr>
        <w:top w:val="none" w:sz="0" w:space="0" w:color="auto"/>
        <w:left w:val="none" w:sz="0" w:space="0" w:color="auto"/>
        <w:bottom w:val="none" w:sz="0" w:space="0" w:color="auto"/>
        <w:right w:val="none" w:sz="0" w:space="0" w:color="auto"/>
      </w:divBdr>
    </w:div>
    <w:div w:id="669022640">
      <w:bodyDiv w:val="1"/>
      <w:marLeft w:val="0"/>
      <w:marRight w:val="0"/>
      <w:marTop w:val="0"/>
      <w:marBottom w:val="0"/>
      <w:divBdr>
        <w:top w:val="none" w:sz="0" w:space="0" w:color="auto"/>
        <w:left w:val="none" w:sz="0" w:space="0" w:color="auto"/>
        <w:bottom w:val="none" w:sz="0" w:space="0" w:color="auto"/>
        <w:right w:val="none" w:sz="0" w:space="0" w:color="auto"/>
      </w:divBdr>
    </w:div>
    <w:div w:id="745805987">
      <w:bodyDiv w:val="1"/>
      <w:marLeft w:val="0"/>
      <w:marRight w:val="0"/>
      <w:marTop w:val="0"/>
      <w:marBottom w:val="0"/>
      <w:divBdr>
        <w:top w:val="none" w:sz="0" w:space="0" w:color="auto"/>
        <w:left w:val="none" w:sz="0" w:space="0" w:color="auto"/>
        <w:bottom w:val="none" w:sz="0" w:space="0" w:color="auto"/>
        <w:right w:val="none" w:sz="0" w:space="0" w:color="auto"/>
      </w:divBdr>
    </w:div>
    <w:div w:id="754667873">
      <w:bodyDiv w:val="1"/>
      <w:marLeft w:val="0"/>
      <w:marRight w:val="0"/>
      <w:marTop w:val="0"/>
      <w:marBottom w:val="0"/>
      <w:divBdr>
        <w:top w:val="none" w:sz="0" w:space="0" w:color="auto"/>
        <w:left w:val="none" w:sz="0" w:space="0" w:color="auto"/>
        <w:bottom w:val="none" w:sz="0" w:space="0" w:color="auto"/>
        <w:right w:val="none" w:sz="0" w:space="0" w:color="auto"/>
      </w:divBdr>
    </w:div>
    <w:div w:id="820343207">
      <w:bodyDiv w:val="1"/>
      <w:marLeft w:val="0"/>
      <w:marRight w:val="0"/>
      <w:marTop w:val="0"/>
      <w:marBottom w:val="0"/>
      <w:divBdr>
        <w:top w:val="none" w:sz="0" w:space="0" w:color="auto"/>
        <w:left w:val="none" w:sz="0" w:space="0" w:color="auto"/>
        <w:bottom w:val="none" w:sz="0" w:space="0" w:color="auto"/>
        <w:right w:val="none" w:sz="0" w:space="0" w:color="auto"/>
      </w:divBdr>
    </w:div>
    <w:div w:id="883831777">
      <w:bodyDiv w:val="1"/>
      <w:marLeft w:val="0"/>
      <w:marRight w:val="0"/>
      <w:marTop w:val="0"/>
      <w:marBottom w:val="0"/>
      <w:divBdr>
        <w:top w:val="none" w:sz="0" w:space="0" w:color="auto"/>
        <w:left w:val="none" w:sz="0" w:space="0" w:color="auto"/>
        <w:bottom w:val="none" w:sz="0" w:space="0" w:color="auto"/>
        <w:right w:val="none" w:sz="0" w:space="0" w:color="auto"/>
      </w:divBdr>
    </w:div>
    <w:div w:id="951860995">
      <w:bodyDiv w:val="1"/>
      <w:marLeft w:val="0"/>
      <w:marRight w:val="0"/>
      <w:marTop w:val="0"/>
      <w:marBottom w:val="0"/>
      <w:divBdr>
        <w:top w:val="none" w:sz="0" w:space="0" w:color="auto"/>
        <w:left w:val="none" w:sz="0" w:space="0" w:color="auto"/>
        <w:bottom w:val="none" w:sz="0" w:space="0" w:color="auto"/>
        <w:right w:val="none" w:sz="0" w:space="0" w:color="auto"/>
      </w:divBdr>
    </w:div>
    <w:div w:id="964122549">
      <w:bodyDiv w:val="1"/>
      <w:marLeft w:val="0"/>
      <w:marRight w:val="0"/>
      <w:marTop w:val="0"/>
      <w:marBottom w:val="0"/>
      <w:divBdr>
        <w:top w:val="none" w:sz="0" w:space="0" w:color="auto"/>
        <w:left w:val="none" w:sz="0" w:space="0" w:color="auto"/>
        <w:bottom w:val="none" w:sz="0" w:space="0" w:color="auto"/>
        <w:right w:val="none" w:sz="0" w:space="0" w:color="auto"/>
      </w:divBdr>
    </w:div>
    <w:div w:id="1060397692">
      <w:bodyDiv w:val="1"/>
      <w:marLeft w:val="0"/>
      <w:marRight w:val="0"/>
      <w:marTop w:val="0"/>
      <w:marBottom w:val="0"/>
      <w:divBdr>
        <w:top w:val="none" w:sz="0" w:space="0" w:color="auto"/>
        <w:left w:val="none" w:sz="0" w:space="0" w:color="auto"/>
        <w:bottom w:val="none" w:sz="0" w:space="0" w:color="auto"/>
        <w:right w:val="none" w:sz="0" w:space="0" w:color="auto"/>
      </w:divBdr>
    </w:div>
    <w:div w:id="1082528968">
      <w:bodyDiv w:val="1"/>
      <w:marLeft w:val="0"/>
      <w:marRight w:val="0"/>
      <w:marTop w:val="0"/>
      <w:marBottom w:val="0"/>
      <w:divBdr>
        <w:top w:val="none" w:sz="0" w:space="0" w:color="auto"/>
        <w:left w:val="none" w:sz="0" w:space="0" w:color="auto"/>
        <w:bottom w:val="none" w:sz="0" w:space="0" w:color="auto"/>
        <w:right w:val="none" w:sz="0" w:space="0" w:color="auto"/>
      </w:divBdr>
    </w:div>
    <w:div w:id="1091316428">
      <w:bodyDiv w:val="1"/>
      <w:marLeft w:val="0"/>
      <w:marRight w:val="0"/>
      <w:marTop w:val="0"/>
      <w:marBottom w:val="0"/>
      <w:divBdr>
        <w:top w:val="none" w:sz="0" w:space="0" w:color="auto"/>
        <w:left w:val="none" w:sz="0" w:space="0" w:color="auto"/>
        <w:bottom w:val="none" w:sz="0" w:space="0" w:color="auto"/>
        <w:right w:val="none" w:sz="0" w:space="0" w:color="auto"/>
      </w:divBdr>
    </w:div>
    <w:div w:id="1105929524">
      <w:bodyDiv w:val="1"/>
      <w:marLeft w:val="0"/>
      <w:marRight w:val="0"/>
      <w:marTop w:val="0"/>
      <w:marBottom w:val="0"/>
      <w:divBdr>
        <w:top w:val="none" w:sz="0" w:space="0" w:color="auto"/>
        <w:left w:val="none" w:sz="0" w:space="0" w:color="auto"/>
        <w:bottom w:val="none" w:sz="0" w:space="0" w:color="auto"/>
        <w:right w:val="none" w:sz="0" w:space="0" w:color="auto"/>
      </w:divBdr>
    </w:div>
    <w:div w:id="1226259594">
      <w:marLeft w:val="0"/>
      <w:marRight w:val="0"/>
      <w:marTop w:val="0"/>
      <w:marBottom w:val="0"/>
      <w:divBdr>
        <w:top w:val="none" w:sz="0" w:space="0" w:color="auto"/>
        <w:left w:val="none" w:sz="0" w:space="0" w:color="auto"/>
        <w:bottom w:val="none" w:sz="0" w:space="0" w:color="auto"/>
        <w:right w:val="none" w:sz="0" w:space="0" w:color="auto"/>
      </w:divBdr>
    </w:div>
    <w:div w:id="1226259595">
      <w:marLeft w:val="0"/>
      <w:marRight w:val="0"/>
      <w:marTop w:val="0"/>
      <w:marBottom w:val="0"/>
      <w:divBdr>
        <w:top w:val="none" w:sz="0" w:space="0" w:color="auto"/>
        <w:left w:val="none" w:sz="0" w:space="0" w:color="auto"/>
        <w:bottom w:val="none" w:sz="0" w:space="0" w:color="auto"/>
        <w:right w:val="none" w:sz="0" w:space="0" w:color="auto"/>
      </w:divBdr>
    </w:div>
    <w:div w:id="1226259596">
      <w:marLeft w:val="0"/>
      <w:marRight w:val="0"/>
      <w:marTop w:val="0"/>
      <w:marBottom w:val="0"/>
      <w:divBdr>
        <w:top w:val="none" w:sz="0" w:space="0" w:color="auto"/>
        <w:left w:val="none" w:sz="0" w:space="0" w:color="auto"/>
        <w:bottom w:val="none" w:sz="0" w:space="0" w:color="auto"/>
        <w:right w:val="none" w:sz="0" w:space="0" w:color="auto"/>
      </w:divBdr>
    </w:div>
    <w:div w:id="1226259597">
      <w:marLeft w:val="0"/>
      <w:marRight w:val="0"/>
      <w:marTop w:val="0"/>
      <w:marBottom w:val="0"/>
      <w:divBdr>
        <w:top w:val="none" w:sz="0" w:space="0" w:color="auto"/>
        <w:left w:val="none" w:sz="0" w:space="0" w:color="auto"/>
        <w:bottom w:val="none" w:sz="0" w:space="0" w:color="auto"/>
        <w:right w:val="none" w:sz="0" w:space="0" w:color="auto"/>
      </w:divBdr>
    </w:div>
    <w:div w:id="1226259598">
      <w:marLeft w:val="0"/>
      <w:marRight w:val="0"/>
      <w:marTop w:val="0"/>
      <w:marBottom w:val="0"/>
      <w:divBdr>
        <w:top w:val="none" w:sz="0" w:space="0" w:color="auto"/>
        <w:left w:val="none" w:sz="0" w:space="0" w:color="auto"/>
        <w:bottom w:val="none" w:sz="0" w:space="0" w:color="auto"/>
        <w:right w:val="none" w:sz="0" w:space="0" w:color="auto"/>
      </w:divBdr>
    </w:div>
    <w:div w:id="1226259599">
      <w:marLeft w:val="0"/>
      <w:marRight w:val="0"/>
      <w:marTop w:val="0"/>
      <w:marBottom w:val="0"/>
      <w:divBdr>
        <w:top w:val="none" w:sz="0" w:space="0" w:color="auto"/>
        <w:left w:val="none" w:sz="0" w:space="0" w:color="auto"/>
        <w:bottom w:val="none" w:sz="0" w:space="0" w:color="auto"/>
        <w:right w:val="none" w:sz="0" w:space="0" w:color="auto"/>
      </w:divBdr>
    </w:div>
    <w:div w:id="1226259600">
      <w:marLeft w:val="0"/>
      <w:marRight w:val="0"/>
      <w:marTop w:val="0"/>
      <w:marBottom w:val="0"/>
      <w:divBdr>
        <w:top w:val="none" w:sz="0" w:space="0" w:color="auto"/>
        <w:left w:val="none" w:sz="0" w:space="0" w:color="auto"/>
        <w:bottom w:val="none" w:sz="0" w:space="0" w:color="auto"/>
        <w:right w:val="none" w:sz="0" w:space="0" w:color="auto"/>
      </w:divBdr>
    </w:div>
    <w:div w:id="1226259601">
      <w:marLeft w:val="0"/>
      <w:marRight w:val="0"/>
      <w:marTop w:val="0"/>
      <w:marBottom w:val="0"/>
      <w:divBdr>
        <w:top w:val="none" w:sz="0" w:space="0" w:color="auto"/>
        <w:left w:val="none" w:sz="0" w:space="0" w:color="auto"/>
        <w:bottom w:val="none" w:sz="0" w:space="0" w:color="auto"/>
        <w:right w:val="none" w:sz="0" w:space="0" w:color="auto"/>
      </w:divBdr>
    </w:div>
    <w:div w:id="1430277181">
      <w:bodyDiv w:val="1"/>
      <w:marLeft w:val="0"/>
      <w:marRight w:val="0"/>
      <w:marTop w:val="0"/>
      <w:marBottom w:val="0"/>
      <w:divBdr>
        <w:top w:val="none" w:sz="0" w:space="0" w:color="auto"/>
        <w:left w:val="none" w:sz="0" w:space="0" w:color="auto"/>
        <w:bottom w:val="none" w:sz="0" w:space="0" w:color="auto"/>
        <w:right w:val="none" w:sz="0" w:space="0" w:color="auto"/>
      </w:divBdr>
    </w:div>
    <w:div w:id="1522204985">
      <w:bodyDiv w:val="1"/>
      <w:marLeft w:val="0"/>
      <w:marRight w:val="0"/>
      <w:marTop w:val="0"/>
      <w:marBottom w:val="0"/>
      <w:divBdr>
        <w:top w:val="none" w:sz="0" w:space="0" w:color="auto"/>
        <w:left w:val="none" w:sz="0" w:space="0" w:color="auto"/>
        <w:bottom w:val="none" w:sz="0" w:space="0" w:color="auto"/>
        <w:right w:val="none" w:sz="0" w:space="0" w:color="auto"/>
      </w:divBdr>
    </w:div>
    <w:div w:id="1556114392">
      <w:bodyDiv w:val="1"/>
      <w:marLeft w:val="0"/>
      <w:marRight w:val="0"/>
      <w:marTop w:val="0"/>
      <w:marBottom w:val="0"/>
      <w:divBdr>
        <w:top w:val="none" w:sz="0" w:space="0" w:color="auto"/>
        <w:left w:val="none" w:sz="0" w:space="0" w:color="auto"/>
        <w:bottom w:val="none" w:sz="0" w:space="0" w:color="auto"/>
        <w:right w:val="none" w:sz="0" w:space="0" w:color="auto"/>
      </w:divBdr>
    </w:div>
    <w:div w:id="1690176587">
      <w:bodyDiv w:val="1"/>
      <w:marLeft w:val="0"/>
      <w:marRight w:val="0"/>
      <w:marTop w:val="0"/>
      <w:marBottom w:val="0"/>
      <w:divBdr>
        <w:top w:val="none" w:sz="0" w:space="0" w:color="auto"/>
        <w:left w:val="none" w:sz="0" w:space="0" w:color="auto"/>
        <w:bottom w:val="none" w:sz="0" w:space="0" w:color="auto"/>
        <w:right w:val="none" w:sz="0" w:space="0" w:color="auto"/>
      </w:divBdr>
    </w:div>
    <w:div w:id="1692493648">
      <w:bodyDiv w:val="1"/>
      <w:marLeft w:val="0"/>
      <w:marRight w:val="0"/>
      <w:marTop w:val="0"/>
      <w:marBottom w:val="0"/>
      <w:divBdr>
        <w:top w:val="none" w:sz="0" w:space="0" w:color="auto"/>
        <w:left w:val="none" w:sz="0" w:space="0" w:color="auto"/>
        <w:bottom w:val="none" w:sz="0" w:space="0" w:color="auto"/>
        <w:right w:val="none" w:sz="0" w:space="0" w:color="auto"/>
      </w:divBdr>
    </w:div>
    <w:div w:id="1704360805">
      <w:bodyDiv w:val="1"/>
      <w:marLeft w:val="0"/>
      <w:marRight w:val="0"/>
      <w:marTop w:val="0"/>
      <w:marBottom w:val="0"/>
      <w:divBdr>
        <w:top w:val="none" w:sz="0" w:space="0" w:color="auto"/>
        <w:left w:val="none" w:sz="0" w:space="0" w:color="auto"/>
        <w:bottom w:val="none" w:sz="0" w:space="0" w:color="auto"/>
        <w:right w:val="none" w:sz="0" w:space="0" w:color="auto"/>
      </w:divBdr>
    </w:div>
    <w:div w:id="1824929324">
      <w:bodyDiv w:val="1"/>
      <w:marLeft w:val="0"/>
      <w:marRight w:val="0"/>
      <w:marTop w:val="0"/>
      <w:marBottom w:val="0"/>
      <w:divBdr>
        <w:top w:val="none" w:sz="0" w:space="0" w:color="auto"/>
        <w:left w:val="none" w:sz="0" w:space="0" w:color="auto"/>
        <w:bottom w:val="none" w:sz="0" w:space="0" w:color="auto"/>
        <w:right w:val="none" w:sz="0" w:space="0" w:color="auto"/>
      </w:divBdr>
    </w:div>
    <w:div w:id="1857379501">
      <w:bodyDiv w:val="1"/>
      <w:marLeft w:val="0"/>
      <w:marRight w:val="0"/>
      <w:marTop w:val="0"/>
      <w:marBottom w:val="0"/>
      <w:divBdr>
        <w:top w:val="none" w:sz="0" w:space="0" w:color="auto"/>
        <w:left w:val="none" w:sz="0" w:space="0" w:color="auto"/>
        <w:bottom w:val="none" w:sz="0" w:space="0" w:color="auto"/>
        <w:right w:val="none" w:sz="0" w:space="0" w:color="auto"/>
      </w:divBdr>
    </w:div>
    <w:div w:id="1880119208">
      <w:bodyDiv w:val="1"/>
      <w:marLeft w:val="0"/>
      <w:marRight w:val="0"/>
      <w:marTop w:val="0"/>
      <w:marBottom w:val="0"/>
      <w:divBdr>
        <w:top w:val="none" w:sz="0" w:space="0" w:color="auto"/>
        <w:left w:val="none" w:sz="0" w:space="0" w:color="auto"/>
        <w:bottom w:val="none" w:sz="0" w:space="0" w:color="auto"/>
        <w:right w:val="none" w:sz="0" w:space="0" w:color="auto"/>
      </w:divBdr>
    </w:div>
    <w:div w:id="2014139624">
      <w:bodyDiv w:val="1"/>
      <w:marLeft w:val="0"/>
      <w:marRight w:val="0"/>
      <w:marTop w:val="0"/>
      <w:marBottom w:val="0"/>
      <w:divBdr>
        <w:top w:val="none" w:sz="0" w:space="0" w:color="auto"/>
        <w:left w:val="none" w:sz="0" w:space="0" w:color="auto"/>
        <w:bottom w:val="none" w:sz="0" w:space="0" w:color="auto"/>
        <w:right w:val="none" w:sz="0" w:space="0" w:color="auto"/>
      </w:divBdr>
    </w:div>
    <w:div w:id="2078504959">
      <w:bodyDiv w:val="1"/>
      <w:marLeft w:val="0"/>
      <w:marRight w:val="0"/>
      <w:marTop w:val="0"/>
      <w:marBottom w:val="0"/>
      <w:divBdr>
        <w:top w:val="none" w:sz="0" w:space="0" w:color="auto"/>
        <w:left w:val="none" w:sz="0" w:space="0" w:color="auto"/>
        <w:bottom w:val="none" w:sz="0" w:space="0" w:color="auto"/>
        <w:right w:val="none" w:sz="0" w:space="0" w:color="auto"/>
      </w:divBdr>
    </w:div>
    <w:div w:id="2104721199">
      <w:bodyDiv w:val="1"/>
      <w:marLeft w:val="0"/>
      <w:marRight w:val="0"/>
      <w:marTop w:val="0"/>
      <w:marBottom w:val="0"/>
      <w:divBdr>
        <w:top w:val="none" w:sz="0" w:space="0" w:color="auto"/>
        <w:left w:val="none" w:sz="0" w:space="0" w:color="auto"/>
        <w:bottom w:val="none" w:sz="0" w:space="0" w:color="auto"/>
        <w:right w:val="none" w:sz="0" w:space="0" w:color="auto"/>
      </w:divBdr>
    </w:div>
    <w:div w:id="21179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____________@hhs.gov"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ranaur@cap.or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tthew.swain@hh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E6F7-3EEA-4CF8-8CBD-EA92AD11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5244</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HHS ONC Consumer Survey PRA-OMB Packet</vt:lpstr>
    </vt:vector>
  </TitlesOfParts>
  <Company>The MITRE Corporation</Company>
  <LinksUpToDate>false</LinksUpToDate>
  <CharactersWithSpaces>35065</CharactersWithSpaces>
  <SharedDoc>false</SharedDoc>
  <HLinks>
    <vt:vector size="252" baseType="variant">
      <vt:variant>
        <vt:i4>3276885</vt:i4>
      </vt:variant>
      <vt:variant>
        <vt:i4>225</vt:i4>
      </vt:variant>
      <vt:variant>
        <vt:i4>0</vt:i4>
      </vt:variant>
      <vt:variant>
        <vt:i4>5</vt:i4>
      </vt:variant>
      <vt:variant>
        <vt:lpwstr>mailto:dullabh-prashila@norc.org</vt:lpwstr>
      </vt:variant>
      <vt:variant>
        <vt:lpwstr/>
      </vt:variant>
      <vt:variant>
        <vt:i4>327794</vt:i4>
      </vt:variant>
      <vt:variant>
        <vt:i4>222</vt:i4>
      </vt:variant>
      <vt:variant>
        <vt:i4>0</vt:i4>
      </vt:variant>
      <vt:variant>
        <vt:i4>5</vt:i4>
      </vt:variant>
      <vt:variant>
        <vt:lpwstr>mailto:Bautista-Rene@norc.org</vt:lpwstr>
      </vt:variant>
      <vt:variant>
        <vt:lpwstr/>
      </vt:variant>
      <vt:variant>
        <vt:i4>2424922</vt:i4>
      </vt:variant>
      <vt:variant>
        <vt:i4>219</vt:i4>
      </vt:variant>
      <vt:variant>
        <vt:i4>0</vt:i4>
      </vt:variant>
      <vt:variant>
        <vt:i4>5</vt:i4>
      </vt:variant>
      <vt:variant>
        <vt:lpwstr>mailto:Leclere-felicia@norc.org</vt:lpwstr>
      </vt:variant>
      <vt:variant>
        <vt:lpwstr/>
      </vt:variant>
      <vt:variant>
        <vt:i4>5242940</vt:i4>
      </vt:variant>
      <vt:variant>
        <vt:i4>213</vt:i4>
      </vt:variant>
      <vt:variant>
        <vt:i4>0</vt:i4>
      </vt:variant>
      <vt:variant>
        <vt:i4>5</vt:i4>
      </vt:variant>
      <vt:variant>
        <vt:lpwstr>mailto:hinkins-susan@norc.org</vt:lpwstr>
      </vt:variant>
      <vt:variant>
        <vt:lpwstr/>
      </vt:variant>
      <vt:variant>
        <vt:i4>8060940</vt:i4>
      </vt:variant>
      <vt:variant>
        <vt:i4>210</vt:i4>
      </vt:variant>
      <vt:variant>
        <vt:i4>0</vt:i4>
      </vt:variant>
      <vt:variant>
        <vt:i4>5</vt:i4>
      </vt:variant>
      <vt:variant>
        <vt:lpwstr>mailto:copeland-kennon@norc.org</vt:lpwstr>
      </vt:variant>
      <vt:variant>
        <vt:lpwstr/>
      </vt:variant>
      <vt:variant>
        <vt:i4>3801156</vt:i4>
      </vt:variant>
      <vt:variant>
        <vt:i4>207</vt:i4>
      </vt:variant>
      <vt:variant>
        <vt:i4>0</vt:i4>
      </vt:variant>
      <vt:variant>
        <vt:i4>5</vt:i4>
      </vt:variant>
      <vt:variant>
        <vt:lpwstr>mailto:Vaishali.Patel@hhs.gov</vt:lpwstr>
      </vt:variant>
      <vt:variant>
        <vt:lpwstr/>
      </vt:variant>
      <vt:variant>
        <vt:i4>1245262</vt:i4>
      </vt:variant>
      <vt:variant>
        <vt:i4>204</vt:i4>
      </vt:variant>
      <vt:variant>
        <vt:i4>0</vt:i4>
      </vt:variant>
      <vt:variant>
        <vt:i4>5</vt:i4>
      </vt:variant>
      <vt:variant>
        <vt:lpwstr>http://www.hhs.gov/ohrp/</vt:lpwstr>
      </vt:variant>
      <vt:variant>
        <vt:lpwstr/>
      </vt:variant>
      <vt:variant>
        <vt:i4>3276885</vt:i4>
      </vt:variant>
      <vt:variant>
        <vt:i4>201</vt:i4>
      </vt:variant>
      <vt:variant>
        <vt:i4>0</vt:i4>
      </vt:variant>
      <vt:variant>
        <vt:i4>5</vt:i4>
      </vt:variant>
      <vt:variant>
        <vt:lpwstr>mailto:dullabh-prashila@norc.org</vt:lpwstr>
      </vt:variant>
      <vt:variant>
        <vt:lpwstr/>
      </vt:variant>
      <vt:variant>
        <vt:i4>1703984</vt:i4>
      </vt:variant>
      <vt:variant>
        <vt:i4>194</vt:i4>
      </vt:variant>
      <vt:variant>
        <vt:i4>0</vt:i4>
      </vt:variant>
      <vt:variant>
        <vt:i4>5</vt:i4>
      </vt:variant>
      <vt:variant>
        <vt:lpwstr/>
      </vt:variant>
      <vt:variant>
        <vt:lpwstr>_Toc308682393</vt:lpwstr>
      </vt:variant>
      <vt:variant>
        <vt:i4>1703984</vt:i4>
      </vt:variant>
      <vt:variant>
        <vt:i4>188</vt:i4>
      </vt:variant>
      <vt:variant>
        <vt:i4>0</vt:i4>
      </vt:variant>
      <vt:variant>
        <vt:i4>5</vt:i4>
      </vt:variant>
      <vt:variant>
        <vt:lpwstr/>
      </vt:variant>
      <vt:variant>
        <vt:lpwstr>_Toc308682392</vt:lpwstr>
      </vt:variant>
      <vt:variant>
        <vt:i4>1703984</vt:i4>
      </vt:variant>
      <vt:variant>
        <vt:i4>182</vt:i4>
      </vt:variant>
      <vt:variant>
        <vt:i4>0</vt:i4>
      </vt:variant>
      <vt:variant>
        <vt:i4>5</vt:i4>
      </vt:variant>
      <vt:variant>
        <vt:lpwstr/>
      </vt:variant>
      <vt:variant>
        <vt:lpwstr>_Toc308682391</vt:lpwstr>
      </vt:variant>
      <vt:variant>
        <vt:i4>1703984</vt:i4>
      </vt:variant>
      <vt:variant>
        <vt:i4>176</vt:i4>
      </vt:variant>
      <vt:variant>
        <vt:i4>0</vt:i4>
      </vt:variant>
      <vt:variant>
        <vt:i4>5</vt:i4>
      </vt:variant>
      <vt:variant>
        <vt:lpwstr/>
      </vt:variant>
      <vt:variant>
        <vt:lpwstr>_Toc308682390</vt:lpwstr>
      </vt:variant>
      <vt:variant>
        <vt:i4>1769520</vt:i4>
      </vt:variant>
      <vt:variant>
        <vt:i4>170</vt:i4>
      </vt:variant>
      <vt:variant>
        <vt:i4>0</vt:i4>
      </vt:variant>
      <vt:variant>
        <vt:i4>5</vt:i4>
      </vt:variant>
      <vt:variant>
        <vt:lpwstr/>
      </vt:variant>
      <vt:variant>
        <vt:lpwstr>_Toc308682389</vt:lpwstr>
      </vt:variant>
      <vt:variant>
        <vt:i4>1769520</vt:i4>
      </vt:variant>
      <vt:variant>
        <vt:i4>164</vt:i4>
      </vt:variant>
      <vt:variant>
        <vt:i4>0</vt:i4>
      </vt:variant>
      <vt:variant>
        <vt:i4>5</vt:i4>
      </vt:variant>
      <vt:variant>
        <vt:lpwstr/>
      </vt:variant>
      <vt:variant>
        <vt:lpwstr>_Toc308682388</vt:lpwstr>
      </vt:variant>
      <vt:variant>
        <vt:i4>1769520</vt:i4>
      </vt:variant>
      <vt:variant>
        <vt:i4>158</vt:i4>
      </vt:variant>
      <vt:variant>
        <vt:i4>0</vt:i4>
      </vt:variant>
      <vt:variant>
        <vt:i4>5</vt:i4>
      </vt:variant>
      <vt:variant>
        <vt:lpwstr/>
      </vt:variant>
      <vt:variant>
        <vt:lpwstr>_Toc308682387</vt:lpwstr>
      </vt:variant>
      <vt:variant>
        <vt:i4>1769520</vt:i4>
      </vt:variant>
      <vt:variant>
        <vt:i4>152</vt:i4>
      </vt:variant>
      <vt:variant>
        <vt:i4>0</vt:i4>
      </vt:variant>
      <vt:variant>
        <vt:i4>5</vt:i4>
      </vt:variant>
      <vt:variant>
        <vt:lpwstr/>
      </vt:variant>
      <vt:variant>
        <vt:lpwstr>_Toc308682386</vt:lpwstr>
      </vt:variant>
      <vt:variant>
        <vt:i4>1769520</vt:i4>
      </vt:variant>
      <vt:variant>
        <vt:i4>146</vt:i4>
      </vt:variant>
      <vt:variant>
        <vt:i4>0</vt:i4>
      </vt:variant>
      <vt:variant>
        <vt:i4>5</vt:i4>
      </vt:variant>
      <vt:variant>
        <vt:lpwstr/>
      </vt:variant>
      <vt:variant>
        <vt:lpwstr>_Toc308682385</vt:lpwstr>
      </vt:variant>
      <vt:variant>
        <vt:i4>1769520</vt:i4>
      </vt:variant>
      <vt:variant>
        <vt:i4>140</vt:i4>
      </vt:variant>
      <vt:variant>
        <vt:i4>0</vt:i4>
      </vt:variant>
      <vt:variant>
        <vt:i4>5</vt:i4>
      </vt:variant>
      <vt:variant>
        <vt:lpwstr/>
      </vt:variant>
      <vt:variant>
        <vt:lpwstr>_Toc308682384</vt:lpwstr>
      </vt:variant>
      <vt:variant>
        <vt:i4>1769520</vt:i4>
      </vt:variant>
      <vt:variant>
        <vt:i4>134</vt:i4>
      </vt:variant>
      <vt:variant>
        <vt:i4>0</vt:i4>
      </vt:variant>
      <vt:variant>
        <vt:i4>5</vt:i4>
      </vt:variant>
      <vt:variant>
        <vt:lpwstr/>
      </vt:variant>
      <vt:variant>
        <vt:lpwstr>_Toc308682383</vt:lpwstr>
      </vt:variant>
      <vt:variant>
        <vt:i4>1769520</vt:i4>
      </vt:variant>
      <vt:variant>
        <vt:i4>128</vt:i4>
      </vt:variant>
      <vt:variant>
        <vt:i4>0</vt:i4>
      </vt:variant>
      <vt:variant>
        <vt:i4>5</vt:i4>
      </vt:variant>
      <vt:variant>
        <vt:lpwstr/>
      </vt:variant>
      <vt:variant>
        <vt:lpwstr>_Toc308682382</vt:lpwstr>
      </vt:variant>
      <vt:variant>
        <vt:i4>1769520</vt:i4>
      </vt:variant>
      <vt:variant>
        <vt:i4>122</vt:i4>
      </vt:variant>
      <vt:variant>
        <vt:i4>0</vt:i4>
      </vt:variant>
      <vt:variant>
        <vt:i4>5</vt:i4>
      </vt:variant>
      <vt:variant>
        <vt:lpwstr/>
      </vt:variant>
      <vt:variant>
        <vt:lpwstr>_Toc308682381</vt:lpwstr>
      </vt:variant>
      <vt:variant>
        <vt:i4>1769520</vt:i4>
      </vt:variant>
      <vt:variant>
        <vt:i4>116</vt:i4>
      </vt:variant>
      <vt:variant>
        <vt:i4>0</vt:i4>
      </vt:variant>
      <vt:variant>
        <vt:i4>5</vt:i4>
      </vt:variant>
      <vt:variant>
        <vt:lpwstr/>
      </vt:variant>
      <vt:variant>
        <vt:lpwstr>_Toc308682380</vt:lpwstr>
      </vt:variant>
      <vt:variant>
        <vt:i4>1310768</vt:i4>
      </vt:variant>
      <vt:variant>
        <vt:i4>110</vt:i4>
      </vt:variant>
      <vt:variant>
        <vt:i4>0</vt:i4>
      </vt:variant>
      <vt:variant>
        <vt:i4>5</vt:i4>
      </vt:variant>
      <vt:variant>
        <vt:lpwstr/>
      </vt:variant>
      <vt:variant>
        <vt:lpwstr>_Toc308682379</vt:lpwstr>
      </vt:variant>
      <vt:variant>
        <vt:i4>1310768</vt:i4>
      </vt:variant>
      <vt:variant>
        <vt:i4>104</vt:i4>
      </vt:variant>
      <vt:variant>
        <vt:i4>0</vt:i4>
      </vt:variant>
      <vt:variant>
        <vt:i4>5</vt:i4>
      </vt:variant>
      <vt:variant>
        <vt:lpwstr/>
      </vt:variant>
      <vt:variant>
        <vt:lpwstr>_Toc308682378</vt:lpwstr>
      </vt:variant>
      <vt:variant>
        <vt:i4>1310768</vt:i4>
      </vt:variant>
      <vt:variant>
        <vt:i4>98</vt:i4>
      </vt:variant>
      <vt:variant>
        <vt:i4>0</vt:i4>
      </vt:variant>
      <vt:variant>
        <vt:i4>5</vt:i4>
      </vt:variant>
      <vt:variant>
        <vt:lpwstr/>
      </vt:variant>
      <vt:variant>
        <vt:lpwstr>_Toc308682377</vt:lpwstr>
      </vt:variant>
      <vt:variant>
        <vt:i4>1310768</vt:i4>
      </vt:variant>
      <vt:variant>
        <vt:i4>92</vt:i4>
      </vt:variant>
      <vt:variant>
        <vt:i4>0</vt:i4>
      </vt:variant>
      <vt:variant>
        <vt:i4>5</vt:i4>
      </vt:variant>
      <vt:variant>
        <vt:lpwstr/>
      </vt:variant>
      <vt:variant>
        <vt:lpwstr>_Toc308682376</vt:lpwstr>
      </vt:variant>
      <vt:variant>
        <vt:i4>1310768</vt:i4>
      </vt:variant>
      <vt:variant>
        <vt:i4>86</vt:i4>
      </vt:variant>
      <vt:variant>
        <vt:i4>0</vt:i4>
      </vt:variant>
      <vt:variant>
        <vt:i4>5</vt:i4>
      </vt:variant>
      <vt:variant>
        <vt:lpwstr/>
      </vt:variant>
      <vt:variant>
        <vt:lpwstr>_Toc308682375</vt:lpwstr>
      </vt:variant>
      <vt:variant>
        <vt:i4>1310768</vt:i4>
      </vt:variant>
      <vt:variant>
        <vt:i4>80</vt:i4>
      </vt:variant>
      <vt:variant>
        <vt:i4>0</vt:i4>
      </vt:variant>
      <vt:variant>
        <vt:i4>5</vt:i4>
      </vt:variant>
      <vt:variant>
        <vt:lpwstr/>
      </vt:variant>
      <vt:variant>
        <vt:lpwstr>_Toc308682374</vt:lpwstr>
      </vt:variant>
      <vt:variant>
        <vt:i4>1310768</vt:i4>
      </vt:variant>
      <vt:variant>
        <vt:i4>74</vt:i4>
      </vt:variant>
      <vt:variant>
        <vt:i4>0</vt:i4>
      </vt:variant>
      <vt:variant>
        <vt:i4>5</vt:i4>
      </vt:variant>
      <vt:variant>
        <vt:lpwstr/>
      </vt:variant>
      <vt:variant>
        <vt:lpwstr>_Toc308682373</vt:lpwstr>
      </vt:variant>
      <vt:variant>
        <vt:i4>1310768</vt:i4>
      </vt:variant>
      <vt:variant>
        <vt:i4>68</vt:i4>
      </vt:variant>
      <vt:variant>
        <vt:i4>0</vt:i4>
      </vt:variant>
      <vt:variant>
        <vt:i4>5</vt:i4>
      </vt:variant>
      <vt:variant>
        <vt:lpwstr/>
      </vt:variant>
      <vt:variant>
        <vt:lpwstr>_Toc308682372</vt:lpwstr>
      </vt:variant>
      <vt:variant>
        <vt:i4>1310768</vt:i4>
      </vt:variant>
      <vt:variant>
        <vt:i4>62</vt:i4>
      </vt:variant>
      <vt:variant>
        <vt:i4>0</vt:i4>
      </vt:variant>
      <vt:variant>
        <vt:i4>5</vt:i4>
      </vt:variant>
      <vt:variant>
        <vt:lpwstr/>
      </vt:variant>
      <vt:variant>
        <vt:lpwstr>_Toc308682371</vt:lpwstr>
      </vt:variant>
      <vt:variant>
        <vt:i4>1310768</vt:i4>
      </vt:variant>
      <vt:variant>
        <vt:i4>56</vt:i4>
      </vt:variant>
      <vt:variant>
        <vt:i4>0</vt:i4>
      </vt:variant>
      <vt:variant>
        <vt:i4>5</vt:i4>
      </vt:variant>
      <vt:variant>
        <vt:lpwstr/>
      </vt:variant>
      <vt:variant>
        <vt:lpwstr>_Toc308682370</vt:lpwstr>
      </vt:variant>
      <vt:variant>
        <vt:i4>1376304</vt:i4>
      </vt:variant>
      <vt:variant>
        <vt:i4>50</vt:i4>
      </vt:variant>
      <vt:variant>
        <vt:i4>0</vt:i4>
      </vt:variant>
      <vt:variant>
        <vt:i4>5</vt:i4>
      </vt:variant>
      <vt:variant>
        <vt:lpwstr/>
      </vt:variant>
      <vt:variant>
        <vt:lpwstr>_Toc308682369</vt:lpwstr>
      </vt:variant>
      <vt:variant>
        <vt:i4>1376304</vt:i4>
      </vt:variant>
      <vt:variant>
        <vt:i4>44</vt:i4>
      </vt:variant>
      <vt:variant>
        <vt:i4>0</vt:i4>
      </vt:variant>
      <vt:variant>
        <vt:i4>5</vt:i4>
      </vt:variant>
      <vt:variant>
        <vt:lpwstr/>
      </vt:variant>
      <vt:variant>
        <vt:lpwstr>_Toc308682368</vt:lpwstr>
      </vt:variant>
      <vt:variant>
        <vt:i4>1376304</vt:i4>
      </vt:variant>
      <vt:variant>
        <vt:i4>38</vt:i4>
      </vt:variant>
      <vt:variant>
        <vt:i4>0</vt:i4>
      </vt:variant>
      <vt:variant>
        <vt:i4>5</vt:i4>
      </vt:variant>
      <vt:variant>
        <vt:lpwstr/>
      </vt:variant>
      <vt:variant>
        <vt:lpwstr>_Toc308682367</vt:lpwstr>
      </vt:variant>
      <vt:variant>
        <vt:i4>1376304</vt:i4>
      </vt:variant>
      <vt:variant>
        <vt:i4>32</vt:i4>
      </vt:variant>
      <vt:variant>
        <vt:i4>0</vt:i4>
      </vt:variant>
      <vt:variant>
        <vt:i4>5</vt:i4>
      </vt:variant>
      <vt:variant>
        <vt:lpwstr/>
      </vt:variant>
      <vt:variant>
        <vt:lpwstr>_Toc308682366</vt:lpwstr>
      </vt:variant>
      <vt:variant>
        <vt:i4>1376304</vt:i4>
      </vt:variant>
      <vt:variant>
        <vt:i4>26</vt:i4>
      </vt:variant>
      <vt:variant>
        <vt:i4>0</vt:i4>
      </vt:variant>
      <vt:variant>
        <vt:i4>5</vt:i4>
      </vt:variant>
      <vt:variant>
        <vt:lpwstr/>
      </vt:variant>
      <vt:variant>
        <vt:lpwstr>_Toc308682365</vt:lpwstr>
      </vt:variant>
      <vt:variant>
        <vt:i4>1376304</vt:i4>
      </vt:variant>
      <vt:variant>
        <vt:i4>20</vt:i4>
      </vt:variant>
      <vt:variant>
        <vt:i4>0</vt:i4>
      </vt:variant>
      <vt:variant>
        <vt:i4>5</vt:i4>
      </vt:variant>
      <vt:variant>
        <vt:lpwstr/>
      </vt:variant>
      <vt:variant>
        <vt:lpwstr>_Toc308682364</vt:lpwstr>
      </vt:variant>
      <vt:variant>
        <vt:i4>1376304</vt:i4>
      </vt:variant>
      <vt:variant>
        <vt:i4>14</vt:i4>
      </vt:variant>
      <vt:variant>
        <vt:i4>0</vt:i4>
      </vt:variant>
      <vt:variant>
        <vt:i4>5</vt:i4>
      </vt:variant>
      <vt:variant>
        <vt:lpwstr/>
      </vt:variant>
      <vt:variant>
        <vt:lpwstr>_Toc308682363</vt:lpwstr>
      </vt:variant>
      <vt:variant>
        <vt:i4>1376304</vt:i4>
      </vt:variant>
      <vt:variant>
        <vt:i4>8</vt:i4>
      </vt:variant>
      <vt:variant>
        <vt:i4>0</vt:i4>
      </vt:variant>
      <vt:variant>
        <vt:i4>5</vt:i4>
      </vt:variant>
      <vt:variant>
        <vt:lpwstr/>
      </vt:variant>
      <vt:variant>
        <vt:lpwstr>_Toc308682362</vt:lpwstr>
      </vt:variant>
      <vt:variant>
        <vt:i4>1179747</vt:i4>
      </vt:variant>
      <vt:variant>
        <vt:i4>0</vt:i4>
      </vt:variant>
      <vt:variant>
        <vt:i4>0</vt:i4>
      </vt:variant>
      <vt:variant>
        <vt:i4>5</vt:i4>
      </vt:variant>
      <vt:variant>
        <vt:lpwstr>mailto:matthew.swain@hhs.gov</vt:lpwstr>
      </vt:variant>
      <vt:variant>
        <vt:lpwstr/>
      </vt:variant>
      <vt:variant>
        <vt:i4>7143531</vt:i4>
      </vt:variant>
      <vt:variant>
        <vt:i4>0</vt:i4>
      </vt:variant>
      <vt:variant>
        <vt:i4>0</vt:i4>
      </vt:variant>
      <vt:variant>
        <vt:i4>5</vt:i4>
      </vt:variant>
      <vt:variant>
        <vt:lpwstr>http://wwwn.cdc.gov/clia/oscar.aspx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ONC Consumer Survey PRA-OMB Packet</dc:title>
  <dc:subject>HHS ONC Consumer Survey PRA-OMB Packet</dc:subject>
  <dc:creator>Linda Koontz;Ted Sienknecht;Alison Brunelle;Laurie Imhof;Lisa Lee</dc:creator>
  <dc:description>3rd draft for ONC review</dc:description>
  <cp:lastModifiedBy>CTAC</cp:lastModifiedBy>
  <cp:revision>2</cp:revision>
  <cp:lastPrinted>2012-10-02T19:00:00Z</cp:lastPrinted>
  <dcterms:created xsi:type="dcterms:W3CDTF">2012-12-18T15:29:00Z</dcterms:created>
  <dcterms:modified xsi:type="dcterms:W3CDTF">2012-12-18T15:29:00Z</dcterms:modified>
</cp:coreProperties>
</file>