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4F4" w:rsidRDefault="006D34F4" w:rsidP="006D34F4">
      <w:pPr>
        <w:pStyle w:val="Heading1Black"/>
        <w:spacing w:before="0" w:after="0"/>
        <w:rPr>
          <w:rFonts w:ascii="Times New Roman" w:hAnsi="Times New Roman"/>
        </w:rPr>
      </w:pPr>
      <w:bookmarkStart w:id="0" w:name="_GoBack"/>
      <w:bookmarkEnd w:id="0"/>
      <w:r w:rsidRPr="003D1EDB">
        <w:rPr>
          <w:rFonts w:ascii="Times New Roman" w:hAnsi="Times New Roman"/>
        </w:rPr>
        <w:t>Supporting Statement A</w:t>
      </w:r>
    </w:p>
    <w:p w:rsidR="008B63FD" w:rsidRDefault="006D34F4" w:rsidP="006D34F4">
      <w:pPr>
        <w:pStyle w:val="Heading1Black"/>
        <w:spacing w:before="0"/>
        <w:rPr>
          <w:rFonts w:ascii="Times New Roman" w:hAnsi="Times New Roman"/>
        </w:rPr>
      </w:pPr>
      <w:r w:rsidRPr="003D1EDB">
        <w:rPr>
          <w:rFonts w:ascii="Times New Roman" w:hAnsi="Times New Roman"/>
        </w:rPr>
        <w:t xml:space="preserve">Justification for the </w:t>
      </w:r>
    </w:p>
    <w:p w:rsidR="006D34F4" w:rsidRDefault="006D34F4" w:rsidP="006D34F4">
      <w:pPr>
        <w:pStyle w:val="Heading1Black"/>
        <w:spacing w:before="0"/>
        <w:rPr>
          <w:rFonts w:ascii="Times New Roman" w:hAnsi="Times New Roman"/>
        </w:rPr>
      </w:pPr>
      <w:r w:rsidRPr="003D1EDB">
        <w:rPr>
          <w:rFonts w:ascii="Times New Roman" w:hAnsi="Times New Roman"/>
        </w:rPr>
        <w:t xml:space="preserve">Healthy Weight Collaborative </w:t>
      </w:r>
      <w:r w:rsidR="008B63FD">
        <w:rPr>
          <w:rFonts w:ascii="Times New Roman" w:hAnsi="Times New Roman"/>
        </w:rPr>
        <w:t>implementation study</w:t>
      </w:r>
    </w:p>
    <w:p w:rsidR="006D34F4" w:rsidRDefault="006D34F4" w:rsidP="006D34F4">
      <w:pPr>
        <w:pStyle w:val="Heading2Black"/>
        <w:rPr>
          <w:rFonts w:ascii="Times New Roman" w:hAnsi="Times New Roman"/>
        </w:rPr>
      </w:pPr>
      <w:bookmarkStart w:id="1" w:name="_Toc330974214"/>
      <w:r w:rsidRPr="003D1EDB">
        <w:rPr>
          <w:rFonts w:ascii="Times New Roman" w:hAnsi="Times New Roman"/>
        </w:rPr>
        <w:t>A</w:t>
      </w:r>
      <w:r w:rsidRPr="003D1EDB">
        <w:rPr>
          <w:rFonts w:ascii="Times New Roman" w:hAnsi="Times New Roman"/>
        </w:rPr>
        <w:tab/>
        <w:t>Justification</w:t>
      </w:r>
      <w:bookmarkEnd w:id="1"/>
    </w:p>
    <w:p w:rsidR="006D34F4" w:rsidRDefault="006D34F4" w:rsidP="006D34F4">
      <w:pPr>
        <w:pStyle w:val="Heading2Black"/>
        <w:rPr>
          <w:rFonts w:ascii="Times New Roman" w:hAnsi="Times New Roman"/>
        </w:rPr>
      </w:pPr>
      <w:bookmarkStart w:id="2" w:name="_Toc330974215"/>
      <w:r>
        <w:rPr>
          <w:rFonts w:ascii="Times New Roman" w:hAnsi="Times New Roman"/>
        </w:rPr>
        <w:t>1</w:t>
      </w:r>
      <w:r w:rsidRPr="003D1EDB">
        <w:rPr>
          <w:rFonts w:ascii="Times New Roman" w:hAnsi="Times New Roman"/>
        </w:rPr>
        <w:t>.</w:t>
      </w:r>
      <w:r w:rsidRPr="003D1EDB">
        <w:rPr>
          <w:rFonts w:ascii="Times New Roman" w:hAnsi="Times New Roman"/>
        </w:rPr>
        <w:tab/>
        <w:t>Circumstances Making the Collection of Information Necessary</w:t>
      </w:r>
      <w:bookmarkEnd w:id="2"/>
    </w:p>
    <w:p w:rsidR="006D34F4" w:rsidRPr="00E31D76" w:rsidRDefault="006D34F4" w:rsidP="006D34F4">
      <w:pPr>
        <w:pStyle w:val="NormalSS"/>
        <w:tabs>
          <w:tab w:val="left" w:pos="90"/>
        </w:tabs>
        <w:rPr>
          <w:rFonts w:ascii="Times New Roman" w:hAnsi="Times New Roman"/>
        </w:rPr>
      </w:pPr>
      <w:r w:rsidRPr="00E31D76">
        <w:rPr>
          <w:rFonts w:ascii="Times New Roman" w:hAnsi="Times New Roman"/>
        </w:rPr>
        <w:t xml:space="preserve">Supported through the Public Health and Prevention Fund created by the Affordable Care Act of 2010 (see </w:t>
      </w:r>
      <w:r>
        <w:rPr>
          <w:rFonts w:ascii="Times New Roman" w:hAnsi="Times New Roman"/>
        </w:rPr>
        <w:t>Appendix</w:t>
      </w:r>
      <w:r w:rsidRPr="00E31D76">
        <w:rPr>
          <w:rFonts w:ascii="Times New Roman" w:hAnsi="Times New Roman"/>
        </w:rPr>
        <w:t xml:space="preserve"> A, Affordable Care Act of 2010 </w:t>
      </w:r>
      <w:r>
        <w:rPr>
          <w:rFonts w:ascii="Times New Roman" w:hAnsi="Times New Roman"/>
        </w:rPr>
        <w:t>[</w:t>
      </w:r>
      <w:r w:rsidRPr="00E31D76">
        <w:rPr>
          <w:rFonts w:ascii="Times New Roman" w:hAnsi="Times New Roman"/>
        </w:rPr>
        <w:t>Sections 4002 and 10401</w:t>
      </w:r>
      <w:r>
        <w:rPr>
          <w:rFonts w:ascii="Times New Roman" w:hAnsi="Times New Roman"/>
        </w:rPr>
        <w:t>]</w:t>
      </w:r>
      <w:r w:rsidRPr="00E31D76">
        <w:rPr>
          <w:rFonts w:ascii="Times New Roman" w:hAnsi="Times New Roman"/>
        </w:rPr>
        <w:t>, the U.S. Department of Health and Human Services’ Health Resources and Services Administration (HRSA) awarded $5 million to the National Initiative for Children’s Healthcare Quality (NICHQ) in fiscal year (FY) 2010 through March 31, 2013, to create and manage a prevention center for healthy weight to address obesity in children and families, which created the Collaborate for Healthy Weight initiative. Collaborate for Healthy Weight is a national initiative by HRSA to bring together primary care providers, public health professionals, and leaders of community-based organizations to use quality improvement methods to address the obesity epidemic in communities across the country.</w:t>
      </w:r>
    </w:p>
    <w:p w:rsidR="006D34F4" w:rsidRDefault="006D34F4" w:rsidP="006D34F4">
      <w:pPr>
        <w:pStyle w:val="NormalSS"/>
        <w:ind w:firstLine="0"/>
        <w:rPr>
          <w:rFonts w:ascii="Times New Roman" w:hAnsi="Times New Roman"/>
        </w:rPr>
      </w:pPr>
      <w:r>
        <w:rPr>
          <w:rFonts w:ascii="Times New Roman" w:hAnsi="Times New Roman"/>
        </w:rPr>
        <w:tab/>
      </w:r>
      <w:r w:rsidRPr="00E31D76">
        <w:rPr>
          <w:rFonts w:ascii="Times New Roman" w:hAnsi="Times New Roman"/>
        </w:rPr>
        <w:t>As part of Collaborate for Healthy Weight, in collaboration with HRSA and a coalition of partner organizations, NICHQ has created the Healthy Weight Collaborative (</w:t>
      </w:r>
      <w:r>
        <w:rPr>
          <w:rFonts w:ascii="Times New Roman" w:hAnsi="Times New Roman"/>
        </w:rPr>
        <w:t>HWC</w:t>
      </w:r>
      <w:r w:rsidRPr="00E31D76">
        <w:rPr>
          <w:rFonts w:ascii="Times New Roman" w:hAnsi="Times New Roman"/>
        </w:rPr>
        <w:t xml:space="preserve">) to identify model approaches linking clinical services, public health functions, and other community services to address childhood and family obesity. The </w:t>
      </w:r>
      <w:r>
        <w:rPr>
          <w:rFonts w:ascii="Times New Roman" w:hAnsi="Times New Roman"/>
        </w:rPr>
        <w:t>HWC</w:t>
      </w:r>
      <w:r w:rsidRPr="00E31D76">
        <w:rPr>
          <w:rFonts w:ascii="Times New Roman" w:hAnsi="Times New Roman"/>
        </w:rPr>
        <w:t xml:space="preserve"> aims to prevent and treat childhood obesity by working with 50 community teams to identify, test, and evaluate a national </w:t>
      </w:r>
      <w:r>
        <w:rPr>
          <w:rFonts w:ascii="Times New Roman" w:hAnsi="Times New Roman"/>
        </w:rPr>
        <w:t>HWC</w:t>
      </w:r>
      <w:r w:rsidRPr="00E31D76">
        <w:rPr>
          <w:rFonts w:ascii="Times New Roman" w:hAnsi="Times New Roman"/>
        </w:rPr>
        <w:t xml:space="preserve"> change package of evidence-based program and policy interventions. Each community team represents multiple sectors, including primary care, public health, and other community sectors</w:t>
      </w:r>
      <w:r>
        <w:rPr>
          <w:rFonts w:ascii="Times New Roman" w:hAnsi="Times New Roman"/>
        </w:rPr>
        <w:t>, such as education</w:t>
      </w:r>
      <w:r w:rsidRPr="00E31D76">
        <w:rPr>
          <w:rFonts w:ascii="Times New Roman" w:hAnsi="Times New Roman"/>
        </w:rPr>
        <w:t xml:space="preserve">. The </w:t>
      </w:r>
      <w:r>
        <w:rPr>
          <w:rFonts w:ascii="Times New Roman" w:hAnsi="Times New Roman"/>
        </w:rPr>
        <w:t>HWC</w:t>
      </w:r>
      <w:r w:rsidRPr="00E31D76">
        <w:rPr>
          <w:rFonts w:ascii="Times New Roman" w:hAnsi="Times New Roman"/>
        </w:rPr>
        <w:t xml:space="preserve"> is modeled after the Breakthrough Series methodology, a quality improvement approach pioneered by the Institute for Healthcare Improvement (IHI), in which learning sessions (that is, meetings) are interspersed with action periods (that is, times to test interventions in local environments).</w:t>
      </w:r>
      <w:r w:rsidRPr="007F154D">
        <w:rPr>
          <w:rFonts w:ascii="Times New Roman" w:hAnsi="Times New Roman"/>
        </w:rPr>
        <w:t xml:space="preserve"> </w:t>
      </w:r>
    </w:p>
    <w:p w:rsidR="00113152" w:rsidRDefault="006D34F4" w:rsidP="006D34F4">
      <w:pPr>
        <w:pStyle w:val="NormalSS"/>
        <w:rPr>
          <w:rFonts w:ascii="Times New Roman" w:hAnsi="Times New Roman"/>
        </w:rPr>
      </w:pPr>
      <w:r w:rsidRPr="00E31D76">
        <w:rPr>
          <w:rFonts w:ascii="Times New Roman" w:hAnsi="Times New Roman"/>
        </w:rPr>
        <w:t xml:space="preserve">The </w:t>
      </w:r>
      <w:r>
        <w:rPr>
          <w:rFonts w:ascii="Times New Roman" w:hAnsi="Times New Roman"/>
        </w:rPr>
        <w:t>HWC</w:t>
      </w:r>
      <w:r w:rsidRPr="00E31D76">
        <w:rPr>
          <w:rFonts w:ascii="Times New Roman" w:hAnsi="Times New Roman"/>
        </w:rPr>
        <w:t xml:space="preserve"> is being implemented in two consecutive </w:t>
      </w:r>
      <w:r w:rsidR="00113152">
        <w:rPr>
          <w:rFonts w:ascii="Times New Roman" w:hAnsi="Times New Roman"/>
        </w:rPr>
        <w:t xml:space="preserve">program implementation </w:t>
      </w:r>
      <w:r w:rsidRPr="00E31D76">
        <w:rPr>
          <w:rFonts w:ascii="Times New Roman" w:hAnsi="Times New Roman"/>
        </w:rPr>
        <w:t xml:space="preserve">phases, each with </w:t>
      </w:r>
      <w:r>
        <w:rPr>
          <w:rFonts w:ascii="Times New Roman" w:hAnsi="Times New Roman"/>
        </w:rPr>
        <w:t xml:space="preserve">3 </w:t>
      </w:r>
      <w:r w:rsidRPr="00E31D76">
        <w:rPr>
          <w:rFonts w:ascii="Times New Roman" w:hAnsi="Times New Roman"/>
        </w:rPr>
        <w:t xml:space="preserve">learning sessions and action periods. </w:t>
      </w:r>
      <w:r w:rsidR="00113152">
        <w:rPr>
          <w:rFonts w:ascii="Times New Roman" w:hAnsi="Times New Roman"/>
        </w:rPr>
        <w:t xml:space="preserve">These program implementation phases represent activities conducted by community teams that were supported by a cooperative agreement and did not include any evaluation activities. </w:t>
      </w:r>
      <w:r w:rsidRPr="00E31D76">
        <w:rPr>
          <w:rFonts w:ascii="Times New Roman" w:hAnsi="Times New Roman"/>
        </w:rPr>
        <w:t xml:space="preserve">The first </w:t>
      </w:r>
      <w:r w:rsidR="00113152">
        <w:rPr>
          <w:rFonts w:ascii="Times New Roman" w:hAnsi="Times New Roman"/>
        </w:rPr>
        <w:t xml:space="preserve">program implementation </w:t>
      </w:r>
      <w:r w:rsidRPr="00E31D76">
        <w:rPr>
          <w:rFonts w:ascii="Times New Roman" w:hAnsi="Times New Roman"/>
        </w:rPr>
        <w:t xml:space="preserve">phase (July 2011 to </w:t>
      </w:r>
      <w:r>
        <w:rPr>
          <w:rFonts w:ascii="Times New Roman" w:hAnsi="Times New Roman"/>
        </w:rPr>
        <w:t xml:space="preserve">July </w:t>
      </w:r>
      <w:r w:rsidRPr="00E31D76">
        <w:rPr>
          <w:rFonts w:ascii="Times New Roman" w:hAnsi="Times New Roman"/>
        </w:rPr>
        <w:t>2012) include</w:t>
      </w:r>
      <w:r>
        <w:rPr>
          <w:rFonts w:ascii="Times New Roman" w:hAnsi="Times New Roman"/>
        </w:rPr>
        <w:t>d</w:t>
      </w:r>
      <w:r w:rsidRPr="00E31D76">
        <w:rPr>
          <w:rFonts w:ascii="Times New Roman" w:hAnsi="Times New Roman"/>
        </w:rPr>
        <w:t xml:space="preserve"> 10 community teams selected from </w:t>
      </w:r>
      <w:r w:rsidRPr="00001703">
        <w:rPr>
          <w:rFonts w:ascii="Times New Roman" w:hAnsi="Times New Roman"/>
        </w:rPr>
        <w:t>10</w:t>
      </w:r>
      <w:r w:rsidRPr="00E31D76">
        <w:rPr>
          <w:rFonts w:ascii="Times New Roman" w:hAnsi="Times New Roman"/>
        </w:rPr>
        <w:t xml:space="preserve"> regions of the country, in which the teams attend</w:t>
      </w:r>
      <w:r>
        <w:rPr>
          <w:rFonts w:ascii="Times New Roman" w:hAnsi="Times New Roman"/>
        </w:rPr>
        <w:t>ed</w:t>
      </w:r>
      <w:r w:rsidRPr="00E31D76">
        <w:rPr>
          <w:rFonts w:ascii="Times New Roman" w:hAnsi="Times New Roman"/>
        </w:rPr>
        <w:t xml:space="preserve"> two in-person learning sessions </w:t>
      </w:r>
      <w:r>
        <w:rPr>
          <w:rFonts w:ascii="Times New Roman" w:hAnsi="Times New Roman"/>
        </w:rPr>
        <w:t xml:space="preserve">conducted at the beginning and end of the phase, </w:t>
      </w:r>
      <w:r w:rsidRPr="00E31D76">
        <w:rPr>
          <w:rFonts w:ascii="Times New Roman" w:hAnsi="Times New Roman"/>
        </w:rPr>
        <w:t>and one online learning session</w:t>
      </w:r>
      <w:r>
        <w:rPr>
          <w:rFonts w:ascii="Times New Roman" w:hAnsi="Times New Roman"/>
        </w:rPr>
        <w:t xml:space="preserve"> conducted mid-term</w:t>
      </w:r>
      <w:r w:rsidRPr="00E31D76">
        <w:rPr>
          <w:rFonts w:ascii="Times New Roman" w:hAnsi="Times New Roman"/>
        </w:rPr>
        <w:t xml:space="preserve">. </w:t>
      </w:r>
      <w:r>
        <w:rPr>
          <w:rFonts w:ascii="Times New Roman" w:hAnsi="Times New Roman"/>
        </w:rPr>
        <w:t>Between meetings, t</w:t>
      </w:r>
      <w:r w:rsidRPr="00E31D76">
        <w:rPr>
          <w:rFonts w:ascii="Times New Roman" w:hAnsi="Times New Roman"/>
        </w:rPr>
        <w:t xml:space="preserve">he </w:t>
      </w:r>
      <w:r>
        <w:rPr>
          <w:rFonts w:ascii="Times New Roman" w:hAnsi="Times New Roman"/>
        </w:rPr>
        <w:t xml:space="preserve">community </w:t>
      </w:r>
      <w:r w:rsidRPr="00E31D76">
        <w:rPr>
          <w:rFonts w:ascii="Times New Roman" w:hAnsi="Times New Roman"/>
        </w:rPr>
        <w:t>teams work</w:t>
      </w:r>
      <w:r>
        <w:rPr>
          <w:rFonts w:ascii="Times New Roman" w:hAnsi="Times New Roman"/>
        </w:rPr>
        <w:t>ed</w:t>
      </w:r>
      <w:r w:rsidRPr="00E31D76">
        <w:rPr>
          <w:rFonts w:ascii="Times New Roman" w:hAnsi="Times New Roman"/>
        </w:rPr>
        <w:t xml:space="preserve"> on team </w:t>
      </w:r>
      <w:proofErr w:type="gramStart"/>
      <w:r w:rsidRPr="00E31D76">
        <w:rPr>
          <w:rFonts w:ascii="Times New Roman" w:hAnsi="Times New Roman"/>
        </w:rPr>
        <w:t>projects</w:t>
      </w:r>
      <w:r>
        <w:rPr>
          <w:rFonts w:ascii="Times New Roman" w:hAnsi="Times New Roman"/>
        </w:rPr>
        <w:t>,</w:t>
      </w:r>
      <w:proofErr w:type="gramEnd"/>
      <w:r w:rsidRPr="00E31D76">
        <w:rPr>
          <w:rFonts w:ascii="Times New Roman" w:hAnsi="Times New Roman"/>
        </w:rPr>
        <w:t xml:space="preserve"> participate</w:t>
      </w:r>
      <w:r>
        <w:rPr>
          <w:rFonts w:ascii="Times New Roman" w:hAnsi="Times New Roman"/>
        </w:rPr>
        <w:t>d</w:t>
      </w:r>
      <w:r w:rsidRPr="00E31D76">
        <w:rPr>
          <w:rFonts w:ascii="Times New Roman" w:hAnsi="Times New Roman"/>
        </w:rPr>
        <w:t xml:space="preserve"> in monthly webinars</w:t>
      </w:r>
      <w:r>
        <w:rPr>
          <w:rFonts w:ascii="Times New Roman" w:hAnsi="Times New Roman"/>
        </w:rPr>
        <w:t xml:space="preserve"> other action calls and coaching sessions, used quality improvement methods to improve their strategies, and collected and submitted performance measurement data </w:t>
      </w:r>
      <w:r w:rsidR="00113152">
        <w:rPr>
          <w:rFonts w:ascii="Times New Roman" w:hAnsi="Times New Roman"/>
        </w:rPr>
        <w:t xml:space="preserve">identified by HRSA, NICHQ and team representatives </w:t>
      </w:r>
      <w:r>
        <w:rPr>
          <w:rFonts w:ascii="Times New Roman" w:hAnsi="Times New Roman"/>
        </w:rPr>
        <w:t xml:space="preserve">to the HWC. </w:t>
      </w:r>
    </w:p>
    <w:p w:rsidR="006D34F4" w:rsidRDefault="006D34F4" w:rsidP="006D34F4">
      <w:pPr>
        <w:pStyle w:val="NormalSS"/>
        <w:rPr>
          <w:rFonts w:ascii="Times New Roman" w:hAnsi="Times New Roman"/>
        </w:rPr>
      </w:pPr>
      <w:r>
        <w:rPr>
          <w:rFonts w:ascii="Times New Roman" w:hAnsi="Times New Roman"/>
        </w:rPr>
        <w:t xml:space="preserve">Quality improvement methodology involves conducting small tests of change. Community teams use a Plan-Do-Study-Act framework to test and implement changes, in which they Plan the test, </w:t>
      </w:r>
      <w:proofErr w:type="gramStart"/>
      <w:r>
        <w:rPr>
          <w:rFonts w:ascii="Times New Roman" w:hAnsi="Times New Roman"/>
        </w:rPr>
        <w:t>Do</w:t>
      </w:r>
      <w:proofErr w:type="gramEnd"/>
      <w:r>
        <w:rPr>
          <w:rFonts w:ascii="Times New Roman" w:hAnsi="Times New Roman"/>
        </w:rPr>
        <w:t xml:space="preserve"> the </w:t>
      </w:r>
      <w:r w:rsidR="008B63FD">
        <w:rPr>
          <w:rFonts w:ascii="Times New Roman" w:hAnsi="Times New Roman"/>
        </w:rPr>
        <w:t>test</w:t>
      </w:r>
      <w:r>
        <w:rPr>
          <w:rFonts w:ascii="Times New Roman" w:hAnsi="Times New Roman"/>
        </w:rPr>
        <w:t xml:space="preserve">, Study the results to build new knowledge, and Act based on what is learned </w:t>
      </w:r>
      <w:r>
        <w:rPr>
          <w:rFonts w:ascii="Times New Roman" w:hAnsi="Times New Roman"/>
        </w:rPr>
        <w:lastRenderedPageBreak/>
        <w:t xml:space="preserve">from testing. In June 2012, the 10 </w:t>
      </w:r>
      <w:r w:rsidR="00113152">
        <w:rPr>
          <w:rFonts w:ascii="Times New Roman" w:hAnsi="Times New Roman"/>
        </w:rPr>
        <w:t xml:space="preserve">program implementation </w:t>
      </w:r>
      <w:r>
        <w:rPr>
          <w:rFonts w:ascii="Times New Roman" w:hAnsi="Times New Roman"/>
        </w:rPr>
        <w:t>Phase 1 teams were invited to remain involved in the second</w:t>
      </w:r>
      <w:r w:rsidR="00113152" w:rsidRPr="00113152">
        <w:rPr>
          <w:rFonts w:ascii="Times New Roman" w:hAnsi="Times New Roman"/>
        </w:rPr>
        <w:t xml:space="preserve"> </w:t>
      </w:r>
      <w:r w:rsidR="00113152">
        <w:rPr>
          <w:rFonts w:ascii="Times New Roman" w:hAnsi="Times New Roman"/>
        </w:rPr>
        <w:t>program implementation</w:t>
      </w:r>
      <w:r>
        <w:rPr>
          <w:rFonts w:ascii="Times New Roman" w:hAnsi="Times New Roman"/>
        </w:rPr>
        <w:t xml:space="preserve"> phase of the project as unpaid volunteers, by serving as mentors to Phase 2 teams, and by continuing to implement their HWC strategies and report on their </w:t>
      </w:r>
      <w:r w:rsidR="008B63FD">
        <w:rPr>
          <w:rFonts w:ascii="Times New Roman" w:hAnsi="Times New Roman"/>
        </w:rPr>
        <w:t xml:space="preserve">team’s </w:t>
      </w:r>
      <w:r>
        <w:rPr>
          <w:rFonts w:ascii="Times New Roman" w:hAnsi="Times New Roman"/>
        </w:rPr>
        <w:t>HWC performance indicators. Of the 10 teams, four volunteered to continue in Phase 2</w:t>
      </w:r>
      <w:r w:rsidR="00113152">
        <w:rPr>
          <w:rFonts w:ascii="Times New Roman" w:hAnsi="Times New Roman"/>
        </w:rPr>
        <w:t xml:space="preserve"> of program implementation</w:t>
      </w:r>
      <w:r>
        <w:rPr>
          <w:rFonts w:ascii="Times New Roman" w:hAnsi="Times New Roman"/>
        </w:rPr>
        <w:t xml:space="preserve">. How they </w:t>
      </w:r>
      <w:r w:rsidR="008B63FD">
        <w:rPr>
          <w:rFonts w:ascii="Times New Roman" w:hAnsi="Times New Roman"/>
        </w:rPr>
        <w:t xml:space="preserve">will </w:t>
      </w:r>
      <w:r>
        <w:rPr>
          <w:rFonts w:ascii="Times New Roman" w:hAnsi="Times New Roman"/>
        </w:rPr>
        <w:t xml:space="preserve">sustain their HWC strategies and how they </w:t>
      </w:r>
      <w:r w:rsidR="008B63FD">
        <w:rPr>
          <w:rFonts w:ascii="Times New Roman" w:hAnsi="Times New Roman"/>
        </w:rPr>
        <w:t xml:space="preserve">will </w:t>
      </w:r>
      <w:r>
        <w:rPr>
          <w:rFonts w:ascii="Times New Roman" w:hAnsi="Times New Roman"/>
        </w:rPr>
        <w:t>contribute to Phase 2</w:t>
      </w:r>
      <w:r w:rsidR="00113152">
        <w:rPr>
          <w:rFonts w:ascii="Times New Roman" w:hAnsi="Times New Roman"/>
        </w:rPr>
        <w:t xml:space="preserve"> of program implementation</w:t>
      </w:r>
      <w:r>
        <w:rPr>
          <w:rFonts w:ascii="Times New Roman" w:hAnsi="Times New Roman"/>
        </w:rPr>
        <w:t xml:space="preserve">, are parts of the project’s </w:t>
      </w:r>
      <w:r w:rsidR="008B63FD">
        <w:rPr>
          <w:rFonts w:ascii="Times New Roman" w:hAnsi="Times New Roman"/>
        </w:rPr>
        <w:t>implementation study</w:t>
      </w:r>
      <w:r>
        <w:rPr>
          <w:rFonts w:ascii="Times New Roman" w:hAnsi="Times New Roman"/>
        </w:rPr>
        <w:t xml:space="preserve">. </w:t>
      </w:r>
    </w:p>
    <w:p w:rsidR="006D34F4" w:rsidRDefault="006D34F4" w:rsidP="006D34F4">
      <w:pPr>
        <w:pStyle w:val="NormalSS"/>
        <w:rPr>
          <w:rFonts w:ascii="Times New Roman" w:hAnsi="Times New Roman"/>
        </w:rPr>
      </w:pPr>
      <w:r w:rsidRPr="00E31D76">
        <w:rPr>
          <w:rFonts w:ascii="Times New Roman" w:hAnsi="Times New Roman"/>
        </w:rPr>
        <w:t xml:space="preserve">The second </w:t>
      </w:r>
      <w:r w:rsidR="00113152">
        <w:rPr>
          <w:rFonts w:ascii="Times New Roman" w:hAnsi="Times New Roman"/>
        </w:rPr>
        <w:t xml:space="preserve">program implementation </w:t>
      </w:r>
      <w:r>
        <w:rPr>
          <w:rFonts w:ascii="Times New Roman" w:hAnsi="Times New Roman"/>
        </w:rPr>
        <w:t xml:space="preserve">phase </w:t>
      </w:r>
      <w:r w:rsidRPr="00E31D76">
        <w:rPr>
          <w:rFonts w:ascii="Times New Roman" w:hAnsi="Times New Roman"/>
        </w:rPr>
        <w:t xml:space="preserve">of the </w:t>
      </w:r>
      <w:r>
        <w:rPr>
          <w:rFonts w:ascii="Times New Roman" w:hAnsi="Times New Roman"/>
        </w:rPr>
        <w:t>HWC</w:t>
      </w:r>
      <w:r w:rsidRPr="00E31D76">
        <w:rPr>
          <w:rFonts w:ascii="Times New Roman" w:hAnsi="Times New Roman"/>
        </w:rPr>
        <w:t xml:space="preserve"> (</w:t>
      </w:r>
      <w:r>
        <w:rPr>
          <w:rFonts w:ascii="Times New Roman" w:hAnsi="Times New Roman"/>
        </w:rPr>
        <w:t>March</w:t>
      </w:r>
      <w:r w:rsidRPr="00E31D76">
        <w:rPr>
          <w:rFonts w:ascii="Times New Roman" w:hAnsi="Times New Roman"/>
        </w:rPr>
        <w:t xml:space="preserve"> 2012 to March 2013) will include </w:t>
      </w:r>
      <w:r w:rsidR="008B63FD">
        <w:rPr>
          <w:rFonts w:ascii="Times New Roman" w:hAnsi="Times New Roman"/>
        </w:rPr>
        <w:t xml:space="preserve">about </w:t>
      </w:r>
      <w:r w:rsidRPr="00E31D76">
        <w:rPr>
          <w:rFonts w:ascii="Times New Roman" w:hAnsi="Times New Roman"/>
        </w:rPr>
        <w:t>40 additional community teams</w:t>
      </w:r>
      <w:r>
        <w:rPr>
          <w:rFonts w:ascii="Times New Roman" w:hAnsi="Times New Roman"/>
        </w:rPr>
        <w:t xml:space="preserve"> recruited</w:t>
      </w:r>
      <w:r w:rsidRPr="00E31D76">
        <w:rPr>
          <w:rFonts w:ascii="Times New Roman" w:hAnsi="Times New Roman"/>
        </w:rPr>
        <w:t xml:space="preserve"> from across the </w:t>
      </w:r>
      <w:r>
        <w:rPr>
          <w:rFonts w:ascii="Times New Roman" w:hAnsi="Times New Roman"/>
        </w:rPr>
        <w:t>country that w</w:t>
      </w:r>
      <w:r w:rsidRPr="00E31D76">
        <w:rPr>
          <w:rFonts w:ascii="Times New Roman" w:hAnsi="Times New Roman"/>
        </w:rPr>
        <w:t>ill attend three</w:t>
      </w:r>
      <w:r>
        <w:rPr>
          <w:rFonts w:ascii="Times New Roman" w:hAnsi="Times New Roman"/>
        </w:rPr>
        <w:t xml:space="preserve"> series of </w:t>
      </w:r>
      <w:r w:rsidRPr="00E31D76">
        <w:rPr>
          <w:rFonts w:ascii="Times New Roman" w:hAnsi="Times New Roman"/>
        </w:rPr>
        <w:t>online learning sessions</w:t>
      </w:r>
      <w:r>
        <w:rPr>
          <w:rFonts w:ascii="Times New Roman" w:hAnsi="Times New Roman"/>
        </w:rPr>
        <w:t>, at the beginning, middle, and end of Phase 2</w:t>
      </w:r>
      <w:r w:rsidR="00113152">
        <w:rPr>
          <w:rFonts w:ascii="Times New Roman" w:hAnsi="Times New Roman"/>
        </w:rPr>
        <w:t xml:space="preserve"> of program implementation</w:t>
      </w:r>
      <w:r>
        <w:rPr>
          <w:rFonts w:ascii="Times New Roman" w:hAnsi="Times New Roman"/>
        </w:rPr>
        <w:t xml:space="preserve">. In addition, the Phase 2 </w:t>
      </w:r>
      <w:r w:rsidR="00113152">
        <w:rPr>
          <w:rFonts w:ascii="Times New Roman" w:hAnsi="Times New Roman"/>
        </w:rPr>
        <w:t xml:space="preserve">program implementation </w:t>
      </w:r>
      <w:r>
        <w:rPr>
          <w:rFonts w:ascii="Times New Roman" w:hAnsi="Times New Roman"/>
        </w:rPr>
        <w:t xml:space="preserve">teams will participate in monthly action calls and in group coaching and technical assistance sessions between the three learning series. The Phase 2 community teams </w:t>
      </w:r>
      <w:r w:rsidR="00113152">
        <w:rPr>
          <w:rFonts w:ascii="Times New Roman" w:hAnsi="Times New Roman"/>
        </w:rPr>
        <w:t xml:space="preserve">conducting program implementation activities </w:t>
      </w:r>
      <w:r>
        <w:rPr>
          <w:rFonts w:ascii="Times New Roman" w:hAnsi="Times New Roman"/>
        </w:rPr>
        <w:t>are expected to implement the same HWC change package of strategies used in Phase 1</w:t>
      </w:r>
      <w:r w:rsidR="00113152">
        <w:rPr>
          <w:rFonts w:ascii="Times New Roman" w:hAnsi="Times New Roman"/>
        </w:rPr>
        <w:t xml:space="preserve"> program implementation</w:t>
      </w:r>
      <w:r>
        <w:rPr>
          <w:rFonts w:ascii="Times New Roman" w:hAnsi="Times New Roman"/>
        </w:rPr>
        <w:t xml:space="preserve">, and are expected to collect and report on an expanded list of HWC performance indicators, tracking their progress. </w:t>
      </w:r>
    </w:p>
    <w:p w:rsidR="006D34F4" w:rsidRPr="00E31D76" w:rsidRDefault="006D34F4" w:rsidP="006D34F4">
      <w:pPr>
        <w:pStyle w:val="NormalSS"/>
        <w:rPr>
          <w:rFonts w:ascii="Times New Roman" w:hAnsi="Times New Roman"/>
        </w:rPr>
      </w:pPr>
      <w:r>
        <w:rPr>
          <w:rFonts w:ascii="Times New Roman" w:hAnsi="Times New Roman"/>
        </w:rPr>
        <w:t>In addition to community team input, t</w:t>
      </w:r>
      <w:r w:rsidRPr="00E31D76">
        <w:rPr>
          <w:rFonts w:ascii="Times New Roman" w:hAnsi="Times New Roman"/>
        </w:rPr>
        <w:t xml:space="preserve">hree </w:t>
      </w:r>
      <w:r>
        <w:rPr>
          <w:rFonts w:ascii="Times New Roman" w:hAnsi="Times New Roman"/>
        </w:rPr>
        <w:t xml:space="preserve">groups of </w:t>
      </w:r>
      <w:r w:rsidRPr="00E31D76">
        <w:rPr>
          <w:rFonts w:ascii="Times New Roman" w:hAnsi="Times New Roman"/>
        </w:rPr>
        <w:t xml:space="preserve">NICHQ </w:t>
      </w:r>
      <w:r>
        <w:rPr>
          <w:rFonts w:ascii="Times New Roman" w:hAnsi="Times New Roman"/>
        </w:rPr>
        <w:t>staff</w:t>
      </w:r>
      <w:r w:rsidRPr="00E31D76">
        <w:rPr>
          <w:rFonts w:ascii="Times New Roman" w:hAnsi="Times New Roman"/>
        </w:rPr>
        <w:t xml:space="preserve"> also play key roles in the project’s design and implementation. First, the NICHQ leadership directs the </w:t>
      </w:r>
      <w:r>
        <w:rPr>
          <w:rFonts w:ascii="Times New Roman" w:hAnsi="Times New Roman"/>
        </w:rPr>
        <w:t>HWC</w:t>
      </w:r>
      <w:r w:rsidRPr="00E31D76">
        <w:rPr>
          <w:rFonts w:ascii="Times New Roman" w:hAnsi="Times New Roman"/>
        </w:rPr>
        <w:t xml:space="preserve"> project’s design and implementation; the leadership includes NICHQ’s associate project director, physician champion, and senior project managers of Quality Improvement and Technology, as well as the </w:t>
      </w:r>
      <w:r>
        <w:rPr>
          <w:rFonts w:ascii="Times New Roman" w:hAnsi="Times New Roman"/>
        </w:rPr>
        <w:t>HWC</w:t>
      </w:r>
      <w:r w:rsidRPr="00E31D76">
        <w:rPr>
          <w:rFonts w:ascii="Times New Roman" w:hAnsi="Times New Roman"/>
        </w:rPr>
        <w:t xml:space="preserve"> project’s </w:t>
      </w:r>
      <w:r>
        <w:rPr>
          <w:rFonts w:ascii="Times New Roman" w:hAnsi="Times New Roman"/>
        </w:rPr>
        <w:t>Q</w:t>
      </w:r>
      <w:r w:rsidRPr="00E31D76">
        <w:rPr>
          <w:rFonts w:ascii="Times New Roman" w:hAnsi="Times New Roman"/>
        </w:rPr>
        <w:t xml:space="preserve">uality </w:t>
      </w:r>
      <w:r>
        <w:rPr>
          <w:rFonts w:ascii="Times New Roman" w:hAnsi="Times New Roman"/>
        </w:rPr>
        <w:t>I</w:t>
      </w:r>
      <w:r w:rsidRPr="00E31D76">
        <w:rPr>
          <w:rFonts w:ascii="Times New Roman" w:hAnsi="Times New Roman"/>
        </w:rPr>
        <w:t xml:space="preserve">mprovement advisor. In addition, the project has contracted with a team of technical experts to serve as </w:t>
      </w:r>
      <w:r>
        <w:rPr>
          <w:rFonts w:ascii="Times New Roman" w:hAnsi="Times New Roman"/>
        </w:rPr>
        <w:t>HWC</w:t>
      </w:r>
      <w:r w:rsidRPr="00E31D76">
        <w:rPr>
          <w:rFonts w:ascii="Times New Roman" w:hAnsi="Times New Roman"/>
        </w:rPr>
        <w:t xml:space="preserve"> faculty, who facilitate the project’s learning sessions, webinars, and team coaching sessions. </w:t>
      </w:r>
      <w:r>
        <w:rPr>
          <w:rFonts w:ascii="Times New Roman" w:hAnsi="Times New Roman"/>
        </w:rPr>
        <w:t xml:space="preserve">The NICHQ faculty includes staff from nationally-recognized childhood obesity prevention initiatives, including the Let’s Go program in Maine, and staff from the Nemours Foundation in Delaware. </w:t>
      </w:r>
      <w:r w:rsidRPr="00E31D76">
        <w:rPr>
          <w:rFonts w:ascii="Times New Roman" w:hAnsi="Times New Roman"/>
        </w:rPr>
        <w:t xml:space="preserve">Last, a group of NICHQ project managers work closely with the community teams, serving as project liaisons and responding to team questions and requests for assistance. </w:t>
      </w:r>
      <w:r>
        <w:rPr>
          <w:rFonts w:ascii="Times New Roman" w:hAnsi="Times New Roman"/>
        </w:rPr>
        <w:t>In Phase 2</w:t>
      </w:r>
      <w:r w:rsidR="00113152">
        <w:rPr>
          <w:rFonts w:ascii="Times New Roman" w:hAnsi="Times New Roman"/>
        </w:rPr>
        <w:t xml:space="preserve"> program implementation</w:t>
      </w:r>
      <w:r>
        <w:rPr>
          <w:rFonts w:ascii="Times New Roman" w:hAnsi="Times New Roman"/>
        </w:rPr>
        <w:t xml:space="preserve">, the program managers are more involved in coaching and providing technical assistance to the teams, conducting group coaching calls to clusters of teams. </w:t>
      </w:r>
      <w:r w:rsidRPr="00E31D76">
        <w:rPr>
          <w:rFonts w:ascii="Times New Roman" w:hAnsi="Times New Roman"/>
        </w:rPr>
        <w:t xml:space="preserve">To obtain a complete picture of the successes and challenges of the </w:t>
      </w:r>
      <w:r>
        <w:rPr>
          <w:rFonts w:ascii="Times New Roman" w:hAnsi="Times New Roman"/>
        </w:rPr>
        <w:t>HWC</w:t>
      </w:r>
      <w:r w:rsidRPr="00E31D76">
        <w:rPr>
          <w:rFonts w:ascii="Times New Roman" w:hAnsi="Times New Roman"/>
        </w:rPr>
        <w:t xml:space="preserve"> project, it will be important to gather information from these </w:t>
      </w:r>
      <w:r>
        <w:rPr>
          <w:rFonts w:ascii="Times New Roman" w:hAnsi="Times New Roman"/>
        </w:rPr>
        <w:t xml:space="preserve">three NICHQ </w:t>
      </w:r>
      <w:r w:rsidRPr="00E31D76">
        <w:rPr>
          <w:rFonts w:ascii="Times New Roman" w:hAnsi="Times New Roman"/>
        </w:rPr>
        <w:t xml:space="preserve">groups </w:t>
      </w:r>
      <w:r>
        <w:rPr>
          <w:rFonts w:ascii="Times New Roman" w:hAnsi="Times New Roman"/>
        </w:rPr>
        <w:t>as well as from</w:t>
      </w:r>
      <w:r w:rsidRPr="00E31D76">
        <w:rPr>
          <w:rFonts w:ascii="Times New Roman" w:hAnsi="Times New Roman"/>
        </w:rPr>
        <w:t xml:space="preserve"> the project’s community teams.</w:t>
      </w:r>
    </w:p>
    <w:p w:rsidR="006D34F4" w:rsidRPr="00E31D76" w:rsidRDefault="006D34F4" w:rsidP="006D34F4">
      <w:pPr>
        <w:pStyle w:val="NormalSS"/>
        <w:rPr>
          <w:rFonts w:ascii="Times New Roman" w:hAnsi="Times New Roman"/>
        </w:rPr>
      </w:pPr>
      <w:r>
        <w:rPr>
          <w:rFonts w:ascii="Times New Roman" w:hAnsi="Times New Roman"/>
        </w:rPr>
        <w:t>HRSA is seeking OMB clearance to</w:t>
      </w:r>
      <w:r w:rsidRPr="00E31D76">
        <w:rPr>
          <w:rFonts w:ascii="Times New Roman" w:hAnsi="Times New Roman"/>
        </w:rPr>
        <w:t xml:space="preserve"> gather </w:t>
      </w:r>
      <w:r>
        <w:rPr>
          <w:rFonts w:ascii="Times New Roman" w:hAnsi="Times New Roman"/>
        </w:rPr>
        <w:t>information</w:t>
      </w:r>
      <w:r w:rsidRPr="00E31D76">
        <w:rPr>
          <w:rFonts w:ascii="Times New Roman" w:hAnsi="Times New Roman"/>
        </w:rPr>
        <w:t xml:space="preserve"> from </w:t>
      </w:r>
      <w:r>
        <w:rPr>
          <w:rFonts w:ascii="Times New Roman" w:hAnsi="Times New Roman"/>
        </w:rPr>
        <w:t>the HWC community teams and NICHQ leaders, staff, and faculty in order to conduct</w:t>
      </w:r>
      <w:r w:rsidRPr="00E31D76">
        <w:rPr>
          <w:rFonts w:ascii="Times New Roman" w:hAnsi="Times New Roman"/>
        </w:rPr>
        <w:t xml:space="preserve"> </w:t>
      </w:r>
      <w:r w:rsidR="008B63FD">
        <w:rPr>
          <w:rFonts w:ascii="Times New Roman" w:hAnsi="Times New Roman"/>
        </w:rPr>
        <w:t>an implementation study of</w:t>
      </w:r>
      <w:r w:rsidRPr="00E31D76">
        <w:rPr>
          <w:rFonts w:ascii="Times New Roman" w:hAnsi="Times New Roman"/>
        </w:rPr>
        <w:t xml:space="preserve"> </w:t>
      </w:r>
      <w:r>
        <w:rPr>
          <w:rFonts w:ascii="Times New Roman" w:hAnsi="Times New Roman"/>
        </w:rPr>
        <w:t>Phase 2</w:t>
      </w:r>
      <w:r w:rsidRPr="00E31D76">
        <w:rPr>
          <w:rFonts w:ascii="Times New Roman" w:hAnsi="Times New Roman"/>
        </w:rPr>
        <w:t xml:space="preserve"> of </w:t>
      </w:r>
      <w:r w:rsidR="00113152">
        <w:rPr>
          <w:rFonts w:ascii="Times New Roman" w:hAnsi="Times New Roman"/>
        </w:rPr>
        <w:t xml:space="preserve">program implementation of </w:t>
      </w:r>
      <w:r w:rsidRPr="00E31D76">
        <w:rPr>
          <w:rFonts w:ascii="Times New Roman" w:hAnsi="Times New Roman"/>
        </w:rPr>
        <w:t xml:space="preserve">the </w:t>
      </w:r>
      <w:r>
        <w:rPr>
          <w:rFonts w:ascii="Times New Roman" w:hAnsi="Times New Roman"/>
        </w:rPr>
        <w:t>HWC</w:t>
      </w:r>
      <w:r w:rsidRPr="00E31D76">
        <w:rPr>
          <w:rFonts w:ascii="Times New Roman" w:hAnsi="Times New Roman"/>
        </w:rPr>
        <w:t xml:space="preserve"> project. The goal of the </w:t>
      </w:r>
      <w:r w:rsidR="005454F5">
        <w:rPr>
          <w:rFonts w:ascii="Times New Roman" w:hAnsi="Times New Roman"/>
        </w:rPr>
        <w:t>implementation study</w:t>
      </w:r>
      <w:r w:rsidRPr="00E31D76">
        <w:rPr>
          <w:rFonts w:ascii="Times New Roman" w:hAnsi="Times New Roman"/>
        </w:rPr>
        <w:t xml:space="preserve"> </w:t>
      </w:r>
      <w:r>
        <w:rPr>
          <w:rFonts w:ascii="Times New Roman" w:hAnsi="Times New Roman"/>
        </w:rPr>
        <w:t xml:space="preserve">is to </w:t>
      </w:r>
      <w:r w:rsidRPr="00E31D76">
        <w:rPr>
          <w:rFonts w:ascii="Times New Roman" w:hAnsi="Times New Roman"/>
        </w:rPr>
        <w:t xml:space="preserve">document the ongoing development and refinement of the </w:t>
      </w:r>
      <w:r>
        <w:rPr>
          <w:rFonts w:ascii="Times New Roman" w:hAnsi="Times New Roman"/>
        </w:rPr>
        <w:t>HWC</w:t>
      </w:r>
      <w:r w:rsidRPr="00E31D76">
        <w:rPr>
          <w:rFonts w:ascii="Times New Roman" w:hAnsi="Times New Roman"/>
        </w:rPr>
        <w:t xml:space="preserve"> project’s “change package,” </w:t>
      </w:r>
      <w:r>
        <w:rPr>
          <w:rFonts w:ascii="Times New Roman" w:hAnsi="Times New Roman"/>
        </w:rPr>
        <w:t xml:space="preserve">in Phase 2 of </w:t>
      </w:r>
      <w:r w:rsidR="00113152">
        <w:rPr>
          <w:rFonts w:ascii="Times New Roman" w:hAnsi="Times New Roman"/>
        </w:rPr>
        <w:t xml:space="preserve">program implementation of </w:t>
      </w:r>
      <w:r>
        <w:rPr>
          <w:rFonts w:ascii="Times New Roman" w:hAnsi="Times New Roman"/>
        </w:rPr>
        <w:t xml:space="preserve">the project, as well as </w:t>
      </w:r>
      <w:r w:rsidRPr="00E31D76">
        <w:rPr>
          <w:rFonts w:ascii="Times New Roman" w:hAnsi="Times New Roman"/>
        </w:rPr>
        <w:t xml:space="preserve">the </w:t>
      </w:r>
      <w:r>
        <w:rPr>
          <w:rFonts w:ascii="Times New Roman" w:hAnsi="Times New Roman"/>
        </w:rPr>
        <w:t xml:space="preserve">adaptation </w:t>
      </w:r>
      <w:r w:rsidRPr="00E31D76">
        <w:rPr>
          <w:rFonts w:ascii="Times New Roman" w:hAnsi="Times New Roman"/>
        </w:rPr>
        <w:t>of the project’s learning collaborative process</w:t>
      </w:r>
      <w:r>
        <w:rPr>
          <w:rFonts w:ascii="Times New Roman" w:hAnsi="Times New Roman"/>
        </w:rPr>
        <w:t xml:space="preserve"> in a virtual format with no in-person meetings. The </w:t>
      </w:r>
      <w:r w:rsidR="005454F5">
        <w:rPr>
          <w:rFonts w:ascii="Times New Roman" w:hAnsi="Times New Roman"/>
        </w:rPr>
        <w:t xml:space="preserve">study </w:t>
      </w:r>
      <w:r>
        <w:rPr>
          <w:rFonts w:ascii="Times New Roman" w:hAnsi="Times New Roman"/>
        </w:rPr>
        <w:t xml:space="preserve">will also document </w:t>
      </w:r>
      <w:r w:rsidRPr="00E31D76">
        <w:rPr>
          <w:rFonts w:ascii="Times New Roman" w:hAnsi="Times New Roman"/>
        </w:rPr>
        <w:t xml:space="preserve">the </w:t>
      </w:r>
      <w:r>
        <w:rPr>
          <w:rFonts w:ascii="Times New Roman" w:hAnsi="Times New Roman"/>
        </w:rPr>
        <w:t xml:space="preserve">participation of </w:t>
      </w:r>
      <w:r w:rsidRPr="00E31D76">
        <w:rPr>
          <w:rFonts w:ascii="Times New Roman" w:hAnsi="Times New Roman"/>
        </w:rPr>
        <w:t>the 40 Phase 2 community team</w:t>
      </w:r>
      <w:r>
        <w:rPr>
          <w:rFonts w:ascii="Times New Roman" w:hAnsi="Times New Roman"/>
        </w:rPr>
        <w:t xml:space="preserve">s, their experiences, and their results. </w:t>
      </w:r>
      <w:r w:rsidRPr="00E31D76">
        <w:rPr>
          <w:rFonts w:ascii="Times New Roman" w:hAnsi="Times New Roman"/>
        </w:rPr>
        <w:t xml:space="preserve">HRSA has hired </w:t>
      </w:r>
      <w:proofErr w:type="spellStart"/>
      <w:r w:rsidRPr="00E31D76">
        <w:rPr>
          <w:rFonts w:ascii="Times New Roman" w:hAnsi="Times New Roman"/>
        </w:rPr>
        <w:t>Mathematica</w:t>
      </w:r>
      <w:proofErr w:type="spellEnd"/>
      <w:r w:rsidRPr="00E31D76">
        <w:rPr>
          <w:rFonts w:ascii="Times New Roman" w:hAnsi="Times New Roman"/>
        </w:rPr>
        <w:t xml:space="preserve"> Policy Research, to conduct th</w:t>
      </w:r>
      <w:r>
        <w:rPr>
          <w:rFonts w:ascii="Times New Roman" w:hAnsi="Times New Roman"/>
        </w:rPr>
        <w:t>e</w:t>
      </w:r>
      <w:r w:rsidRPr="00E31D76">
        <w:rPr>
          <w:rFonts w:ascii="Times New Roman" w:hAnsi="Times New Roman"/>
        </w:rPr>
        <w:t xml:space="preserve"> </w:t>
      </w:r>
      <w:r w:rsidR="006F4545">
        <w:rPr>
          <w:rFonts w:ascii="Times New Roman" w:hAnsi="Times New Roman"/>
        </w:rPr>
        <w:t>implementation study</w:t>
      </w:r>
      <w:r w:rsidRPr="00E31D76">
        <w:rPr>
          <w:rFonts w:ascii="Times New Roman" w:hAnsi="Times New Roman"/>
        </w:rPr>
        <w:t xml:space="preserve">. </w:t>
      </w:r>
    </w:p>
    <w:p w:rsidR="006D34F4" w:rsidRDefault="006D34F4" w:rsidP="006D34F4">
      <w:pPr>
        <w:pStyle w:val="Heading2Black"/>
        <w:rPr>
          <w:rFonts w:ascii="Times New Roman" w:hAnsi="Times New Roman"/>
        </w:rPr>
      </w:pPr>
      <w:bookmarkStart w:id="3" w:name="_Toc316466910"/>
      <w:bookmarkStart w:id="4" w:name="_Toc330974216"/>
      <w:r>
        <w:rPr>
          <w:rFonts w:ascii="Times New Roman" w:hAnsi="Times New Roman"/>
        </w:rPr>
        <w:t>2</w:t>
      </w:r>
      <w:r w:rsidRPr="003D1EDB">
        <w:rPr>
          <w:rFonts w:ascii="Times New Roman" w:hAnsi="Times New Roman"/>
        </w:rPr>
        <w:t>.</w:t>
      </w:r>
      <w:r w:rsidRPr="003D1EDB">
        <w:rPr>
          <w:rFonts w:ascii="Times New Roman" w:hAnsi="Times New Roman"/>
        </w:rPr>
        <w:tab/>
        <w:t>Purpose and Use of Information Collection</w:t>
      </w:r>
      <w:bookmarkEnd w:id="3"/>
      <w:bookmarkEnd w:id="4"/>
    </w:p>
    <w:p w:rsidR="006D34F4" w:rsidRPr="00E31D76" w:rsidRDefault="006D34F4" w:rsidP="006D34F4">
      <w:pPr>
        <w:pStyle w:val="NormalSS"/>
        <w:rPr>
          <w:rFonts w:ascii="Times New Roman" w:hAnsi="Times New Roman"/>
        </w:rPr>
      </w:pPr>
      <w:r w:rsidRPr="00E31D76">
        <w:rPr>
          <w:rFonts w:ascii="Times New Roman" w:hAnsi="Times New Roman"/>
        </w:rPr>
        <w:t xml:space="preserve">The </w:t>
      </w:r>
      <w:r w:rsidR="006F4545">
        <w:rPr>
          <w:rFonts w:ascii="Times New Roman" w:hAnsi="Times New Roman"/>
        </w:rPr>
        <w:t>Phase 2 implementation study</w:t>
      </w:r>
      <w:r w:rsidRPr="00E31D76">
        <w:rPr>
          <w:rFonts w:ascii="Times New Roman" w:hAnsi="Times New Roman"/>
        </w:rPr>
        <w:t xml:space="preserve"> will provide recommendations</w:t>
      </w:r>
      <w:r>
        <w:rPr>
          <w:rFonts w:ascii="Times New Roman" w:hAnsi="Times New Roman"/>
        </w:rPr>
        <w:t xml:space="preserve"> on how to improve the design and implementation of the HWC project</w:t>
      </w:r>
      <w:r w:rsidRPr="00E31D76">
        <w:rPr>
          <w:rFonts w:ascii="Times New Roman" w:hAnsi="Times New Roman"/>
        </w:rPr>
        <w:t xml:space="preserve">, including how to improve the scope of the </w:t>
      </w:r>
      <w:r>
        <w:rPr>
          <w:rFonts w:ascii="Times New Roman" w:hAnsi="Times New Roman"/>
        </w:rPr>
        <w:t>HWC</w:t>
      </w:r>
      <w:r w:rsidRPr="00E31D76">
        <w:rPr>
          <w:rFonts w:ascii="Times New Roman" w:hAnsi="Times New Roman"/>
        </w:rPr>
        <w:t xml:space="preserve"> </w:t>
      </w:r>
      <w:r w:rsidRPr="00E31D76">
        <w:rPr>
          <w:rFonts w:ascii="Times New Roman" w:hAnsi="Times New Roman"/>
        </w:rPr>
        <w:lastRenderedPageBreak/>
        <w:t xml:space="preserve">project’s change package; the project’s implementation process (that is, the learning sessions, community team activities, </w:t>
      </w:r>
      <w:r>
        <w:rPr>
          <w:rFonts w:ascii="Times New Roman" w:hAnsi="Times New Roman"/>
        </w:rPr>
        <w:t>coaching calls and</w:t>
      </w:r>
      <w:r w:rsidRPr="00E31D76">
        <w:rPr>
          <w:rFonts w:ascii="Times New Roman" w:hAnsi="Times New Roman"/>
        </w:rPr>
        <w:t xml:space="preserve"> webinars, and the iLab); and the content of the project’s performance measures. The </w:t>
      </w:r>
      <w:r w:rsidR="006F4545">
        <w:rPr>
          <w:rFonts w:ascii="Times New Roman" w:hAnsi="Times New Roman"/>
        </w:rPr>
        <w:t>implementation study</w:t>
      </w:r>
      <w:r w:rsidR="006F4545" w:rsidRPr="00E31D76">
        <w:rPr>
          <w:rFonts w:ascii="Times New Roman" w:hAnsi="Times New Roman"/>
        </w:rPr>
        <w:t xml:space="preserve"> </w:t>
      </w:r>
      <w:r w:rsidRPr="00E31D76">
        <w:rPr>
          <w:rFonts w:ascii="Times New Roman" w:hAnsi="Times New Roman"/>
        </w:rPr>
        <w:t xml:space="preserve">will also </w:t>
      </w:r>
      <w:r>
        <w:rPr>
          <w:rFonts w:ascii="Times New Roman" w:hAnsi="Times New Roman"/>
        </w:rPr>
        <w:t>generate</w:t>
      </w:r>
      <w:r w:rsidRPr="00E31D76">
        <w:rPr>
          <w:rFonts w:ascii="Times New Roman" w:hAnsi="Times New Roman"/>
        </w:rPr>
        <w:t xml:space="preserve"> suggestions for how the NICHQ faculty and staff can help community teams optimize their implementation of the </w:t>
      </w:r>
      <w:r>
        <w:rPr>
          <w:rFonts w:ascii="Times New Roman" w:hAnsi="Times New Roman"/>
        </w:rPr>
        <w:t>HWC</w:t>
      </w:r>
      <w:r w:rsidRPr="00E31D76">
        <w:rPr>
          <w:rFonts w:ascii="Times New Roman" w:hAnsi="Times New Roman"/>
        </w:rPr>
        <w:t xml:space="preserve"> change package to meet the </w:t>
      </w:r>
      <w:r>
        <w:rPr>
          <w:rFonts w:ascii="Times New Roman" w:hAnsi="Times New Roman"/>
        </w:rPr>
        <w:t>HWC</w:t>
      </w:r>
      <w:r w:rsidRPr="00E31D76">
        <w:rPr>
          <w:rFonts w:ascii="Times New Roman" w:hAnsi="Times New Roman"/>
        </w:rPr>
        <w:t xml:space="preserve"> initiative’s goals. </w:t>
      </w:r>
    </w:p>
    <w:p w:rsidR="006D34F4" w:rsidRDefault="006D34F4" w:rsidP="006D34F4">
      <w:pPr>
        <w:pStyle w:val="NormalSS"/>
        <w:rPr>
          <w:rFonts w:ascii="Times New Roman" w:hAnsi="Times New Roman"/>
        </w:rPr>
      </w:pPr>
      <w:r w:rsidRPr="00897E6D">
        <w:rPr>
          <w:rFonts w:ascii="Times New Roman" w:hAnsi="Times New Roman"/>
        </w:rPr>
        <w:t xml:space="preserve">The </w:t>
      </w:r>
      <w:r>
        <w:rPr>
          <w:rFonts w:ascii="Times New Roman" w:hAnsi="Times New Roman"/>
        </w:rPr>
        <w:t>HWC</w:t>
      </w:r>
      <w:r w:rsidRPr="00897E6D">
        <w:rPr>
          <w:rFonts w:ascii="Times New Roman" w:hAnsi="Times New Roman"/>
        </w:rPr>
        <w:t xml:space="preserve"> </w:t>
      </w:r>
      <w:r w:rsidR="006F4545">
        <w:rPr>
          <w:rFonts w:ascii="Times New Roman" w:hAnsi="Times New Roman"/>
        </w:rPr>
        <w:t>implementation study</w:t>
      </w:r>
      <w:r w:rsidR="006F4545" w:rsidRPr="00897E6D">
        <w:rPr>
          <w:rFonts w:ascii="Times New Roman" w:hAnsi="Times New Roman"/>
        </w:rPr>
        <w:t xml:space="preserve"> </w:t>
      </w:r>
      <w:r w:rsidRPr="00897E6D">
        <w:rPr>
          <w:rFonts w:ascii="Times New Roman" w:hAnsi="Times New Roman"/>
        </w:rPr>
        <w:t xml:space="preserve">involves several key data collection activities </w:t>
      </w:r>
      <w:r w:rsidR="006F4545">
        <w:rPr>
          <w:rFonts w:ascii="Times New Roman" w:hAnsi="Times New Roman"/>
        </w:rPr>
        <w:t xml:space="preserve">in Phase 2 </w:t>
      </w:r>
      <w:r w:rsidRPr="00897E6D">
        <w:rPr>
          <w:rFonts w:ascii="Times New Roman" w:hAnsi="Times New Roman"/>
        </w:rPr>
        <w:t xml:space="preserve">that will shed light on how effective the program is at creating linkages across sectors and addressing childhood obesity, and on ways in which the second phase of the program can be improved to make it more effective. The </w:t>
      </w:r>
      <w:r w:rsidR="006F4545">
        <w:rPr>
          <w:rFonts w:ascii="Times New Roman" w:hAnsi="Times New Roman"/>
        </w:rPr>
        <w:t>study</w:t>
      </w:r>
      <w:r w:rsidR="006F4545" w:rsidRPr="00897E6D">
        <w:rPr>
          <w:rFonts w:ascii="Times New Roman" w:hAnsi="Times New Roman"/>
        </w:rPr>
        <w:t xml:space="preserve"> </w:t>
      </w:r>
      <w:r w:rsidRPr="00897E6D">
        <w:rPr>
          <w:rFonts w:ascii="Times New Roman" w:hAnsi="Times New Roman"/>
        </w:rPr>
        <w:t xml:space="preserve">team will collect and analyze several kinds of qualitative data: interviews with community teams; monthly observations of </w:t>
      </w:r>
      <w:r>
        <w:rPr>
          <w:rFonts w:ascii="Times New Roman" w:hAnsi="Times New Roman"/>
        </w:rPr>
        <w:t>HWC</w:t>
      </w:r>
      <w:r w:rsidRPr="00897E6D">
        <w:rPr>
          <w:rFonts w:ascii="Times New Roman" w:hAnsi="Times New Roman"/>
        </w:rPr>
        <w:t xml:space="preserve"> learning sessions, webinars, group coaching calls, and other project activities; and reviews of project documents posted on NICHQ’s  iLab, including learning series agendas and presentations, community team work plans, progress reports, </w:t>
      </w:r>
      <w:r w:rsidR="006B77F4">
        <w:rPr>
          <w:rFonts w:ascii="Times New Roman" w:hAnsi="Times New Roman"/>
        </w:rPr>
        <w:t xml:space="preserve">and </w:t>
      </w:r>
      <w:r>
        <w:rPr>
          <w:rFonts w:ascii="Times New Roman" w:hAnsi="Times New Roman"/>
        </w:rPr>
        <w:t>HWC</w:t>
      </w:r>
      <w:r w:rsidRPr="00E31D76">
        <w:rPr>
          <w:rFonts w:ascii="Times New Roman" w:hAnsi="Times New Roman"/>
        </w:rPr>
        <w:t xml:space="preserve"> performance measures</w:t>
      </w:r>
      <w:r>
        <w:rPr>
          <w:rFonts w:ascii="Times New Roman" w:hAnsi="Times New Roman"/>
        </w:rPr>
        <w:t>.</w:t>
      </w:r>
    </w:p>
    <w:p w:rsidR="006D34F4" w:rsidRDefault="006D34F4" w:rsidP="006D34F4">
      <w:pPr>
        <w:pStyle w:val="NormalSS"/>
        <w:rPr>
          <w:rFonts w:ascii="Times New Roman" w:hAnsi="Times New Roman"/>
        </w:rPr>
      </w:pPr>
      <w:r>
        <w:rPr>
          <w:rFonts w:ascii="Times New Roman" w:hAnsi="Times New Roman"/>
          <w:b/>
        </w:rPr>
        <w:t xml:space="preserve">Site Visits with </w:t>
      </w:r>
      <w:r w:rsidR="006B77F4">
        <w:rPr>
          <w:rFonts w:ascii="Times New Roman" w:hAnsi="Times New Roman"/>
          <w:b/>
        </w:rPr>
        <w:t xml:space="preserve">Continuing </w:t>
      </w:r>
      <w:r>
        <w:rPr>
          <w:rFonts w:ascii="Times New Roman" w:hAnsi="Times New Roman"/>
          <w:b/>
        </w:rPr>
        <w:t xml:space="preserve">Phase 1 HWC Community Teams. </w:t>
      </w:r>
      <w:r>
        <w:rPr>
          <w:rFonts w:ascii="Times New Roman" w:hAnsi="Times New Roman"/>
        </w:rPr>
        <w:t xml:space="preserve">Between February and April 2013, the </w:t>
      </w:r>
      <w:r w:rsidR="006B77F4">
        <w:rPr>
          <w:rFonts w:ascii="Times New Roman" w:hAnsi="Times New Roman"/>
        </w:rPr>
        <w:t xml:space="preserve">implementation study </w:t>
      </w:r>
      <w:r>
        <w:rPr>
          <w:rFonts w:ascii="Times New Roman" w:hAnsi="Times New Roman"/>
        </w:rPr>
        <w:t xml:space="preserve">team will conduct one round of site visits with 4 of the </w:t>
      </w:r>
      <w:r w:rsidR="006B77F4">
        <w:rPr>
          <w:rFonts w:ascii="Times New Roman" w:hAnsi="Times New Roman"/>
        </w:rPr>
        <w:t xml:space="preserve">original </w:t>
      </w:r>
      <w:r>
        <w:rPr>
          <w:rFonts w:ascii="Times New Roman" w:hAnsi="Times New Roman"/>
        </w:rPr>
        <w:t>10 Phase 1 community teams</w:t>
      </w:r>
      <w:r w:rsidR="006B77F4">
        <w:rPr>
          <w:rFonts w:ascii="Times New Roman" w:hAnsi="Times New Roman"/>
        </w:rPr>
        <w:t xml:space="preserve"> that are continuing to participate in the HWC project in Phase 2</w:t>
      </w:r>
      <w:r>
        <w:rPr>
          <w:rFonts w:ascii="Times New Roman" w:hAnsi="Times New Roman"/>
        </w:rPr>
        <w:t xml:space="preserve">. These site visits will enable the </w:t>
      </w:r>
      <w:r w:rsidR="006B77F4">
        <w:rPr>
          <w:rFonts w:ascii="Times New Roman" w:hAnsi="Times New Roman"/>
        </w:rPr>
        <w:t xml:space="preserve">implementation study </w:t>
      </w:r>
      <w:r>
        <w:rPr>
          <w:rFonts w:ascii="Times New Roman" w:hAnsi="Times New Roman"/>
        </w:rPr>
        <w:t xml:space="preserve">team to gather information about the continuation and sustainability of the teams’ HWC activities </w:t>
      </w:r>
      <w:r w:rsidR="006B77F4">
        <w:rPr>
          <w:rFonts w:ascii="Times New Roman" w:hAnsi="Times New Roman"/>
        </w:rPr>
        <w:t>in Phase 2</w:t>
      </w:r>
      <w:r>
        <w:rPr>
          <w:rFonts w:ascii="Times New Roman" w:hAnsi="Times New Roman"/>
        </w:rPr>
        <w:t>, the teams’ involvement in Phase 2 activities, and their feedback on the Phase 2 implementation process and Phase 2 performance measures. The four teams will be selected based on their continued participation in the project.</w:t>
      </w:r>
    </w:p>
    <w:p w:rsidR="006D34F4" w:rsidRPr="00E31D76" w:rsidRDefault="006D34F4" w:rsidP="006D34F4">
      <w:pPr>
        <w:pStyle w:val="NormalSS"/>
        <w:rPr>
          <w:rFonts w:ascii="Times New Roman" w:hAnsi="Times New Roman"/>
        </w:rPr>
      </w:pPr>
      <w:r w:rsidRPr="00E31D76">
        <w:rPr>
          <w:rFonts w:ascii="Times New Roman" w:hAnsi="Times New Roman"/>
        </w:rPr>
        <w:t>For each of the</w:t>
      </w:r>
      <w:r w:rsidR="006B77F4">
        <w:rPr>
          <w:rFonts w:ascii="Times New Roman" w:hAnsi="Times New Roman"/>
        </w:rPr>
        <w:t xml:space="preserve">se four </w:t>
      </w:r>
      <w:r w:rsidRPr="00E31D76">
        <w:rPr>
          <w:rFonts w:ascii="Times New Roman" w:hAnsi="Times New Roman"/>
        </w:rPr>
        <w:t xml:space="preserve"> </w:t>
      </w:r>
      <w:r>
        <w:rPr>
          <w:rFonts w:ascii="Times New Roman" w:hAnsi="Times New Roman"/>
        </w:rPr>
        <w:t xml:space="preserve">community </w:t>
      </w:r>
      <w:r w:rsidRPr="00E31D76">
        <w:rPr>
          <w:rFonts w:ascii="Times New Roman" w:hAnsi="Times New Roman"/>
        </w:rPr>
        <w:t xml:space="preserve">teams, a two-person </w:t>
      </w:r>
      <w:r w:rsidR="006B77F4">
        <w:rPr>
          <w:rFonts w:ascii="Times New Roman" w:hAnsi="Times New Roman"/>
        </w:rPr>
        <w:t xml:space="preserve">study </w:t>
      </w:r>
      <w:r w:rsidRPr="00E31D76">
        <w:rPr>
          <w:rFonts w:ascii="Times New Roman" w:hAnsi="Times New Roman"/>
        </w:rPr>
        <w:t xml:space="preserve">team (a researcher and an analyst) will conduct a site visit, </w:t>
      </w:r>
      <w:r>
        <w:rPr>
          <w:rFonts w:ascii="Times New Roman" w:hAnsi="Times New Roman"/>
        </w:rPr>
        <w:t xml:space="preserve">which will include individual interviews with the team’s </w:t>
      </w:r>
      <w:r w:rsidR="006B77F4">
        <w:rPr>
          <w:rFonts w:ascii="Times New Roman" w:hAnsi="Times New Roman"/>
        </w:rPr>
        <w:t xml:space="preserve">lead </w:t>
      </w:r>
      <w:r>
        <w:rPr>
          <w:rFonts w:ascii="Times New Roman" w:hAnsi="Times New Roman"/>
        </w:rPr>
        <w:t xml:space="preserve">and the team’s data manager, and a group interview with the rest of the community team (six members). The interview with the team’s </w:t>
      </w:r>
      <w:r w:rsidR="006B77F4">
        <w:rPr>
          <w:rFonts w:ascii="Times New Roman" w:hAnsi="Times New Roman"/>
        </w:rPr>
        <w:t xml:space="preserve">lead </w:t>
      </w:r>
      <w:r>
        <w:rPr>
          <w:rFonts w:ascii="Times New Roman" w:hAnsi="Times New Roman"/>
        </w:rPr>
        <w:t xml:space="preserve">will include questions about the team’s Phase 2 goals, work plan, structure, funding, and any challenges sustaining and spreading the team’s HWC activities. The interview with the team’s data manager will include questions about the team’s collection and reporting of the expanded set of </w:t>
      </w:r>
      <w:r w:rsidR="006B77F4">
        <w:rPr>
          <w:rFonts w:ascii="Times New Roman" w:hAnsi="Times New Roman"/>
        </w:rPr>
        <w:t xml:space="preserve">Phase 2 </w:t>
      </w:r>
      <w:r>
        <w:rPr>
          <w:rFonts w:ascii="Times New Roman" w:hAnsi="Times New Roman"/>
        </w:rPr>
        <w:t xml:space="preserve">HWC performance indicators, the team’s collection of other quality improvement indicators, and any challenges the team experienced meeting the project’s expanded Phase 2 data requirements. </w:t>
      </w:r>
      <w:r w:rsidRPr="00E31D76">
        <w:rPr>
          <w:rFonts w:ascii="Times New Roman" w:hAnsi="Times New Roman"/>
        </w:rPr>
        <w:t xml:space="preserve">Topics for </w:t>
      </w:r>
      <w:r>
        <w:rPr>
          <w:rFonts w:ascii="Times New Roman" w:hAnsi="Times New Roman"/>
        </w:rPr>
        <w:t xml:space="preserve">the group interview </w:t>
      </w:r>
      <w:r w:rsidRPr="00E31D76">
        <w:rPr>
          <w:rFonts w:ascii="Times New Roman" w:hAnsi="Times New Roman"/>
        </w:rPr>
        <w:t xml:space="preserve">will cover the team’s </w:t>
      </w:r>
      <w:r>
        <w:rPr>
          <w:rFonts w:ascii="Times New Roman" w:hAnsi="Times New Roman"/>
        </w:rPr>
        <w:t xml:space="preserve">ongoing </w:t>
      </w:r>
      <w:r w:rsidRPr="00E31D76">
        <w:rPr>
          <w:rFonts w:ascii="Times New Roman" w:hAnsi="Times New Roman"/>
        </w:rPr>
        <w:t>engagement in the project</w:t>
      </w:r>
      <w:r>
        <w:rPr>
          <w:rFonts w:ascii="Times New Roman" w:hAnsi="Times New Roman"/>
        </w:rPr>
        <w:t xml:space="preserve"> as </w:t>
      </w:r>
      <w:r w:rsidR="006B77F4">
        <w:rPr>
          <w:rFonts w:ascii="Times New Roman" w:hAnsi="Times New Roman"/>
        </w:rPr>
        <w:t xml:space="preserve">Phase 2 </w:t>
      </w:r>
      <w:r>
        <w:rPr>
          <w:rFonts w:ascii="Times New Roman" w:hAnsi="Times New Roman"/>
        </w:rPr>
        <w:t>mentors</w:t>
      </w:r>
      <w:r w:rsidRPr="00E31D76">
        <w:rPr>
          <w:rFonts w:ascii="Times New Roman" w:hAnsi="Times New Roman"/>
        </w:rPr>
        <w:t xml:space="preserve">; </w:t>
      </w:r>
      <w:r>
        <w:rPr>
          <w:rFonts w:ascii="Times New Roman" w:hAnsi="Times New Roman"/>
        </w:rPr>
        <w:t xml:space="preserve">sustained </w:t>
      </w:r>
      <w:r w:rsidRPr="00E31D76">
        <w:rPr>
          <w:rFonts w:ascii="Times New Roman" w:hAnsi="Times New Roman"/>
        </w:rPr>
        <w:t>c</w:t>
      </w:r>
      <w:r>
        <w:rPr>
          <w:rFonts w:ascii="Times New Roman" w:hAnsi="Times New Roman"/>
        </w:rPr>
        <w:t xml:space="preserve">ommunity-level results of the </w:t>
      </w:r>
      <w:r w:rsidRPr="00E31D76">
        <w:rPr>
          <w:rFonts w:ascii="Times New Roman" w:hAnsi="Times New Roman"/>
        </w:rPr>
        <w:t>team</w:t>
      </w:r>
      <w:r>
        <w:rPr>
          <w:rFonts w:ascii="Times New Roman" w:hAnsi="Times New Roman"/>
        </w:rPr>
        <w:t>’s ongoing</w:t>
      </w:r>
      <w:r w:rsidRPr="00E31D76">
        <w:rPr>
          <w:rFonts w:ascii="Times New Roman" w:hAnsi="Times New Roman"/>
        </w:rPr>
        <w:t xml:space="preserve"> efforts</w:t>
      </w:r>
      <w:r w:rsidR="004654A9">
        <w:rPr>
          <w:rFonts w:ascii="Times New Roman" w:hAnsi="Times New Roman"/>
        </w:rPr>
        <w:t xml:space="preserve"> in Phase 2</w:t>
      </w:r>
      <w:r w:rsidRPr="00E31D76">
        <w:rPr>
          <w:rFonts w:ascii="Times New Roman" w:hAnsi="Times New Roman"/>
        </w:rPr>
        <w:t>; and the</w:t>
      </w:r>
      <w:r>
        <w:rPr>
          <w:rFonts w:ascii="Times New Roman" w:hAnsi="Times New Roman"/>
        </w:rPr>
        <w:t xml:space="preserve"> team’s </w:t>
      </w:r>
      <w:r w:rsidRPr="00E31D76">
        <w:rPr>
          <w:rFonts w:ascii="Times New Roman" w:hAnsi="Times New Roman"/>
        </w:rPr>
        <w:t xml:space="preserve">feedback and recommendations for how to improve the </w:t>
      </w:r>
      <w:r>
        <w:rPr>
          <w:rFonts w:ascii="Times New Roman" w:hAnsi="Times New Roman"/>
        </w:rPr>
        <w:t xml:space="preserve">HWC’s </w:t>
      </w:r>
      <w:r w:rsidRPr="00E31D76">
        <w:rPr>
          <w:rFonts w:ascii="Times New Roman" w:hAnsi="Times New Roman"/>
        </w:rPr>
        <w:t xml:space="preserve">project’s key components, including the change package, </w:t>
      </w:r>
      <w:r>
        <w:rPr>
          <w:rFonts w:ascii="Times New Roman" w:hAnsi="Times New Roman"/>
        </w:rPr>
        <w:t>format and content of the virtual learning series</w:t>
      </w:r>
      <w:r w:rsidRPr="00E31D76">
        <w:rPr>
          <w:rFonts w:ascii="Times New Roman" w:hAnsi="Times New Roman"/>
        </w:rPr>
        <w:t xml:space="preserve">, the iLab functionality, </w:t>
      </w:r>
      <w:r>
        <w:rPr>
          <w:rFonts w:ascii="Times New Roman" w:hAnsi="Times New Roman"/>
        </w:rPr>
        <w:t xml:space="preserve">and </w:t>
      </w:r>
      <w:r w:rsidRPr="00E31D76">
        <w:rPr>
          <w:rFonts w:ascii="Times New Roman" w:hAnsi="Times New Roman"/>
        </w:rPr>
        <w:t xml:space="preserve">the value of </w:t>
      </w:r>
      <w:r>
        <w:rPr>
          <w:rFonts w:ascii="Times New Roman" w:hAnsi="Times New Roman"/>
        </w:rPr>
        <w:t xml:space="preserve">collecting and reporting the expanded set HWC </w:t>
      </w:r>
      <w:r w:rsidRPr="00E31D76">
        <w:rPr>
          <w:rFonts w:ascii="Times New Roman" w:hAnsi="Times New Roman"/>
        </w:rPr>
        <w:t xml:space="preserve">performance measures. (See </w:t>
      </w:r>
      <w:r>
        <w:rPr>
          <w:rFonts w:ascii="Times New Roman" w:hAnsi="Times New Roman"/>
        </w:rPr>
        <w:t>Appendix C:</w:t>
      </w:r>
      <w:r w:rsidRPr="00E31D76">
        <w:rPr>
          <w:rFonts w:ascii="Times New Roman" w:hAnsi="Times New Roman"/>
        </w:rPr>
        <w:t xml:space="preserve"> </w:t>
      </w:r>
      <w:r>
        <w:rPr>
          <w:rFonts w:ascii="Times New Roman" w:hAnsi="Times New Roman"/>
        </w:rPr>
        <w:t>Phase 1 Community Team Sustainability Site Visit Protocols</w:t>
      </w:r>
      <w:r w:rsidRPr="00E31D76">
        <w:rPr>
          <w:rFonts w:ascii="Times New Roman" w:hAnsi="Times New Roman"/>
        </w:rPr>
        <w:t>.)</w:t>
      </w:r>
    </w:p>
    <w:p w:rsidR="006D34F4" w:rsidRPr="00E31D76" w:rsidRDefault="006D34F4" w:rsidP="006D34F4">
      <w:pPr>
        <w:pStyle w:val="NormalSS"/>
        <w:rPr>
          <w:rFonts w:ascii="Times New Roman" w:hAnsi="Times New Roman"/>
        </w:rPr>
      </w:pPr>
      <w:r>
        <w:rPr>
          <w:rFonts w:ascii="Times New Roman" w:hAnsi="Times New Roman"/>
          <w:b/>
        </w:rPr>
        <w:t>Site Visits</w:t>
      </w:r>
      <w:r w:rsidRPr="00E31D76">
        <w:rPr>
          <w:rFonts w:ascii="Times New Roman" w:hAnsi="Times New Roman"/>
          <w:b/>
        </w:rPr>
        <w:t xml:space="preserve"> with </w:t>
      </w:r>
      <w:r>
        <w:rPr>
          <w:rFonts w:ascii="Times New Roman" w:hAnsi="Times New Roman"/>
          <w:b/>
        </w:rPr>
        <w:t>Phase 2 HWC</w:t>
      </w:r>
      <w:r w:rsidRPr="00E31D76">
        <w:rPr>
          <w:rFonts w:ascii="Times New Roman" w:hAnsi="Times New Roman"/>
          <w:b/>
        </w:rPr>
        <w:t xml:space="preserve"> community teams.</w:t>
      </w:r>
      <w:r w:rsidRPr="00E31D76">
        <w:rPr>
          <w:rFonts w:ascii="Times New Roman" w:hAnsi="Times New Roman"/>
        </w:rPr>
        <w:t xml:space="preserve"> </w:t>
      </w:r>
      <w:r>
        <w:rPr>
          <w:rFonts w:ascii="Times New Roman" w:hAnsi="Times New Roman"/>
        </w:rPr>
        <w:t xml:space="preserve">Between February and March 2013, </w:t>
      </w:r>
      <w:r w:rsidRPr="00E31D76">
        <w:rPr>
          <w:rFonts w:ascii="Times New Roman" w:hAnsi="Times New Roman"/>
        </w:rPr>
        <w:t xml:space="preserve">the </w:t>
      </w:r>
      <w:r w:rsidR="004654A9">
        <w:rPr>
          <w:rFonts w:ascii="Times New Roman" w:hAnsi="Times New Roman"/>
        </w:rPr>
        <w:t>implementation study</w:t>
      </w:r>
      <w:r w:rsidR="004654A9" w:rsidRPr="00E31D76">
        <w:rPr>
          <w:rFonts w:ascii="Times New Roman" w:hAnsi="Times New Roman"/>
        </w:rPr>
        <w:t xml:space="preserve"> </w:t>
      </w:r>
      <w:r w:rsidRPr="00E31D76">
        <w:rPr>
          <w:rFonts w:ascii="Times New Roman" w:hAnsi="Times New Roman"/>
        </w:rPr>
        <w:t>team will</w:t>
      </w:r>
      <w:r>
        <w:rPr>
          <w:rFonts w:ascii="Times New Roman" w:hAnsi="Times New Roman"/>
        </w:rPr>
        <w:t xml:space="preserve"> also </w:t>
      </w:r>
      <w:r w:rsidRPr="00E31D76">
        <w:rPr>
          <w:rFonts w:ascii="Times New Roman" w:hAnsi="Times New Roman"/>
        </w:rPr>
        <w:t xml:space="preserve">conduct one round of </w:t>
      </w:r>
      <w:r>
        <w:rPr>
          <w:rFonts w:ascii="Times New Roman" w:hAnsi="Times New Roman"/>
        </w:rPr>
        <w:t>site visits</w:t>
      </w:r>
      <w:r w:rsidRPr="00E31D76">
        <w:rPr>
          <w:rFonts w:ascii="Times New Roman" w:hAnsi="Times New Roman"/>
        </w:rPr>
        <w:t xml:space="preserve"> with 7 of the </w:t>
      </w:r>
      <w:r w:rsidR="004654A9">
        <w:rPr>
          <w:rFonts w:ascii="Times New Roman" w:hAnsi="Times New Roman"/>
        </w:rPr>
        <w:t xml:space="preserve">approximately </w:t>
      </w:r>
      <w:r>
        <w:rPr>
          <w:rFonts w:ascii="Times New Roman" w:hAnsi="Times New Roman"/>
        </w:rPr>
        <w:t>4</w:t>
      </w:r>
      <w:r w:rsidRPr="00E31D76">
        <w:rPr>
          <w:rFonts w:ascii="Times New Roman" w:hAnsi="Times New Roman"/>
        </w:rPr>
        <w:t xml:space="preserve">0 Phase </w:t>
      </w:r>
      <w:r>
        <w:rPr>
          <w:rFonts w:ascii="Times New Roman" w:hAnsi="Times New Roman"/>
        </w:rPr>
        <w:t>2</w:t>
      </w:r>
      <w:r w:rsidRPr="00E31D76">
        <w:rPr>
          <w:rFonts w:ascii="Times New Roman" w:hAnsi="Times New Roman"/>
        </w:rPr>
        <w:t xml:space="preserve"> community teams. These visits will enable the </w:t>
      </w:r>
      <w:r w:rsidR="004654A9">
        <w:rPr>
          <w:rFonts w:ascii="Times New Roman" w:hAnsi="Times New Roman"/>
        </w:rPr>
        <w:t>implementation study</w:t>
      </w:r>
      <w:r w:rsidR="004654A9" w:rsidRPr="00E31D76">
        <w:rPr>
          <w:rFonts w:ascii="Times New Roman" w:hAnsi="Times New Roman"/>
        </w:rPr>
        <w:t xml:space="preserve"> </w:t>
      </w:r>
      <w:r w:rsidRPr="00E31D76">
        <w:rPr>
          <w:rFonts w:ascii="Times New Roman" w:hAnsi="Times New Roman"/>
        </w:rPr>
        <w:t xml:space="preserve">team to gather information on </w:t>
      </w:r>
      <w:r>
        <w:rPr>
          <w:rFonts w:ascii="Times New Roman" w:hAnsi="Times New Roman"/>
        </w:rPr>
        <w:t xml:space="preserve">the Phase 2 </w:t>
      </w:r>
      <w:r w:rsidRPr="00E31D76">
        <w:rPr>
          <w:rFonts w:ascii="Times New Roman" w:hAnsi="Times New Roman"/>
        </w:rPr>
        <w:t xml:space="preserve">teams’ experiences with the </w:t>
      </w:r>
      <w:r>
        <w:rPr>
          <w:rFonts w:ascii="Times New Roman" w:hAnsi="Times New Roman"/>
        </w:rPr>
        <w:t>HWC</w:t>
      </w:r>
      <w:r w:rsidRPr="00E31D76">
        <w:rPr>
          <w:rFonts w:ascii="Times New Roman" w:hAnsi="Times New Roman"/>
        </w:rPr>
        <w:t xml:space="preserve"> project, including their feedback on the project’s change package, implementation process, and </w:t>
      </w:r>
      <w:r>
        <w:rPr>
          <w:rFonts w:ascii="Times New Roman" w:hAnsi="Times New Roman"/>
        </w:rPr>
        <w:t>HWC</w:t>
      </w:r>
      <w:r w:rsidRPr="00E31D76">
        <w:rPr>
          <w:rFonts w:ascii="Times New Roman" w:hAnsi="Times New Roman"/>
        </w:rPr>
        <w:t xml:space="preserve"> performance measures. The 7 teams </w:t>
      </w:r>
      <w:r>
        <w:rPr>
          <w:rFonts w:ascii="Times New Roman" w:hAnsi="Times New Roman"/>
        </w:rPr>
        <w:t xml:space="preserve">will be </w:t>
      </w:r>
      <w:r w:rsidRPr="00E31D76">
        <w:rPr>
          <w:rFonts w:ascii="Times New Roman" w:hAnsi="Times New Roman"/>
        </w:rPr>
        <w:t xml:space="preserve">selected to meet several criteria, including their project’s geographic location, target population(s), and content of their </w:t>
      </w:r>
      <w:r>
        <w:rPr>
          <w:rFonts w:ascii="Times New Roman" w:hAnsi="Times New Roman"/>
        </w:rPr>
        <w:t>work plans</w:t>
      </w:r>
      <w:r w:rsidRPr="00E31D76">
        <w:rPr>
          <w:rFonts w:ascii="Times New Roman" w:hAnsi="Times New Roman"/>
        </w:rPr>
        <w:t>.</w:t>
      </w:r>
    </w:p>
    <w:p w:rsidR="006D34F4" w:rsidRPr="00E31D76" w:rsidRDefault="006D34F4" w:rsidP="006D34F4">
      <w:pPr>
        <w:pStyle w:val="NormalSS"/>
        <w:rPr>
          <w:rFonts w:ascii="Times New Roman" w:hAnsi="Times New Roman"/>
        </w:rPr>
      </w:pPr>
      <w:r w:rsidRPr="00E31D76">
        <w:rPr>
          <w:rFonts w:ascii="Times New Roman" w:hAnsi="Times New Roman"/>
        </w:rPr>
        <w:lastRenderedPageBreak/>
        <w:t xml:space="preserve">For each of the seven </w:t>
      </w:r>
      <w:r>
        <w:rPr>
          <w:rFonts w:ascii="Times New Roman" w:hAnsi="Times New Roman"/>
        </w:rPr>
        <w:t xml:space="preserve">Phase 2 </w:t>
      </w:r>
      <w:r w:rsidRPr="00E31D76">
        <w:rPr>
          <w:rFonts w:ascii="Times New Roman" w:hAnsi="Times New Roman"/>
        </w:rPr>
        <w:t xml:space="preserve">teams, a two-person team (a researcher and an analyst) will conduct a site visit, </w:t>
      </w:r>
      <w:r>
        <w:rPr>
          <w:rFonts w:ascii="Times New Roman" w:hAnsi="Times New Roman"/>
        </w:rPr>
        <w:t xml:space="preserve">which will include individual interviews with the team’s coordinator and the team’s data manager, and a group interview with the rest of the community team (6 members). The interview with the team’s </w:t>
      </w:r>
      <w:r w:rsidR="004654A9">
        <w:rPr>
          <w:rFonts w:ascii="Times New Roman" w:hAnsi="Times New Roman"/>
        </w:rPr>
        <w:t xml:space="preserve">lead </w:t>
      </w:r>
      <w:r>
        <w:rPr>
          <w:rFonts w:ascii="Times New Roman" w:hAnsi="Times New Roman"/>
        </w:rPr>
        <w:t xml:space="preserve">will include questions about the team’s goals, work plan, structure, funding, and any challenges participating in the project. The interview with the team’s data manager will include questions about the team’s collection and reporting of the 13 Phase 2 performance indicators, the team’s collection of other quality improvement indicators, and any challenges the team </w:t>
      </w:r>
      <w:r w:rsidR="004654A9">
        <w:rPr>
          <w:rFonts w:ascii="Times New Roman" w:hAnsi="Times New Roman"/>
        </w:rPr>
        <w:t xml:space="preserve">is </w:t>
      </w:r>
      <w:r>
        <w:rPr>
          <w:rFonts w:ascii="Times New Roman" w:hAnsi="Times New Roman"/>
        </w:rPr>
        <w:t>experienc</w:t>
      </w:r>
      <w:r w:rsidR="004654A9">
        <w:rPr>
          <w:rFonts w:ascii="Times New Roman" w:hAnsi="Times New Roman"/>
        </w:rPr>
        <w:t>ing</w:t>
      </w:r>
      <w:r>
        <w:rPr>
          <w:rFonts w:ascii="Times New Roman" w:hAnsi="Times New Roman"/>
        </w:rPr>
        <w:t xml:space="preserve"> meeting the project’s data requirements. </w:t>
      </w:r>
      <w:r w:rsidRPr="00E31D76">
        <w:rPr>
          <w:rFonts w:ascii="Times New Roman" w:hAnsi="Times New Roman"/>
        </w:rPr>
        <w:t xml:space="preserve">Topics for </w:t>
      </w:r>
      <w:r>
        <w:rPr>
          <w:rFonts w:ascii="Times New Roman" w:hAnsi="Times New Roman"/>
        </w:rPr>
        <w:t xml:space="preserve">the group interview </w:t>
      </w:r>
      <w:r w:rsidRPr="00E31D76">
        <w:rPr>
          <w:rFonts w:ascii="Times New Roman" w:hAnsi="Times New Roman"/>
        </w:rPr>
        <w:t xml:space="preserve">will cover the team’s engagement in </w:t>
      </w:r>
      <w:r>
        <w:rPr>
          <w:rFonts w:ascii="Times New Roman" w:hAnsi="Times New Roman"/>
        </w:rPr>
        <w:t>Phase 2</w:t>
      </w:r>
      <w:r w:rsidRPr="00E31D76">
        <w:rPr>
          <w:rFonts w:ascii="Times New Roman" w:hAnsi="Times New Roman"/>
        </w:rPr>
        <w:t xml:space="preserve">; </w:t>
      </w:r>
      <w:r>
        <w:rPr>
          <w:rFonts w:ascii="Times New Roman" w:hAnsi="Times New Roman"/>
        </w:rPr>
        <w:t xml:space="preserve">the team’s </w:t>
      </w:r>
      <w:r w:rsidRPr="00E31D76">
        <w:rPr>
          <w:rFonts w:ascii="Times New Roman" w:hAnsi="Times New Roman"/>
        </w:rPr>
        <w:t xml:space="preserve">participation in </w:t>
      </w:r>
      <w:r>
        <w:rPr>
          <w:rFonts w:ascii="Times New Roman" w:hAnsi="Times New Roman"/>
        </w:rPr>
        <w:t>HWC</w:t>
      </w:r>
      <w:r w:rsidRPr="00E31D76">
        <w:rPr>
          <w:rFonts w:ascii="Times New Roman" w:hAnsi="Times New Roman"/>
        </w:rPr>
        <w:t xml:space="preserve"> events and activities; community-level results of the team</w:t>
      </w:r>
      <w:r>
        <w:rPr>
          <w:rFonts w:ascii="Times New Roman" w:hAnsi="Times New Roman"/>
        </w:rPr>
        <w:t>’s</w:t>
      </w:r>
      <w:r w:rsidRPr="00E31D76">
        <w:rPr>
          <w:rFonts w:ascii="Times New Roman" w:hAnsi="Times New Roman"/>
        </w:rPr>
        <w:t xml:space="preserve"> </w:t>
      </w:r>
      <w:r w:rsidR="004654A9">
        <w:rPr>
          <w:rFonts w:ascii="Times New Roman" w:hAnsi="Times New Roman"/>
        </w:rPr>
        <w:t xml:space="preserve">Phase 2 </w:t>
      </w:r>
      <w:r w:rsidRPr="00E31D76">
        <w:rPr>
          <w:rFonts w:ascii="Times New Roman" w:hAnsi="Times New Roman"/>
        </w:rPr>
        <w:t>efforts; and the</w:t>
      </w:r>
      <w:r>
        <w:rPr>
          <w:rFonts w:ascii="Times New Roman" w:hAnsi="Times New Roman"/>
        </w:rPr>
        <w:t xml:space="preserve"> team’s </w:t>
      </w:r>
      <w:r w:rsidRPr="00E31D76">
        <w:rPr>
          <w:rFonts w:ascii="Times New Roman" w:hAnsi="Times New Roman"/>
        </w:rPr>
        <w:t xml:space="preserve">feedback and recommendations for how to improve key </w:t>
      </w:r>
      <w:r>
        <w:rPr>
          <w:rFonts w:ascii="Times New Roman" w:hAnsi="Times New Roman"/>
        </w:rPr>
        <w:t xml:space="preserve">project </w:t>
      </w:r>
      <w:r w:rsidRPr="00E31D76">
        <w:rPr>
          <w:rFonts w:ascii="Times New Roman" w:hAnsi="Times New Roman"/>
        </w:rPr>
        <w:t xml:space="preserve">components, including the change package, </w:t>
      </w:r>
      <w:r>
        <w:rPr>
          <w:rFonts w:ascii="Times New Roman" w:hAnsi="Times New Roman"/>
        </w:rPr>
        <w:t xml:space="preserve">the virtual </w:t>
      </w:r>
      <w:r w:rsidRPr="00E31D76">
        <w:rPr>
          <w:rFonts w:ascii="Times New Roman" w:hAnsi="Times New Roman"/>
        </w:rPr>
        <w:t xml:space="preserve">learning session format and content, the </w:t>
      </w:r>
      <w:r>
        <w:rPr>
          <w:rFonts w:ascii="Times New Roman" w:hAnsi="Times New Roman"/>
        </w:rPr>
        <w:t xml:space="preserve">functionality of the </w:t>
      </w:r>
      <w:r w:rsidRPr="00E31D76">
        <w:rPr>
          <w:rFonts w:ascii="Times New Roman" w:hAnsi="Times New Roman"/>
        </w:rPr>
        <w:t xml:space="preserve">iLab, the value of the project’s </w:t>
      </w:r>
      <w:r>
        <w:rPr>
          <w:rFonts w:ascii="Times New Roman" w:hAnsi="Times New Roman"/>
        </w:rPr>
        <w:t xml:space="preserve">coaching and technical assistance from the program managers, </w:t>
      </w:r>
      <w:r w:rsidR="009E23C2">
        <w:rPr>
          <w:rFonts w:ascii="Times New Roman" w:hAnsi="Times New Roman"/>
        </w:rPr>
        <w:t xml:space="preserve">and </w:t>
      </w:r>
      <w:r>
        <w:rPr>
          <w:rFonts w:ascii="Times New Roman" w:hAnsi="Times New Roman"/>
        </w:rPr>
        <w:t xml:space="preserve">faculty, and </w:t>
      </w:r>
      <w:r w:rsidRPr="00E31D76">
        <w:rPr>
          <w:rFonts w:ascii="Times New Roman" w:hAnsi="Times New Roman"/>
        </w:rPr>
        <w:t xml:space="preserve">the adequacy of the funding and other supports provided. (See </w:t>
      </w:r>
      <w:r>
        <w:rPr>
          <w:rFonts w:ascii="Times New Roman" w:hAnsi="Times New Roman"/>
        </w:rPr>
        <w:t>Appendix D</w:t>
      </w:r>
      <w:r w:rsidRPr="00E31D76">
        <w:rPr>
          <w:rFonts w:ascii="Times New Roman" w:hAnsi="Times New Roman"/>
        </w:rPr>
        <w:t xml:space="preserve">, </w:t>
      </w:r>
      <w:r>
        <w:rPr>
          <w:rFonts w:ascii="Times New Roman" w:hAnsi="Times New Roman"/>
        </w:rPr>
        <w:t>Phase 2 Community Team Site Visit Protocols</w:t>
      </w:r>
      <w:r w:rsidRPr="00E31D76">
        <w:rPr>
          <w:rFonts w:ascii="Times New Roman" w:hAnsi="Times New Roman"/>
        </w:rPr>
        <w:t>.)</w:t>
      </w:r>
    </w:p>
    <w:p w:rsidR="006D34F4" w:rsidRPr="00E31D76" w:rsidRDefault="006D34F4" w:rsidP="006D34F4">
      <w:pPr>
        <w:pStyle w:val="NormalSS"/>
        <w:rPr>
          <w:rFonts w:ascii="Times New Roman" w:hAnsi="Times New Roman"/>
        </w:rPr>
      </w:pPr>
      <w:r>
        <w:rPr>
          <w:rFonts w:ascii="Times New Roman" w:hAnsi="Times New Roman"/>
          <w:b/>
        </w:rPr>
        <w:t>Group interviews</w:t>
      </w:r>
      <w:r w:rsidRPr="00E31D76">
        <w:rPr>
          <w:rFonts w:ascii="Times New Roman" w:hAnsi="Times New Roman"/>
          <w:b/>
        </w:rPr>
        <w:t xml:space="preserve"> with NICHQ leaders, faculty members, and project managers.</w:t>
      </w:r>
      <w:r w:rsidRPr="00E31D76">
        <w:rPr>
          <w:rFonts w:ascii="Times New Roman" w:hAnsi="Times New Roman"/>
        </w:rPr>
        <w:t xml:space="preserve"> To gain a broader understanding of the </w:t>
      </w:r>
      <w:r>
        <w:rPr>
          <w:rFonts w:ascii="Times New Roman" w:hAnsi="Times New Roman"/>
        </w:rPr>
        <w:t>HWC</w:t>
      </w:r>
      <w:r w:rsidRPr="00E31D76">
        <w:rPr>
          <w:rFonts w:ascii="Times New Roman" w:hAnsi="Times New Roman"/>
        </w:rPr>
        <w:t xml:space="preserve">, we also seek to learn about the experiences of three other groups involved in the project: </w:t>
      </w:r>
      <w:r w:rsidR="009E23C2">
        <w:rPr>
          <w:rFonts w:ascii="Times New Roman" w:hAnsi="Times New Roman"/>
        </w:rPr>
        <w:t xml:space="preserve">the </w:t>
      </w:r>
      <w:r w:rsidRPr="00E31D76">
        <w:rPr>
          <w:rFonts w:ascii="Times New Roman" w:hAnsi="Times New Roman"/>
        </w:rPr>
        <w:t xml:space="preserve">NICHQ leadership, </w:t>
      </w:r>
      <w:r>
        <w:rPr>
          <w:rFonts w:ascii="Times New Roman" w:hAnsi="Times New Roman"/>
        </w:rPr>
        <w:t>HWC</w:t>
      </w:r>
      <w:r w:rsidRPr="00E31D76">
        <w:rPr>
          <w:rFonts w:ascii="Times New Roman" w:hAnsi="Times New Roman"/>
        </w:rPr>
        <w:t xml:space="preserve"> faculty members, and </w:t>
      </w:r>
      <w:r>
        <w:rPr>
          <w:rFonts w:ascii="Times New Roman" w:hAnsi="Times New Roman"/>
        </w:rPr>
        <w:t>HWC</w:t>
      </w:r>
      <w:r w:rsidRPr="00E31D76">
        <w:rPr>
          <w:rFonts w:ascii="Times New Roman" w:hAnsi="Times New Roman"/>
        </w:rPr>
        <w:t xml:space="preserve"> project managers. We will conduct one round of </w:t>
      </w:r>
      <w:r>
        <w:rPr>
          <w:rFonts w:ascii="Times New Roman" w:hAnsi="Times New Roman"/>
        </w:rPr>
        <w:t>individual interviews with the leaders and project managers, and a group interview</w:t>
      </w:r>
      <w:r w:rsidRPr="00E31D76">
        <w:rPr>
          <w:rFonts w:ascii="Times New Roman" w:hAnsi="Times New Roman"/>
        </w:rPr>
        <w:t xml:space="preserve"> with </w:t>
      </w:r>
      <w:r>
        <w:rPr>
          <w:rFonts w:ascii="Times New Roman" w:hAnsi="Times New Roman"/>
        </w:rPr>
        <w:t>the faculty between February and April, 2013</w:t>
      </w:r>
      <w:r w:rsidRPr="00E31D76">
        <w:rPr>
          <w:rFonts w:ascii="Times New Roman" w:hAnsi="Times New Roman"/>
        </w:rPr>
        <w:t xml:space="preserve">. They will be able to provide insights into the implementation of </w:t>
      </w:r>
      <w:r>
        <w:rPr>
          <w:rFonts w:ascii="Times New Roman" w:hAnsi="Times New Roman"/>
        </w:rPr>
        <w:t>Phase 2 of the HWC</w:t>
      </w:r>
      <w:r w:rsidRPr="00E31D76">
        <w:rPr>
          <w:rFonts w:ascii="Times New Roman" w:hAnsi="Times New Roman"/>
        </w:rPr>
        <w:t xml:space="preserve"> and identify lessons learned regarding the </w:t>
      </w:r>
      <w:r>
        <w:rPr>
          <w:rFonts w:ascii="Times New Roman" w:hAnsi="Times New Roman"/>
        </w:rPr>
        <w:t>HWC project’s design and operation as a virtual LC</w:t>
      </w:r>
      <w:r w:rsidRPr="00E31D76">
        <w:rPr>
          <w:rFonts w:ascii="Times New Roman" w:hAnsi="Times New Roman"/>
        </w:rPr>
        <w:t xml:space="preserve">. Topics of these </w:t>
      </w:r>
      <w:r>
        <w:rPr>
          <w:rFonts w:ascii="Times New Roman" w:hAnsi="Times New Roman"/>
        </w:rPr>
        <w:t>interviews</w:t>
      </w:r>
      <w:r w:rsidRPr="00E31D76">
        <w:rPr>
          <w:rFonts w:ascii="Times New Roman" w:hAnsi="Times New Roman"/>
        </w:rPr>
        <w:t xml:space="preserve"> will cover the quality of the implementation of </w:t>
      </w:r>
      <w:r>
        <w:rPr>
          <w:rFonts w:ascii="Times New Roman" w:hAnsi="Times New Roman"/>
        </w:rPr>
        <w:t>HWC</w:t>
      </w:r>
      <w:r w:rsidRPr="00E31D76">
        <w:rPr>
          <w:rFonts w:ascii="Times New Roman" w:hAnsi="Times New Roman"/>
        </w:rPr>
        <w:t xml:space="preserve"> events and activities, the engagement of the community teams in the </w:t>
      </w:r>
      <w:r>
        <w:rPr>
          <w:rFonts w:ascii="Times New Roman" w:hAnsi="Times New Roman"/>
        </w:rPr>
        <w:t>HWC</w:t>
      </w:r>
      <w:r w:rsidRPr="00E31D76">
        <w:rPr>
          <w:rFonts w:ascii="Times New Roman" w:hAnsi="Times New Roman"/>
        </w:rPr>
        <w:t xml:space="preserve"> activities, and community-level results of the teams’ efforts. We will also use the discussions to gather the NICHQ groups’ own reflections and suggestions for how to improve the project’s key components, including the change package, </w:t>
      </w:r>
      <w:r>
        <w:rPr>
          <w:rFonts w:ascii="Times New Roman" w:hAnsi="Times New Roman"/>
        </w:rPr>
        <w:t xml:space="preserve">the format and content of the Phase 2 learning series, </w:t>
      </w:r>
      <w:r w:rsidRPr="00E31D76">
        <w:rPr>
          <w:rFonts w:ascii="Times New Roman" w:hAnsi="Times New Roman"/>
        </w:rPr>
        <w:t>, the</w:t>
      </w:r>
      <w:r>
        <w:rPr>
          <w:rFonts w:ascii="Times New Roman" w:hAnsi="Times New Roman"/>
        </w:rPr>
        <w:t xml:space="preserve"> functionality of the</w:t>
      </w:r>
      <w:r w:rsidRPr="00E31D76">
        <w:rPr>
          <w:rFonts w:ascii="Times New Roman" w:hAnsi="Times New Roman"/>
        </w:rPr>
        <w:t xml:space="preserve"> iLab, the value of the project’s performance measures, and the adequacy of the funding and other supports provided. (See </w:t>
      </w:r>
      <w:r>
        <w:rPr>
          <w:rFonts w:ascii="Times New Roman" w:hAnsi="Times New Roman"/>
        </w:rPr>
        <w:t>Appendix E</w:t>
      </w:r>
      <w:r w:rsidRPr="00E31D76">
        <w:rPr>
          <w:rFonts w:ascii="Times New Roman" w:hAnsi="Times New Roman"/>
        </w:rPr>
        <w:t>)</w:t>
      </w:r>
      <w:r>
        <w:rPr>
          <w:rFonts w:ascii="Times New Roman" w:hAnsi="Times New Roman"/>
        </w:rPr>
        <w:t>.</w:t>
      </w:r>
    </w:p>
    <w:p w:rsidR="006D34F4" w:rsidRPr="00E31D76" w:rsidRDefault="006D34F4" w:rsidP="006D34F4">
      <w:pPr>
        <w:pStyle w:val="NormalSS"/>
        <w:rPr>
          <w:rFonts w:ascii="Times New Roman" w:hAnsi="Times New Roman"/>
        </w:rPr>
      </w:pPr>
      <w:r w:rsidRPr="00E31D76">
        <w:rPr>
          <w:rFonts w:ascii="Times New Roman" w:hAnsi="Times New Roman"/>
          <w:b/>
        </w:rPr>
        <w:t xml:space="preserve">Other </w:t>
      </w:r>
      <w:r>
        <w:rPr>
          <w:rFonts w:ascii="Times New Roman" w:hAnsi="Times New Roman"/>
          <w:b/>
        </w:rPr>
        <w:t xml:space="preserve">non-burden baring </w:t>
      </w:r>
      <w:r w:rsidRPr="00E31D76">
        <w:rPr>
          <w:rFonts w:ascii="Times New Roman" w:hAnsi="Times New Roman"/>
          <w:b/>
        </w:rPr>
        <w:t>data collection activities.</w:t>
      </w:r>
      <w:r w:rsidRPr="00E31D76">
        <w:rPr>
          <w:rFonts w:ascii="Times New Roman" w:hAnsi="Times New Roman"/>
        </w:rPr>
        <w:t xml:space="preserve"> </w:t>
      </w:r>
      <w:r>
        <w:rPr>
          <w:rFonts w:ascii="Times New Roman" w:hAnsi="Times New Roman"/>
        </w:rPr>
        <w:t xml:space="preserve">HRSA is not seeking clearance for these non-burden baring activities and describes them only for the sake of completing the picture of HWC data collection. </w:t>
      </w:r>
      <w:r w:rsidRPr="00E31D76">
        <w:rPr>
          <w:rFonts w:ascii="Times New Roman" w:hAnsi="Times New Roman"/>
        </w:rPr>
        <w:t xml:space="preserve">The </w:t>
      </w:r>
      <w:proofErr w:type="spellStart"/>
      <w:r w:rsidRPr="00E31D76">
        <w:rPr>
          <w:rFonts w:ascii="Times New Roman" w:hAnsi="Times New Roman"/>
        </w:rPr>
        <w:t>Mathematica</w:t>
      </w:r>
      <w:proofErr w:type="spellEnd"/>
      <w:r w:rsidRPr="00E31D76">
        <w:rPr>
          <w:rFonts w:ascii="Times New Roman" w:hAnsi="Times New Roman"/>
        </w:rPr>
        <w:t xml:space="preserve"> </w:t>
      </w:r>
      <w:r w:rsidR="009E23C2">
        <w:rPr>
          <w:rFonts w:ascii="Times New Roman" w:hAnsi="Times New Roman"/>
        </w:rPr>
        <w:t>implementation study</w:t>
      </w:r>
      <w:r w:rsidR="009E23C2" w:rsidRPr="00E31D76">
        <w:rPr>
          <w:rFonts w:ascii="Times New Roman" w:hAnsi="Times New Roman"/>
        </w:rPr>
        <w:t xml:space="preserve"> </w:t>
      </w:r>
      <w:r w:rsidRPr="00E31D76">
        <w:rPr>
          <w:rFonts w:ascii="Times New Roman" w:hAnsi="Times New Roman"/>
        </w:rPr>
        <w:t xml:space="preserve">team will also conduct other data collection activities that do not pose a burden on any respondents, but will provide important contextual information on the project. These activities include observations of the </w:t>
      </w:r>
      <w:r>
        <w:rPr>
          <w:rFonts w:ascii="Times New Roman" w:hAnsi="Times New Roman"/>
        </w:rPr>
        <w:t>virtual HWC</w:t>
      </w:r>
      <w:r w:rsidRPr="00E31D76">
        <w:rPr>
          <w:rFonts w:ascii="Times New Roman" w:hAnsi="Times New Roman"/>
        </w:rPr>
        <w:t xml:space="preserve"> learning sessions that will document the content, process, and effectiveness of the </w:t>
      </w:r>
      <w:r>
        <w:rPr>
          <w:rFonts w:ascii="Times New Roman" w:hAnsi="Times New Roman"/>
        </w:rPr>
        <w:t>HWC</w:t>
      </w:r>
      <w:r w:rsidRPr="00E31D76">
        <w:rPr>
          <w:rFonts w:ascii="Times New Roman" w:hAnsi="Times New Roman"/>
        </w:rPr>
        <w:t xml:space="preserve"> learning sessions and provide background information on the activities and progress of the </w:t>
      </w:r>
      <w:r w:rsidR="009E23C2">
        <w:rPr>
          <w:rFonts w:ascii="Times New Roman" w:hAnsi="Times New Roman"/>
        </w:rPr>
        <w:t xml:space="preserve">approximately </w:t>
      </w:r>
      <w:r>
        <w:rPr>
          <w:rFonts w:ascii="Times New Roman" w:hAnsi="Times New Roman"/>
        </w:rPr>
        <w:t>40</w:t>
      </w:r>
      <w:r w:rsidRPr="00E31D76">
        <w:rPr>
          <w:rFonts w:ascii="Times New Roman" w:hAnsi="Times New Roman"/>
        </w:rPr>
        <w:t xml:space="preserve"> teams participating in the </w:t>
      </w:r>
      <w:r>
        <w:rPr>
          <w:rFonts w:ascii="Times New Roman" w:hAnsi="Times New Roman"/>
        </w:rPr>
        <w:t>Phase 2</w:t>
      </w:r>
      <w:r w:rsidRPr="00E31D76">
        <w:rPr>
          <w:rFonts w:ascii="Times New Roman" w:hAnsi="Times New Roman"/>
        </w:rPr>
        <w:t xml:space="preserve"> activities. </w:t>
      </w:r>
      <w:r>
        <w:rPr>
          <w:rFonts w:ascii="Times New Roman" w:hAnsi="Times New Roman"/>
        </w:rPr>
        <w:t xml:space="preserve">The </w:t>
      </w:r>
      <w:r w:rsidR="009E23C2">
        <w:rPr>
          <w:rFonts w:ascii="Times New Roman" w:hAnsi="Times New Roman"/>
        </w:rPr>
        <w:t>implementation study</w:t>
      </w:r>
      <w:r w:rsidR="009E23C2" w:rsidRPr="00E31D76">
        <w:rPr>
          <w:rFonts w:ascii="Times New Roman" w:hAnsi="Times New Roman"/>
        </w:rPr>
        <w:t xml:space="preserve"> </w:t>
      </w:r>
      <w:r w:rsidRPr="00E31D76">
        <w:rPr>
          <w:rFonts w:ascii="Times New Roman" w:hAnsi="Times New Roman"/>
        </w:rPr>
        <w:t>team members will act as silent observers, not active participants in these events, in order to minimize any potential intrusion or disruption of these activities.</w:t>
      </w:r>
    </w:p>
    <w:p w:rsidR="006D34F4" w:rsidRPr="00E31D76" w:rsidRDefault="006D34F4" w:rsidP="006D34F4">
      <w:pPr>
        <w:pStyle w:val="NormalSS"/>
        <w:rPr>
          <w:rFonts w:ascii="Times New Roman" w:hAnsi="Times New Roman"/>
          <w:b/>
        </w:rPr>
      </w:pPr>
      <w:r w:rsidRPr="00E31D76">
        <w:rPr>
          <w:rFonts w:ascii="Times New Roman" w:hAnsi="Times New Roman"/>
        </w:rPr>
        <w:t xml:space="preserve">The Mathematica </w:t>
      </w:r>
      <w:r w:rsidR="009E23C2">
        <w:rPr>
          <w:rFonts w:ascii="Times New Roman" w:hAnsi="Times New Roman"/>
        </w:rPr>
        <w:t xml:space="preserve">study </w:t>
      </w:r>
      <w:r w:rsidRPr="00E31D76">
        <w:rPr>
          <w:rFonts w:ascii="Times New Roman" w:hAnsi="Times New Roman"/>
        </w:rPr>
        <w:t>team will use a standard observation template to record these observations (see A</w:t>
      </w:r>
      <w:r>
        <w:rPr>
          <w:rFonts w:ascii="Times New Roman" w:hAnsi="Times New Roman"/>
        </w:rPr>
        <w:t xml:space="preserve">ppendix F: </w:t>
      </w:r>
      <w:r w:rsidRPr="00E31D76">
        <w:rPr>
          <w:rFonts w:ascii="Times New Roman" w:hAnsi="Times New Roman"/>
        </w:rPr>
        <w:t xml:space="preserve">Learning Session Observation Template). On a monthly basis, or as needed, Mathematica team members will also (1) observe </w:t>
      </w:r>
      <w:r>
        <w:rPr>
          <w:rFonts w:ascii="Times New Roman" w:hAnsi="Times New Roman"/>
        </w:rPr>
        <w:t>HWC</w:t>
      </w:r>
      <w:r w:rsidRPr="00E31D76">
        <w:rPr>
          <w:rFonts w:ascii="Times New Roman" w:hAnsi="Times New Roman"/>
        </w:rPr>
        <w:t xml:space="preserve"> monthly training webinars to understand ongoing team development activities and opportunities provided by NICHQ and interactions among community teams; (2) review documentation of iLab activity to track sharing </w:t>
      </w:r>
      <w:r w:rsidRPr="00E31D76">
        <w:rPr>
          <w:rFonts w:ascii="Times New Roman" w:hAnsi="Times New Roman"/>
        </w:rPr>
        <w:lastRenderedPageBreak/>
        <w:t>of documents and other resources among teams and with NICHQ; and (3) abstract monthly project performance measurement data submitted by the community teams to the iLab.</w:t>
      </w:r>
    </w:p>
    <w:p w:rsidR="006D34F4" w:rsidRDefault="006D34F4" w:rsidP="006D34F4">
      <w:pPr>
        <w:pStyle w:val="Heading2Black"/>
        <w:rPr>
          <w:rFonts w:ascii="Times New Roman" w:hAnsi="Times New Roman"/>
        </w:rPr>
      </w:pPr>
      <w:bookmarkStart w:id="5" w:name="_Toc316466911"/>
      <w:bookmarkStart w:id="6" w:name="_Toc330974217"/>
      <w:r>
        <w:rPr>
          <w:rFonts w:ascii="Times New Roman" w:hAnsi="Times New Roman"/>
        </w:rPr>
        <w:t>3</w:t>
      </w:r>
      <w:r w:rsidRPr="003D1EDB">
        <w:rPr>
          <w:rFonts w:ascii="Times New Roman" w:hAnsi="Times New Roman"/>
        </w:rPr>
        <w:t>.</w:t>
      </w:r>
      <w:r w:rsidRPr="003D1EDB">
        <w:rPr>
          <w:rFonts w:ascii="Times New Roman" w:hAnsi="Times New Roman"/>
        </w:rPr>
        <w:tab/>
        <w:t>Use of Improved Information Technology and Burden Reduction</w:t>
      </w:r>
      <w:bookmarkEnd w:id="5"/>
      <w:bookmarkEnd w:id="6"/>
    </w:p>
    <w:p w:rsidR="006D34F4" w:rsidRPr="00E31D76" w:rsidRDefault="006D34F4" w:rsidP="006D34F4">
      <w:pPr>
        <w:pStyle w:val="NormalSS"/>
        <w:rPr>
          <w:rFonts w:ascii="Times New Roman" w:hAnsi="Times New Roman"/>
        </w:rPr>
      </w:pPr>
      <w:r w:rsidRPr="00E31D76">
        <w:rPr>
          <w:rFonts w:ascii="Times New Roman" w:hAnsi="Times New Roman"/>
        </w:rPr>
        <w:t xml:space="preserve">Because all aspects of the project’s </w:t>
      </w:r>
      <w:r w:rsidR="009E23C2">
        <w:rPr>
          <w:rFonts w:ascii="Times New Roman" w:hAnsi="Times New Roman"/>
        </w:rPr>
        <w:t xml:space="preserve">Phase 2 </w:t>
      </w:r>
      <w:r w:rsidRPr="00E31D76">
        <w:rPr>
          <w:rFonts w:ascii="Times New Roman" w:hAnsi="Times New Roman"/>
        </w:rPr>
        <w:t xml:space="preserve">data collection (the </w:t>
      </w:r>
      <w:r>
        <w:rPr>
          <w:rFonts w:ascii="Times New Roman" w:hAnsi="Times New Roman"/>
        </w:rPr>
        <w:t>individual and group interviews</w:t>
      </w:r>
      <w:r w:rsidRPr="00E31D76">
        <w:rPr>
          <w:rFonts w:ascii="Times New Roman" w:hAnsi="Times New Roman"/>
        </w:rPr>
        <w:t xml:space="preserve">, </w:t>
      </w:r>
      <w:r>
        <w:rPr>
          <w:rFonts w:ascii="Times New Roman" w:hAnsi="Times New Roman"/>
        </w:rPr>
        <w:t>observations of learning series</w:t>
      </w:r>
      <w:r w:rsidRPr="00E31D76">
        <w:rPr>
          <w:rFonts w:ascii="Times New Roman" w:hAnsi="Times New Roman"/>
        </w:rPr>
        <w:t xml:space="preserve"> webinar</w:t>
      </w:r>
      <w:r>
        <w:rPr>
          <w:rFonts w:ascii="Times New Roman" w:hAnsi="Times New Roman"/>
        </w:rPr>
        <w:t>s</w:t>
      </w:r>
      <w:r w:rsidRPr="00E31D76">
        <w:rPr>
          <w:rFonts w:ascii="Times New Roman" w:hAnsi="Times New Roman"/>
        </w:rPr>
        <w:t xml:space="preserve">, and review of electronic and paper project documents) will involve the use of qualitative data collection methods, there is not an opportunity to use information technology (IT) methods to reduce respondents’ reporting burden; HRSA will not use IT to collect this information. The </w:t>
      </w:r>
      <w:r>
        <w:rPr>
          <w:rFonts w:ascii="Times New Roman" w:hAnsi="Times New Roman"/>
        </w:rPr>
        <w:t>interview</w:t>
      </w:r>
      <w:r w:rsidRPr="00E31D76">
        <w:rPr>
          <w:rFonts w:ascii="Times New Roman" w:hAnsi="Times New Roman"/>
        </w:rPr>
        <w:t xml:space="preserve"> data will be collected orally using the attached </w:t>
      </w:r>
      <w:r>
        <w:rPr>
          <w:rFonts w:ascii="Times New Roman" w:hAnsi="Times New Roman"/>
        </w:rPr>
        <w:t>site visit and interview guides</w:t>
      </w:r>
      <w:r w:rsidRPr="00E31D76">
        <w:rPr>
          <w:rFonts w:ascii="Times New Roman" w:hAnsi="Times New Roman"/>
        </w:rPr>
        <w:t xml:space="preserve">. This process will be supported by digital recordings that the </w:t>
      </w:r>
      <w:r w:rsidR="005454F5">
        <w:rPr>
          <w:rFonts w:ascii="Times New Roman" w:hAnsi="Times New Roman"/>
        </w:rPr>
        <w:t>study</w:t>
      </w:r>
      <w:r w:rsidR="005454F5" w:rsidRPr="00E31D76">
        <w:rPr>
          <w:rFonts w:ascii="Times New Roman" w:hAnsi="Times New Roman"/>
        </w:rPr>
        <w:t xml:space="preserve"> </w:t>
      </w:r>
      <w:r w:rsidRPr="00E31D76">
        <w:rPr>
          <w:rFonts w:ascii="Times New Roman" w:hAnsi="Times New Roman"/>
        </w:rPr>
        <w:t xml:space="preserve">team will use to ensure the accuracy of the </w:t>
      </w:r>
      <w:r>
        <w:rPr>
          <w:rFonts w:ascii="Times New Roman" w:hAnsi="Times New Roman"/>
        </w:rPr>
        <w:t>interview</w:t>
      </w:r>
      <w:r w:rsidRPr="00E31D76">
        <w:rPr>
          <w:rFonts w:ascii="Times New Roman" w:hAnsi="Times New Roman"/>
        </w:rPr>
        <w:t xml:space="preserve"> notes. Although this does not affect respondent burden per se, the </w:t>
      </w:r>
      <w:r w:rsidR="005454F5">
        <w:rPr>
          <w:rFonts w:ascii="Times New Roman" w:hAnsi="Times New Roman"/>
        </w:rPr>
        <w:t>study</w:t>
      </w:r>
      <w:r w:rsidR="005454F5" w:rsidRPr="00E31D76">
        <w:rPr>
          <w:rFonts w:ascii="Times New Roman" w:hAnsi="Times New Roman"/>
        </w:rPr>
        <w:t xml:space="preserve"> </w:t>
      </w:r>
      <w:r w:rsidRPr="00E31D76">
        <w:rPr>
          <w:rFonts w:ascii="Times New Roman" w:hAnsi="Times New Roman"/>
        </w:rPr>
        <w:t xml:space="preserve">team </w:t>
      </w:r>
      <w:r>
        <w:rPr>
          <w:rFonts w:ascii="Times New Roman" w:hAnsi="Times New Roman"/>
        </w:rPr>
        <w:t>will</w:t>
      </w:r>
      <w:r w:rsidRPr="00E31D76">
        <w:rPr>
          <w:rFonts w:ascii="Times New Roman" w:hAnsi="Times New Roman"/>
        </w:rPr>
        <w:t xml:space="preserve"> analyze the </w:t>
      </w:r>
      <w:r>
        <w:rPr>
          <w:rFonts w:ascii="Times New Roman" w:hAnsi="Times New Roman"/>
        </w:rPr>
        <w:t>interview</w:t>
      </w:r>
      <w:r w:rsidRPr="00E31D76">
        <w:rPr>
          <w:rFonts w:ascii="Times New Roman" w:hAnsi="Times New Roman"/>
        </w:rPr>
        <w:t xml:space="preserve"> notes using Atlas.ti, a software system used for the qualitative analysis of large bodies of textual data.</w:t>
      </w:r>
    </w:p>
    <w:p w:rsidR="006D34F4" w:rsidRDefault="006D34F4" w:rsidP="006D34F4">
      <w:pPr>
        <w:pStyle w:val="Heading2Black"/>
        <w:rPr>
          <w:rFonts w:ascii="Times New Roman" w:hAnsi="Times New Roman"/>
        </w:rPr>
      </w:pPr>
      <w:bookmarkStart w:id="7" w:name="_Toc330974218"/>
      <w:r>
        <w:rPr>
          <w:rFonts w:ascii="Times New Roman" w:hAnsi="Times New Roman"/>
        </w:rPr>
        <w:t>4</w:t>
      </w:r>
      <w:r w:rsidRPr="003D1EDB">
        <w:rPr>
          <w:rFonts w:ascii="Times New Roman" w:hAnsi="Times New Roman"/>
        </w:rPr>
        <w:t>.</w:t>
      </w:r>
      <w:r w:rsidRPr="003D1EDB">
        <w:rPr>
          <w:rFonts w:ascii="Times New Roman" w:hAnsi="Times New Roman"/>
        </w:rPr>
        <w:tab/>
        <w:t>Efforts to Identify Duplication and Use of Similar Information</w:t>
      </w:r>
      <w:bookmarkEnd w:id="7"/>
    </w:p>
    <w:p w:rsidR="006D34F4" w:rsidRPr="00E31D76" w:rsidRDefault="006D34F4" w:rsidP="006D34F4">
      <w:pPr>
        <w:pStyle w:val="NormalSS"/>
        <w:rPr>
          <w:rFonts w:ascii="Times New Roman" w:hAnsi="Times New Roman"/>
        </w:rPr>
      </w:pPr>
      <w:r w:rsidRPr="00E31D76">
        <w:rPr>
          <w:rFonts w:ascii="Times New Roman" w:hAnsi="Times New Roman"/>
        </w:rPr>
        <w:t xml:space="preserve">The </w:t>
      </w:r>
      <w:r>
        <w:rPr>
          <w:rFonts w:ascii="Times New Roman" w:hAnsi="Times New Roman"/>
        </w:rPr>
        <w:t>individual and group interviews are intended to</w:t>
      </w:r>
      <w:r w:rsidRPr="00E31D76">
        <w:rPr>
          <w:rFonts w:ascii="Times New Roman" w:hAnsi="Times New Roman"/>
        </w:rPr>
        <w:t xml:space="preserve"> collect information for a new HRSA project</w:t>
      </w:r>
      <w:r>
        <w:rPr>
          <w:rFonts w:ascii="Times New Roman" w:hAnsi="Times New Roman"/>
        </w:rPr>
        <w:t xml:space="preserve">; the </w:t>
      </w:r>
      <w:r w:rsidRPr="00E31D76">
        <w:rPr>
          <w:rFonts w:ascii="Times New Roman" w:hAnsi="Times New Roman"/>
        </w:rPr>
        <w:t xml:space="preserve">information </w:t>
      </w:r>
      <w:r>
        <w:rPr>
          <w:rFonts w:ascii="Times New Roman" w:hAnsi="Times New Roman"/>
        </w:rPr>
        <w:t xml:space="preserve">collected </w:t>
      </w:r>
      <w:r w:rsidRPr="00E31D76">
        <w:rPr>
          <w:rFonts w:ascii="Times New Roman" w:hAnsi="Times New Roman"/>
        </w:rPr>
        <w:t xml:space="preserve">does not duplicate any other </w:t>
      </w:r>
      <w:r>
        <w:rPr>
          <w:rFonts w:ascii="Times New Roman" w:hAnsi="Times New Roman"/>
        </w:rPr>
        <w:t>HWC</w:t>
      </w:r>
      <w:r w:rsidRPr="00E31D76">
        <w:rPr>
          <w:rFonts w:ascii="Times New Roman" w:hAnsi="Times New Roman"/>
        </w:rPr>
        <w:t xml:space="preserve"> </w:t>
      </w:r>
      <w:r w:rsidR="005454F5">
        <w:rPr>
          <w:rFonts w:ascii="Times New Roman" w:hAnsi="Times New Roman"/>
        </w:rPr>
        <w:t>implementation study</w:t>
      </w:r>
      <w:r w:rsidR="005454F5" w:rsidRPr="00E31D76">
        <w:rPr>
          <w:rFonts w:ascii="Times New Roman" w:hAnsi="Times New Roman"/>
        </w:rPr>
        <w:t xml:space="preserve"> </w:t>
      </w:r>
      <w:r w:rsidRPr="00E31D76">
        <w:rPr>
          <w:rFonts w:ascii="Times New Roman" w:hAnsi="Times New Roman"/>
        </w:rPr>
        <w:t xml:space="preserve">activities. The </w:t>
      </w:r>
      <w:r>
        <w:rPr>
          <w:rFonts w:ascii="Times New Roman" w:hAnsi="Times New Roman"/>
        </w:rPr>
        <w:t>interview guides</w:t>
      </w:r>
      <w:r w:rsidRPr="00E31D76">
        <w:rPr>
          <w:rFonts w:ascii="Times New Roman" w:hAnsi="Times New Roman"/>
        </w:rPr>
        <w:t xml:space="preserve"> have been developed specifically for the </w:t>
      </w:r>
      <w:r>
        <w:rPr>
          <w:rFonts w:ascii="Times New Roman" w:hAnsi="Times New Roman"/>
        </w:rPr>
        <w:t>HWC</w:t>
      </w:r>
      <w:r w:rsidRPr="00E31D76">
        <w:rPr>
          <w:rFonts w:ascii="Times New Roman" w:hAnsi="Times New Roman"/>
        </w:rPr>
        <w:t xml:space="preserve"> </w:t>
      </w:r>
      <w:r w:rsidR="005454F5">
        <w:rPr>
          <w:rFonts w:ascii="Times New Roman" w:hAnsi="Times New Roman"/>
        </w:rPr>
        <w:t>implementation study</w:t>
      </w:r>
      <w:r w:rsidRPr="00E31D76">
        <w:rPr>
          <w:rFonts w:ascii="Times New Roman" w:hAnsi="Times New Roman"/>
        </w:rPr>
        <w:t xml:space="preserve">. The information collected through the </w:t>
      </w:r>
      <w:r>
        <w:rPr>
          <w:rFonts w:ascii="Times New Roman" w:hAnsi="Times New Roman"/>
        </w:rPr>
        <w:t>individual and group interviews</w:t>
      </w:r>
      <w:r w:rsidRPr="00E31D76">
        <w:rPr>
          <w:rFonts w:ascii="Times New Roman" w:hAnsi="Times New Roman"/>
        </w:rPr>
        <w:t xml:space="preserve"> will provide a unique and important opportunity to understand the experiences of the community teams, </w:t>
      </w:r>
      <w:r>
        <w:rPr>
          <w:rFonts w:ascii="Times New Roman" w:hAnsi="Times New Roman"/>
        </w:rPr>
        <w:t xml:space="preserve">and the </w:t>
      </w:r>
      <w:r w:rsidRPr="00E31D76">
        <w:rPr>
          <w:rFonts w:ascii="Times New Roman" w:hAnsi="Times New Roman"/>
        </w:rPr>
        <w:t xml:space="preserve">NICHQ leadership, the faculty, and project managers involved in </w:t>
      </w:r>
      <w:r w:rsidR="009E23C2">
        <w:rPr>
          <w:rFonts w:ascii="Times New Roman" w:hAnsi="Times New Roman"/>
        </w:rPr>
        <w:t xml:space="preserve">Phase 2 of </w:t>
      </w:r>
      <w:r w:rsidRPr="00E31D76">
        <w:rPr>
          <w:rFonts w:ascii="Times New Roman" w:hAnsi="Times New Roman"/>
        </w:rPr>
        <w:t xml:space="preserve">the </w:t>
      </w:r>
      <w:r>
        <w:rPr>
          <w:rFonts w:ascii="Times New Roman" w:hAnsi="Times New Roman"/>
        </w:rPr>
        <w:t>HWC</w:t>
      </w:r>
      <w:r w:rsidRPr="00E31D76">
        <w:rPr>
          <w:rFonts w:ascii="Times New Roman" w:hAnsi="Times New Roman"/>
        </w:rPr>
        <w:t xml:space="preserve"> project.</w:t>
      </w:r>
    </w:p>
    <w:p w:rsidR="006D34F4" w:rsidRDefault="006D34F4" w:rsidP="006D34F4">
      <w:pPr>
        <w:pStyle w:val="Heading2Black"/>
        <w:rPr>
          <w:rFonts w:ascii="Times New Roman" w:hAnsi="Times New Roman"/>
        </w:rPr>
      </w:pPr>
      <w:bookmarkStart w:id="8" w:name="_Toc330974219"/>
      <w:r>
        <w:rPr>
          <w:rFonts w:ascii="Times New Roman" w:hAnsi="Times New Roman"/>
        </w:rPr>
        <w:t>5</w:t>
      </w:r>
      <w:r w:rsidRPr="003D1EDB">
        <w:rPr>
          <w:rFonts w:ascii="Times New Roman" w:hAnsi="Times New Roman"/>
        </w:rPr>
        <w:t>.</w:t>
      </w:r>
      <w:r w:rsidRPr="003D1EDB">
        <w:rPr>
          <w:rFonts w:ascii="Times New Roman" w:hAnsi="Times New Roman"/>
        </w:rPr>
        <w:tab/>
        <w:t>Impact on Small Businesses or Other Small Entities</w:t>
      </w:r>
      <w:bookmarkEnd w:id="8"/>
    </w:p>
    <w:p w:rsidR="006D34F4" w:rsidRPr="00E31D76" w:rsidRDefault="006D34F4" w:rsidP="006D34F4">
      <w:pPr>
        <w:pStyle w:val="NormalSS"/>
        <w:rPr>
          <w:rFonts w:ascii="Times New Roman" w:hAnsi="Times New Roman"/>
        </w:rPr>
      </w:pPr>
      <w:r w:rsidRPr="00E31D76">
        <w:rPr>
          <w:rFonts w:ascii="Times New Roman" w:hAnsi="Times New Roman"/>
        </w:rPr>
        <w:t xml:space="preserve">The </w:t>
      </w:r>
      <w:r>
        <w:rPr>
          <w:rFonts w:ascii="Times New Roman" w:hAnsi="Times New Roman"/>
        </w:rPr>
        <w:t>HWC</w:t>
      </w:r>
      <w:r w:rsidRPr="00E31D76">
        <w:rPr>
          <w:rFonts w:ascii="Times New Roman" w:hAnsi="Times New Roman"/>
        </w:rPr>
        <w:t xml:space="preserve"> community teams are composed of physicians, academics, </w:t>
      </w:r>
      <w:r>
        <w:rPr>
          <w:rFonts w:ascii="Times New Roman" w:hAnsi="Times New Roman"/>
        </w:rPr>
        <w:t xml:space="preserve">program </w:t>
      </w:r>
      <w:r w:rsidRPr="00E31D76">
        <w:rPr>
          <w:rFonts w:ascii="Times New Roman" w:hAnsi="Times New Roman"/>
        </w:rPr>
        <w:t xml:space="preserve">managers, and </w:t>
      </w:r>
      <w:r>
        <w:rPr>
          <w:rFonts w:ascii="Times New Roman" w:hAnsi="Times New Roman"/>
        </w:rPr>
        <w:t xml:space="preserve">agency </w:t>
      </w:r>
      <w:r w:rsidRPr="00E31D76">
        <w:rPr>
          <w:rFonts w:ascii="Times New Roman" w:hAnsi="Times New Roman"/>
        </w:rPr>
        <w:t>administrators from several community sectors</w:t>
      </w:r>
      <w:r>
        <w:rPr>
          <w:rFonts w:ascii="Times New Roman" w:hAnsi="Times New Roman"/>
        </w:rPr>
        <w:t xml:space="preserve"> including</w:t>
      </w:r>
      <w:r w:rsidRPr="00E31D76">
        <w:rPr>
          <w:rFonts w:ascii="Times New Roman" w:hAnsi="Times New Roman"/>
        </w:rPr>
        <w:t>: primary care clinics, local public health department and city planning agencies, and community-based organizations including school districts, YMCAs, and community health coalitions. Team members can also be managers or administrators of child care centers, nonprofit organizations, and hospitals. NICHQ staff and faculty are not considered to be employees of small businesses or other small entities.</w:t>
      </w:r>
    </w:p>
    <w:p w:rsidR="006D34F4" w:rsidRPr="00E31D76" w:rsidRDefault="006D34F4" w:rsidP="006D34F4">
      <w:pPr>
        <w:pStyle w:val="NormalSS"/>
        <w:rPr>
          <w:rFonts w:ascii="Times New Roman" w:hAnsi="Times New Roman"/>
        </w:rPr>
      </w:pPr>
      <w:r w:rsidRPr="00E31D76">
        <w:rPr>
          <w:rFonts w:ascii="Times New Roman" w:hAnsi="Times New Roman"/>
        </w:rPr>
        <w:t xml:space="preserve">A small administrative burden will be placed on small organizations when their personnel will be invited to participate in the one-time </w:t>
      </w:r>
      <w:r w:rsidR="009E23C2">
        <w:rPr>
          <w:rFonts w:ascii="Times New Roman" w:hAnsi="Times New Roman"/>
        </w:rPr>
        <w:t xml:space="preserve">site visit </w:t>
      </w:r>
      <w:r>
        <w:rPr>
          <w:rFonts w:ascii="Times New Roman" w:hAnsi="Times New Roman"/>
        </w:rPr>
        <w:t>interviews</w:t>
      </w:r>
      <w:r w:rsidRPr="00E31D76">
        <w:rPr>
          <w:rFonts w:ascii="Times New Roman" w:hAnsi="Times New Roman"/>
        </w:rPr>
        <w:t xml:space="preserve">. These </w:t>
      </w:r>
      <w:r>
        <w:rPr>
          <w:rFonts w:ascii="Times New Roman" w:hAnsi="Times New Roman"/>
        </w:rPr>
        <w:t xml:space="preserve">interviews </w:t>
      </w:r>
      <w:r w:rsidRPr="00E31D76">
        <w:rPr>
          <w:rFonts w:ascii="Times New Roman" w:hAnsi="Times New Roman"/>
        </w:rPr>
        <w:t xml:space="preserve">will be conducted in person with the </w:t>
      </w:r>
      <w:r>
        <w:rPr>
          <w:rFonts w:ascii="Times New Roman" w:hAnsi="Times New Roman"/>
        </w:rPr>
        <w:t xml:space="preserve">team </w:t>
      </w:r>
      <w:r w:rsidR="009E23C2">
        <w:rPr>
          <w:rFonts w:ascii="Times New Roman" w:hAnsi="Times New Roman"/>
        </w:rPr>
        <w:t>lead</w:t>
      </w:r>
      <w:r>
        <w:rPr>
          <w:rFonts w:ascii="Times New Roman" w:hAnsi="Times New Roman"/>
        </w:rPr>
        <w:t>, data manager, and other community team members</w:t>
      </w:r>
      <w:r w:rsidRPr="00E31D76">
        <w:rPr>
          <w:rFonts w:ascii="Times New Roman" w:hAnsi="Times New Roman"/>
        </w:rPr>
        <w:t xml:space="preserve">. To minimize burden, </w:t>
      </w:r>
      <w:r>
        <w:rPr>
          <w:rFonts w:ascii="Times New Roman" w:hAnsi="Times New Roman"/>
        </w:rPr>
        <w:t xml:space="preserve">the </w:t>
      </w:r>
      <w:r w:rsidRPr="00E31D76">
        <w:rPr>
          <w:rFonts w:ascii="Times New Roman" w:hAnsi="Times New Roman"/>
        </w:rPr>
        <w:t xml:space="preserve">duration </w:t>
      </w:r>
      <w:r>
        <w:rPr>
          <w:rFonts w:ascii="Times New Roman" w:hAnsi="Times New Roman"/>
        </w:rPr>
        <w:t xml:space="preserve">of any interview </w:t>
      </w:r>
      <w:r w:rsidRPr="00E31D76">
        <w:rPr>
          <w:rFonts w:ascii="Times New Roman" w:hAnsi="Times New Roman"/>
        </w:rPr>
        <w:t xml:space="preserve">will be limited to 90 minutes and the times and locations of the </w:t>
      </w:r>
      <w:r>
        <w:rPr>
          <w:rFonts w:ascii="Times New Roman" w:hAnsi="Times New Roman"/>
        </w:rPr>
        <w:t>interviews</w:t>
      </w:r>
      <w:r w:rsidRPr="00E31D76">
        <w:rPr>
          <w:rFonts w:ascii="Times New Roman" w:hAnsi="Times New Roman"/>
        </w:rPr>
        <w:t xml:space="preserve"> will be convenient for all respondents.</w:t>
      </w:r>
    </w:p>
    <w:p w:rsidR="006D34F4" w:rsidRDefault="006D34F4" w:rsidP="006D34F4">
      <w:pPr>
        <w:pStyle w:val="Heading2Black"/>
        <w:rPr>
          <w:rFonts w:ascii="Times New Roman" w:hAnsi="Times New Roman"/>
        </w:rPr>
      </w:pPr>
      <w:bookmarkStart w:id="9" w:name="_Toc330974220"/>
      <w:r>
        <w:rPr>
          <w:rFonts w:ascii="Times New Roman" w:hAnsi="Times New Roman"/>
        </w:rPr>
        <w:t>6</w:t>
      </w:r>
      <w:r w:rsidRPr="003D1EDB">
        <w:rPr>
          <w:rFonts w:ascii="Times New Roman" w:hAnsi="Times New Roman"/>
        </w:rPr>
        <w:t>.</w:t>
      </w:r>
      <w:r w:rsidRPr="003D1EDB">
        <w:rPr>
          <w:rFonts w:ascii="Times New Roman" w:hAnsi="Times New Roman"/>
        </w:rPr>
        <w:tab/>
        <w:t>Consequence of Collecting the Information Less Frequently</w:t>
      </w:r>
      <w:bookmarkEnd w:id="9"/>
    </w:p>
    <w:p w:rsidR="006D34F4" w:rsidRPr="00E31D76" w:rsidRDefault="006D34F4" w:rsidP="006D34F4">
      <w:pPr>
        <w:pStyle w:val="NormalSS"/>
        <w:rPr>
          <w:rFonts w:ascii="Times New Roman" w:hAnsi="Times New Roman"/>
        </w:rPr>
      </w:pPr>
      <w:r w:rsidRPr="00E31D76">
        <w:rPr>
          <w:rFonts w:ascii="Times New Roman" w:hAnsi="Times New Roman"/>
        </w:rPr>
        <w:t xml:space="preserve">The </w:t>
      </w:r>
      <w:r>
        <w:rPr>
          <w:rFonts w:ascii="Times New Roman" w:hAnsi="Times New Roman"/>
        </w:rPr>
        <w:t>interviews</w:t>
      </w:r>
      <w:r w:rsidRPr="00E31D76">
        <w:rPr>
          <w:rFonts w:ascii="Times New Roman" w:hAnsi="Times New Roman"/>
        </w:rPr>
        <w:t xml:space="preserve"> will be conducted with </w:t>
      </w:r>
      <w:r w:rsidR="009E23C2">
        <w:rPr>
          <w:rFonts w:ascii="Times New Roman" w:hAnsi="Times New Roman"/>
        </w:rPr>
        <w:t xml:space="preserve">the community teams </w:t>
      </w:r>
      <w:r w:rsidRPr="00E31D76">
        <w:rPr>
          <w:rFonts w:ascii="Times New Roman" w:hAnsi="Times New Roman"/>
        </w:rPr>
        <w:t xml:space="preserve">on a one-time basis; that is, the teams interviewed will not be interviewed again. Data collected from observation of </w:t>
      </w:r>
      <w:r w:rsidR="009E23C2">
        <w:rPr>
          <w:rFonts w:ascii="Times New Roman" w:hAnsi="Times New Roman"/>
        </w:rPr>
        <w:t xml:space="preserve">Phase 2 </w:t>
      </w:r>
      <w:r w:rsidRPr="00E31D76">
        <w:rPr>
          <w:rFonts w:ascii="Times New Roman" w:hAnsi="Times New Roman"/>
        </w:rPr>
        <w:t xml:space="preserve">learning sessions and iLab activities, and the </w:t>
      </w:r>
      <w:r w:rsidR="009E23C2">
        <w:rPr>
          <w:rFonts w:ascii="Times New Roman" w:hAnsi="Times New Roman"/>
        </w:rPr>
        <w:t xml:space="preserve">Phase 2 </w:t>
      </w:r>
      <w:r w:rsidRPr="00E31D76">
        <w:rPr>
          <w:rFonts w:ascii="Times New Roman" w:hAnsi="Times New Roman"/>
        </w:rPr>
        <w:t xml:space="preserve">performance measurement data submitted by </w:t>
      </w:r>
      <w:r>
        <w:rPr>
          <w:rFonts w:ascii="Times New Roman" w:hAnsi="Times New Roman"/>
        </w:rPr>
        <w:t>HWC</w:t>
      </w:r>
      <w:r w:rsidRPr="00E31D76">
        <w:rPr>
          <w:rFonts w:ascii="Times New Roman" w:hAnsi="Times New Roman"/>
        </w:rPr>
        <w:t xml:space="preserve"> teams to the iLab, will not cause any additional burden on </w:t>
      </w:r>
      <w:r>
        <w:rPr>
          <w:rFonts w:ascii="Times New Roman" w:hAnsi="Times New Roman"/>
        </w:rPr>
        <w:t>HWC</w:t>
      </w:r>
      <w:r w:rsidRPr="00E31D76">
        <w:rPr>
          <w:rFonts w:ascii="Times New Roman" w:hAnsi="Times New Roman"/>
        </w:rPr>
        <w:t xml:space="preserve"> participants. There are no legal obstacles to reduce the burden.</w:t>
      </w:r>
    </w:p>
    <w:p w:rsidR="006D34F4" w:rsidRDefault="006D34F4" w:rsidP="006D34F4">
      <w:pPr>
        <w:pStyle w:val="Heading2Black"/>
        <w:rPr>
          <w:rFonts w:ascii="Times New Roman" w:hAnsi="Times New Roman"/>
        </w:rPr>
      </w:pPr>
      <w:bookmarkStart w:id="10" w:name="_Toc330974221"/>
      <w:r>
        <w:rPr>
          <w:rFonts w:ascii="Times New Roman" w:hAnsi="Times New Roman"/>
        </w:rPr>
        <w:lastRenderedPageBreak/>
        <w:t>7</w:t>
      </w:r>
      <w:r w:rsidRPr="003D1EDB">
        <w:rPr>
          <w:rFonts w:ascii="Times New Roman" w:hAnsi="Times New Roman"/>
        </w:rPr>
        <w:t>.</w:t>
      </w:r>
      <w:r w:rsidRPr="003D1EDB">
        <w:rPr>
          <w:rFonts w:ascii="Times New Roman" w:hAnsi="Times New Roman"/>
        </w:rPr>
        <w:tab/>
        <w:t>Special Circumstances Relating to the Guidelines of 5 CFR 1320.5</w:t>
      </w:r>
      <w:bookmarkEnd w:id="10"/>
    </w:p>
    <w:p w:rsidR="006D34F4" w:rsidRPr="00E31D76" w:rsidRDefault="006D34F4" w:rsidP="006D34F4">
      <w:pPr>
        <w:pStyle w:val="NormalSS"/>
        <w:rPr>
          <w:rFonts w:ascii="Times New Roman" w:hAnsi="Times New Roman"/>
        </w:rPr>
      </w:pPr>
      <w:r w:rsidRPr="00E31D76">
        <w:rPr>
          <w:rFonts w:ascii="Times New Roman" w:hAnsi="Times New Roman"/>
        </w:rPr>
        <w:t>This request fully complies with 5 CFR 1320.5. There are no special circumstances.</w:t>
      </w:r>
    </w:p>
    <w:p w:rsidR="006D34F4" w:rsidRPr="00AB1560" w:rsidRDefault="006D34F4" w:rsidP="006D34F4">
      <w:pPr>
        <w:pStyle w:val="Heading3"/>
        <w:rPr>
          <w:rFonts w:ascii="Times New Roman" w:hAnsi="Times New Roman"/>
        </w:rPr>
      </w:pPr>
      <w:bookmarkStart w:id="11" w:name="_Toc330974222"/>
      <w:r>
        <w:rPr>
          <w:rFonts w:ascii="Times New Roman" w:hAnsi="Times New Roman"/>
        </w:rPr>
        <w:t>8</w:t>
      </w:r>
      <w:r w:rsidRPr="003D1EDB">
        <w:rPr>
          <w:rFonts w:ascii="Times New Roman" w:hAnsi="Times New Roman"/>
        </w:rPr>
        <w:t>.</w:t>
      </w:r>
      <w:r w:rsidRPr="003D1EDB">
        <w:rPr>
          <w:rFonts w:ascii="Times New Roman" w:hAnsi="Times New Roman"/>
        </w:rPr>
        <w:tab/>
      </w:r>
      <w:r w:rsidRPr="00AB1560">
        <w:rPr>
          <w:rFonts w:ascii="Times New Roman" w:hAnsi="Times New Roman"/>
        </w:rPr>
        <w:t>Comments in Response to the Federal Register Notice/Outside Consultation</w:t>
      </w:r>
    </w:p>
    <w:p w:rsidR="006D34F4" w:rsidRPr="00AB1560" w:rsidRDefault="006D34F4" w:rsidP="006D34F4">
      <w:pPr>
        <w:pStyle w:val="NormalSS"/>
        <w:rPr>
          <w:rFonts w:ascii="Times New Roman" w:hAnsi="Times New Roman"/>
        </w:rPr>
      </w:pPr>
      <w:r w:rsidRPr="00AB1560">
        <w:rPr>
          <w:rFonts w:ascii="Times New Roman" w:hAnsi="Times New Roman"/>
          <w:b/>
        </w:rPr>
        <w:t>Public comments and responses.</w:t>
      </w:r>
      <w:r w:rsidRPr="00AB1560">
        <w:rPr>
          <w:rFonts w:ascii="Times New Roman" w:hAnsi="Times New Roman"/>
        </w:rPr>
        <w:t xml:space="preserve"> There were </w:t>
      </w:r>
      <w:r w:rsidRPr="00264C76">
        <w:rPr>
          <w:rFonts w:ascii="Times New Roman" w:hAnsi="Times New Roman"/>
        </w:rPr>
        <w:t>no public comments to</w:t>
      </w:r>
      <w:r w:rsidRPr="00AB1560">
        <w:rPr>
          <w:rFonts w:ascii="Times New Roman" w:hAnsi="Times New Roman"/>
        </w:rPr>
        <w:t xml:space="preserve"> the 60-day Federal Register Notice published on July 27</w:t>
      </w:r>
      <w:r w:rsidRPr="00AB1560">
        <w:rPr>
          <w:rFonts w:ascii="Times New Roman" w:hAnsi="Times New Roman"/>
          <w:vertAlign w:val="superscript"/>
        </w:rPr>
        <w:t>th</w:t>
      </w:r>
      <w:r w:rsidRPr="00AB1560">
        <w:rPr>
          <w:rFonts w:ascii="Times New Roman" w:hAnsi="Times New Roman"/>
        </w:rPr>
        <w:t xml:space="preserve"> (Nol. 77, No. 145). We have reserved Appendix </w:t>
      </w:r>
      <w:r>
        <w:rPr>
          <w:rFonts w:ascii="Times New Roman" w:hAnsi="Times New Roman"/>
        </w:rPr>
        <w:t>G</w:t>
      </w:r>
      <w:r w:rsidRPr="00AB1560">
        <w:rPr>
          <w:rFonts w:ascii="Times New Roman" w:hAnsi="Times New Roman"/>
        </w:rPr>
        <w:t xml:space="preserve"> as a placeholder for any comments based on the 30-day Federal Register Notice.</w:t>
      </w:r>
    </w:p>
    <w:p w:rsidR="006D34F4" w:rsidRPr="00212A13" w:rsidRDefault="006D34F4" w:rsidP="006D34F4">
      <w:pPr>
        <w:pStyle w:val="NormalSS"/>
        <w:rPr>
          <w:rFonts w:ascii="Times New Roman" w:hAnsi="Times New Roman"/>
        </w:rPr>
      </w:pPr>
      <w:r w:rsidRPr="00212A13">
        <w:rPr>
          <w:rFonts w:ascii="Times New Roman" w:hAnsi="Times New Roman"/>
          <w:b/>
        </w:rPr>
        <w:t xml:space="preserve">Consultation outside the agency. </w:t>
      </w:r>
      <w:bookmarkEnd w:id="11"/>
      <w:r w:rsidRPr="00212A13">
        <w:rPr>
          <w:rFonts w:ascii="Times New Roman" w:hAnsi="Times New Roman"/>
        </w:rPr>
        <w:t xml:space="preserve">In preparing this Office of Management and Budget (OMB) package, HRSA team pilot tested the community team interview protocol </w:t>
      </w:r>
      <w:r w:rsidR="00B029A5">
        <w:rPr>
          <w:rFonts w:ascii="Times New Roman" w:hAnsi="Times New Roman"/>
        </w:rPr>
        <w:t>with</w:t>
      </w:r>
      <w:r w:rsidRPr="00212A13">
        <w:rPr>
          <w:rFonts w:ascii="Times New Roman" w:hAnsi="Times New Roman"/>
        </w:rPr>
        <w:t xml:space="preserve"> one of the Phase 1 community teams in March 2012, consisting of seven respondents. The </w:t>
      </w:r>
      <w:r w:rsidR="00B029A5">
        <w:rPr>
          <w:rFonts w:ascii="Times New Roman" w:hAnsi="Times New Roman"/>
        </w:rPr>
        <w:t>implementation study</w:t>
      </w:r>
      <w:r w:rsidR="00B029A5" w:rsidRPr="00212A13">
        <w:rPr>
          <w:rFonts w:ascii="Times New Roman" w:hAnsi="Times New Roman"/>
        </w:rPr>
        <w:t xml:space="preserve"> </w:t>
      </w:r>
      <w:r w:rsidRPr="00212A13">
        <w:rPr>
          <w:rFonts w:ascii="Times New Roman" w:hAnsi="Times New Roman"/>
        </w:rPr>
        <w:t xml:space="preserve">team used this experience to revise the content and reduce the length of the </w:t>
      </w:r>
      <w:r w:rsidR="00B029A5">
        <w:rPr>
          <w:rFonts w:ascii="Times New Roman" w:hAnsi="Times New Roman"/>
        </w:rPr>
        <w:t xml:space="preserve">Phase 2 </w:t>
      </w:r>
      <w:r w:rsidRPr="00212A13">
        <w:rPr>
          <w:rFonts w:ascii="Times New Roman" w:hAnsi="Times New Roman"/>
        </w:rPr>
        <w:t>interview guide</w:t>
      </w:r>
      <w:r>
        <w:rPr>
          <w:rFonts w:ascii="Times New Roman" w:hAnsi="Times New Roman"/>
        </w:rPr>
        <w:t xml:space="preserve">s </w:t>
      </w:r>
      <w:r w:rsidR="00B029A5">
        <w:rPr>
          <w:rFonts w:ascii="Times New Roman" w:hAnsi="Times New Roman"/>
        </w:rPr>
        <w:t>(see attached appendices)</w:t>
      </w:r>
      <w:r>
        <w:rPr>
          <w:rFonts w:ascii="Times New Roman" w:hAnsi="Times New Roman"/>
        </w:rPr>
        <w:t>. In addition, the</w:t>
      </w:r>
      <w:r w:rsidR="00B029A5">
        <w:rPr>
          <w:rFonts w:ascii="Times New Roman" w:hAnsi="Times New Roman"/>
        </w:rPr>
        <w:t xml:space="preserve"> study team </w:t>
      </w:r>
      <w:r>
        <w:rPr>
          <w:rFonts w:ascii="Times New Roman" w:hAnsi="Times New Roman"/>
        </w:rPr>
        <w:t>reviewed several site visit interview protocols previously used in other similar studies under contract with HRSA and used that information to guide the general format and length of the HWC protocols.</w:t>
      </w:r>
    </w:p>
    <w:p w:rsidR="006D34F4" w:rsidRDefault="006D34F4" w:rsidP="006D34F4">
      <w:pPr>
        <w:pStyle w:val="Heading2Black"/>
        <w:rPr>
          <w:rFonts w:ascii="Times New Roman" w:hAnsi="Times New Roman"/>
        </w:rPr>
      </w:pPr>
      <w:bookmarkStart w:id="12" w:name="_Toc330974223"/>
      <w:r>
        <w:rPr>
          <w:rFonts w:ascii="Times New Roman" w:hAnsi="Times New Roman"/>
        </w:rPr>
        <w:t>9</w:t>
      </w:r>
      <w:r w:rsidRPr="003D1EDB">
        <w:rPr>
          <w:rFonts w:ascii="Times New Roman" w:hAnsi="Times New Roman"/>
        </w:rPr>
        <w:tab/>
        <w:t>Explanation of Any Payment/Gift to Respondents</w:t>
      </w:r>
      <w:bookmarkEnd w:id="12"/>
    </w:p>
    <w:p w:rsidR="006D34F4" w:rsidRPr="00E31D76" w:rsidRDefault="006D34F4" w:rsidP="006D34F4">
      <w:pPr>
        <w:pStyle w:val="NormalSS"/>
        <w:rPr>
          <w:rFonts w:ascii="Times New Roman" w:hAnsi="Times New Roman"/>
        </w:rPr>
      </w:pPr>
      <w:r w:rsidRPr="00E31D76">
        <w:rPr>
          <w:rFonts w:ascii="Times New Roman" w:hAnsi="Times New Roman"/>
        </w:rPr>
        <w:t xml:space="preserve">No payments will be made to </w:t>
      </w:r>
      <w:r w:rsidR="00B029A5">
        <w:rPr>
          <w:rFonts w:ascii="Times New Roman" w:hAnsi="Times New Roman"/>
        </w:rPr>
        <w:t xml:space="preserve">community </w:t>
      </w:r>
      <w:r w:rsidRPr="00E31D76">
        <w:rPr>
          <w:rFonts w:ascii="Times New Roman" w:hAnsi="Times New Roman"/>
        </w:rPr>
        <w:t xml:space="preserve">team members or NICHQ leaders, faculty, or project managers for </w:t>
      </w:r>
      <w:r w:rsidR="00B029A5">
        <w:rPr>
          <w:rFonts w:ascii="Times New Roman" w:hAnsi="Times New Roman"/>
        </w:rPr>
        <w:t xml:space="preserve">their </w:t>
      </w:r>
      <w:r w:rsidRPr="00E31D76">
        <w:rPr>
          <w:rFonts w:ascii="Times New Roman" w:hAnsi="Times New Roman"/>
        </w:rPr>
        <w:t xml:space="preserve">participation in </w:t>
      </w:r>
      <w:r w:rsidR="00B029A5">
        <w:rPr>
          <w:rFonts w:ascii="Times New Roman" w:hAnsi="Times New Roman"/>
        </w:rPr>
        <w:t xml:space="preserve">the </w:t>
      </w:r>
      <w:r>
        <w:rPr>
          <w:rFonts w:ascii="Times New Roman" w:hAnsi="Times New Roman"/>
        </w:rPr>
        <w:t>interviews</w:t>
      </w:r>
      <w:r w:rsidRPr="00E31D76">
        <w:rPr>
          <w:rFonts w:ascii="Times New Roman" w:hAnsi="Times New Roman"/>
        </w:rPr>
        <w:t>.</w:t>
      </w:r>
    </w:p>
    <w:p w:rsidR="006D34F4" w:rsidRDefault="006D34F4" w:rsidP="006D34F4">
      <w:pPr>
        <w:pStyle w:val="Heading2Black"/>
        <w:rPr>
          <w:rFonts w:ascii="Times New Roman" w:hAnsi="Times New Roman"/>
        </w:rPr>
      </w:pPr>
      <w:bookmarkStart w:id="13" w:name="_Toc330974224"/>
      <w:r>
        <w:rPr>
          <w:rFonts w:ascii="Times New Roman" w:hAnsi="Times New Roman"/>
        </w:rPr>
        <w:t>10</w:t>
      </w:r>
      <w:r w:rsidRPr="003D1EDB">
        <w:rPr>
          <w:rFonts w:ascii="Times New Roman" w:hAnsi="Times New Roman"/>
        </w:rPr>
        <w:t>.</w:t>
      </w:r>
      <w:r w:rsidRPr="003D1EDB">
        <w:rPr>
          <w:rFonts w:ascii="Times New Roman" w:hAnsi="Times New Roman"/>
        </w:rPr>
        <w:tab/>
        <w:t>Assurance of Confidentiality Provided to Respondents</w:t>
      </w:r>
      <w:bookmarkEnd w:id="13"/>
    </w:p>
    <w:p w:rsidR="006D34F4" w:rsidRPr="00E31D76" w:rsidRDefault="006D34F4" w:rsidP="006D34F4">
      <w:pPr>
        <w:pStyle w:val="NormalSS"/>
        <w:rPr>
          <w:rFonts w:ascii="Times New Roman" w:hAnsi="Times New Roman"/>
        </w:rPr>
      </w:pPr>
      <w:r>
        <w:rPr>
          <w:rFonts w:ascii="Times New Roman" w:hAnsi="Times New Roman"/>
        </w:rPr>
        <w:t>HRSA</w:t>
      </w:r>
      <w:r w:rsidRPr="00E31D76">
        <w:rPr>
          <w:rFonts w:ascii="Times New Roman" w:hAnsi="Times New Roman"/>
        </w:rPr>
        <w:t xml:space="preserve"> will take several steps to assure respondents that the information they provide through</w:t>
      </w:r>
      <w:r w:rsidR="00665C69">
        <w:rPr>
          <w:rFonts w:ascii="Times New Roman" w:hAnsi="Times New Roman"/>
        </w:rPr>
        <w:t xml:space="preserve"> Phase 2</w:t>
      </w:r>
      <w:r w:rsidRPr="00E31D76">
        <w:rPr>
          <w:rFonts w:ascii="Times New Roman" w:hAnsi="Times New Roman"/>
        </w:rPr>
        <w:t xml:space="preserve"> </w:t>
      </w:r>
      <w:r>
        <w:rPr>
          <w:rFonts w:ascii="Times New Roman" w:hAnsi="Times New Roman"/>
        </w:rPr>
        <w:t>interviews</w:t>
      </w:r>
      <w:r w:rsidRPr="00E31D76">
        <w:rPr>
          <w:rFonts w:ascii="Times New Roman" w:hAnsi="Times New Roman"/>
        </w:rPr>
        <w:t>, iLab and learning session activit</w:t>
      </w:r>
      <w:r>
        <w:rPr>
          <w:rFonts w:ascii="Times New Roman" w:hAnsi="Times New Roman"/>
        </w:rPr>
        <w:t>ies</w:t>
      </w:r>
      <w:r w:rsidRPr="00E31D76">
        <w:rPr>
          <w:rFonts w:ascii="Times New Roman" w:hAnsi="Times New Roman"/>
        </w:rPr>
        <w:t xml:space="preserve">, and submission of </w:t>
      </w:r>
      <w:r>
        <w:rPr>
          <w:rFonts w:ascii="Times New Roman" w:hAnsi="Times New Roman"/>
        </w:rPr>
        <w:t xml:space="preserve">HWC performance </w:t>
      </w:r>
      <w:r w:rsidRPr="00E31D76">
        <w:rPr>
          <w:rFonts w:ascii="Times New Roman" w:hAnsi="Times New Roman"/>
        </w:rPr>
        <w:t xml:space="preserve">measures will be kept private to the extent allowed by law and will be used for informational purposes only. Before each </w:t>
      </w:r>
      <w:r>
        <w:rPr>
          <w:rFonts w:ascii="Times New Roman" w:hAnsi="Times New Roman"/>
        </w:rPr>
        <w:t>individual or group interview</w:t>
      </w:r>
      <w:r w:rsidRPr="00E31D76">
        <w:rPr>
          <w:rFonts w:ascii="Times New Roman" w:hAnsi="Times New Roman"/>
        </w:rPr>
        <w:t xml:space="preserve">, the interviewer will read a confidentiality statement assuring the respondents that none of their comments will be attributable to them individually or to their organization, that their participation is voluntary, and that their decision to participate will have no impact on their </w:t>
      </w:r>
      <w:r>
        <w:rPr>
          <w:rFonts w:ascii="Times New Roman" w:hAnsi="Times New Roman"/>
        </w:rPr>
        <w:t>HWC</w:t>
      </w:r>
      <w:r w:rsidRPr="00E31D76">
        <w:rPr>
          <w:rFonts w:ascii="Times New Roman" w:hAnsi="Times New Roman"/>
        </w:rPr>
        <w:t xml:space="preserve"> funding. Before the </w:t>
      </w:r>
      <w:r w:rsidR="00665C69">
        <w:rPr>
          <w:rFonts w:ascii="Times New Roman" w:hAnsi="Times New Roman"/>
        </w:rPr>
        <w:t xml:space="preserve">site visit </w:t>
      </w:r>
      <w:r>
        <w:rPr>
          <w:rFonts w:ascii="Times New Roman" w:hAnsi="Times New Roman"/>
        </w:rPr>
        <w:t>interview</w:t>
      </w:r>
      <w:r w:rsidR="00665C69">
        <w:rPr>
          <w:rFonts w:ascii="Times New Roman" w:hAnsi="Times New Roman"/>
        </w:rPr>
        <w:t>s</w:t>
      </w:r>
      <w:r w:rsidRPr="00E31D76">
        <w:rPr>
          <w:rFonts w:ascii="Times New Roman" w:hAnsi="Times New Roman"/>
        </w:rPr>
        <w:t xml:space="preserve">, </w:t>
      </w:r>
      <w:proofErr w:type="spellStart"/>
      <w:r w:rsidR="00665C69">
        <w:rPr>
          <w:rFonts w:ascii="Times New Roman" w:hAnsi="Times New Roman"/>
        </w:rPr>
        <w:t>Mathematica</w:t>
      </w:r>
      <w:proofErr w:type="spellEnd"/>
      <w:r w:rsidR="00665C69" w:rsidRPr="00E31D76">
        <w:rPr>
          <w:rFonts w:ascii="Times New Roman" w:hAnsi="Times New Roman"/>
        </w:rPr>
        <w:t xml:space="preserve"> </w:t>
      </w:r>
      <w:r w:rsidRPr="00E31D76">
        <w:rPr>
          <w:rFonts w:ascii="Times New Roman" w:hAnsi="Times New Roman"/>
        </w:rPr>
        <w:t xml:space="preserve">will also send </w:t>
      </w:r>
      <w:r w:rsidR="00665C69">
        <w:rPr>
          <w:rFonts w:ascii="Times New Roman" w:hAnsi="Times New Roman"/>
        </w:rPr>
        <w:t xml:space="preserve">the team leads </w:t>
      </w:r>
      <w:r w:rsidRPr="00E31D76">
        <w:rPr>
          <w:rFonts w:ascii="Times New Roman" w:hAnsi="Times New Roman"/>
        </w:rPr>
        <w:t xml:space="preserve">an email requesting their </w:t>
      </w:r>
      <w:r w:rsidR="00665C69">
        <w:rPr>
          <w:rFonts w:ascii="Times New Roman" w:hAnsi="Times New Roman"/>
        </w:rPr>
        <w:t xml:space="preserve">team’s </w:t>
      </w:r>
      <w:r w:rsidRPr="00E31D76">
        <w:rPr>
          <w:rFonts w:ascii="Times New Roman" w:hAnsi="Times New Roman"/>
        </w:rPr>
        <w:t xml:space="preserve">participation and containing the same set of assurances. In addition, </w:t>
      </w:r>
      <w:r w:rsidR="00665C69">
        <w:rPr>
          <w:rFonts w:ascii="Times New Roman" w:hAnsi="Times New Roman"/>
        </w:rPr>
        <w:t xml:space="preserve">interview participants </w:t>
      </w:r>
      <w:r w:rsidRPr="00E31D76">
        <w:rPr>
          <w:rFonts w:ascii="Times New Roman" w:hAnsi="Times New Roman"/>
        </w:rPr>
        <w:t xml:space="preserve">will be asked to sign written consent forms that repeat the assurances listed above (see </w:t>
      </w:r>
      <w:r>
        <w:rPr>
          <w:rFonts w:ascii="Times New Roman" w:hAnsi="Times New Roman"/>
        </w:rPr>
        <w:t xml:space="preserve">Appendix </w:t>
      </w:r>
      <w:r w:rsidRPr="00E31D76">
        <w:rPr>
          <w:rFonts w:ascii="Times New Roman" w:hAnsi="Times New Roman"/>
        </w:rPr>
        <w:t>B).</w:t>
      </w:r>
    </w:p>
    <w:p w:rsidR="006D34F4" w:rsidRPr="00E31D76" w:rsidRDefault="006D34F4" w:rsidP="006D34F4">
      <w:pPr>
        <w:pStyle w:val="NormalSS"/>
        <w:rPr>
          <w:rFonts w:ascii="Times New Roman" w:hAnsi="Times New Roman"/>
        </w:rPr>
      </w:pPr>
      <w:r w:rsidRPr="00E31D76">
        <w:rPr>
          <w:rFonts w:ascii="Times New Roman" w:hAnsi="Times New Roman"/>
        </w:rPr>
        <w:t xml:space="preserve">After each </w:t>
      </w:r>
      <w:r>
        <w:rPr>
          <w:rFonts w:ascii="Times New Roman" w:hAnsi="Times New Roman"/>
        </w:rPr>
        <w:t>interview</w:t>
      </w:r>
      <w:r w:rsidRPr="00E31D76">
        <w:rPr>
          <w:rFonts w:ascii="Times New Roman" w:hAnsi="Times New Roman"/>
        </w:rPr>
        <w:t xml:space="preserve">, interviewers will summarize discussion notes in Microsoft Word files that will be saved on a secure server. Notes from </w:t>
      </w:r>
      <w:r w:rsidR="00665C69">
        <w:rPr>
          <w:rFonts w:ascii="Times New Roman" w:hAnsi="Times New Roman"/>
        </w:rPr>
        <w:t xml:space="preserve">the Phase 2 </w:t>
      </w:r>
      <w:r w:rsidRPr="00E31D76">
        <w:rPr>
          <w:rFonts w:ascii="Times New Roman" w:hAnsi="Times New Roman"/>
        </w:rPr>
        <w:t xml:space="preserve">learning sessions, observations of </w:t>
      </w:r>
      <w:proofErr w:type="spellStart"/>
      <w:r w:rsidRPr="00E31D76">
        <w:rPr>
          <w:rFonts w:ascii="Times New Roman" w:hAnsi="Times New Roman"/>
        </w:rPr>
        <w:t>iLab</w:t>
      </w:r>
      <w:proofErr w:type="spellEnd"/>
      <w:r w:rsidRPr="00E31D76">
        <w:rPr>
          <w:rFonts w:ascii="Times New Roman" w:hAnsi="Times New Roman"/>
        </w:rPr>
        <w:t xml:space="preserve"> activities, and </w:t>
      </w:r>
      <w:r w:rsidR="00665C69">
        <w:rPr>
          <w:rFonts w:ascii="Times New Roman" w:hAnsi="Times New Roman"/>
        </w:rPr>
        <w:t xml:space="preserve">performance measurement </w:t>
      </w:r>
      <w:r w:rsidRPr="00E31D76">
        <w:rPr>
          <w:rFonts w:ascii="Times New Roman" w:hAnsi="Times New Roman"/>
        </w:rPr>
        <w:t xml:space="preserve">data submitted by </w:t>
      </w:r>
      <w:r>
        <w:rPr>
          <w:rFonts w:ascii="Times New Roman" w:hAnsi="Times New Roman"/>
        </w:rPr>
        <w:t>HWC</w:t>
      </w:r>
      <w:r w:rsidRPr="00E31D76">
        <w:rPr>
          <w:rFonts w:ascii="Times New Roman" w:hAnsi="Times New Roman"/>
        </w:rPr>
        <w:t xml:space="preserve"> teams will also be stored on the secure server. The notes will not identify speakers by name and the moderator will not use names in the notes.</w:t>
      </w:r>
      <w:r>
        <w:rPr>
          <w:rFonts w:ascii="Times New Roman" w:hAnsi="Times New Roman"/>
        </w:rPr>
        <w:t xml:space="preserve"> </w:t>
      </w:r>
      <w:r w:rsidRPr="00E31D76">
        <w:rPr>
          <w:rFonts w:ascii="Times New Roman" w:hAnsi="Times New Roman"/>
        </w:rPr>
        <w:t xml:space="preserve">All </w:t>
      </w:r>
      <w:r w:rsidR="00665C69">
        <w:rPr>
          <w:rFonts w:ascii="Times New Roman" w:hAnsi="Times New Roman"/>
        </w:rPr>
        <w:t xml:space="preserve">implementation study </w:t>
      </w:r>
      <w:r>
        <w:rPr>
          <w:rFonts w:ascii="Times New Roman" w:hAnsi="Times New Roman"/>
        </w:rPr>
        <w:t>team</w:t>
      </w:r>
      <w:r w:rsidRPr="00E31D76">
        <w:rPr>
          <w:rFonts w:ascii="Times New Roman" w:hAnsi="Times New Roman"/>
        </w:rPr>
        <w:t xml:space="preserve"> staff sign a confidentiality pledge as a term of employment; the confidentiality pledge requires that staff maintain the confidentiality of all information collected. </w:t>
      </w:r>
      <w:r>
        <w:rPr>
          <w:rFonts w:ascii="Times New Roman" w:hAnsi="Times New Roman"/>
        </w:rPr>
        <w:t xml:space="preserve">The </w:t>
      </w:r>
      <w:r w:rsidR="00665C69">
        <w:rPr>
          <w:rFonts w:ascii="Times New Roman" w:hAnsi="Times New Roman"/>
        </w:rPr>
        <w:t xml:space="preserve">study </w:t>
      </w:r>
      <w:r>
        <w:rPr>
          <w:rFonts w:ascii="Times New Roman" w:hAnsi="Times New Roman"/>
        </w:rPr>
        <w:t>team</w:t>
      </w:r>
      <w:r w:rsidRPr="00E31D76">
        <w:rPr>
          <w:rFonts w:ascii="Times New Roman" w:hAnsi="Times New Roman"/>
        </w:rPr>
        <w:t xml:space="preserve"> protects its local area network (LAN) with several security mechanisms available through the network operating system. Access to private information stored on LAN directories is restricted to authorized project staff by means of IDs and passwords. In addition, network servers containing private information are kept in a locked area. At the end of the project, tape recordings from </w:t>
      </w:r>
      <w:r>
        <w:rPr>
          <w:rFonts w:ascii="Times New Roman" w:hAnsi="Times New Roman"/>
        </w:rPr>
        <w:t xml:space="preserve">the interviews </w:t>
      </w:r>
      <w:r w:rsidRPr="00E31D76">
        <w:rPr>
          <w:rFonts w:ascii="Times New Roman" w:hAnsi="Times New Roman"/>
        </w:rPr>
        <w:t>will be destroyed.</w:t>
      </w:r>
    </w:p>
    <w:p w:rsidR="006D34F4" w:rsidRDefault="006D34F4" w:rsidP="006D34F4">
      <w:pPr>
        <w:pStyle w:val="Heading2Black"/>
        <w:rPr>
          <w:rFonts w:ascii="Times New Roman" w:hAnsi="Times New Roman"/>
        </w:rPr>
      </w:pPr>
      <w:bookmarkStart w:id="14" w:name="_Toc330974225"/>
      <w:r>
        <w:rPr>
          <w:rFonts w:ascii="Times New Roman" w:hAnsi="Times New Roman"/>
        </w:rPr>
        <w:lastRenderedPageBreak/>
        <w:t>11</w:t>
      </w:r>
      <w:r w:rsidRPr="003D1EDB">
        <w:rPr>
          <w:rFonts w:ascii="Times New Roman" w:hAnsi="Times New Roman"/>
        </w:rPr>
        <w:t>.</w:t>
      </w:r>
      <w:r w:rsidRPr="003D1EDB">
        <w:rPr>
          <w:rFonts w:ascii="Times New Roman" w:hAnsi="Times New Roman"/>
        </w:rPr>
        <w:tab/>
        <w:t>Justification for Sensitive Questions</w:t>
      </w:r>
      <w:bookmarkEnd w:id="14"/>
    </w:p>
    <w:p w:rsidR="006D34F4" w:rsidRPr="00E31D76" w:rsidRDefault="006D34F4" w:rsidP="006D34F4">
      <w:pPr>
        <w:pStyle w:val="NormalSS"/>
        <w:rPr>
          <w:rFonts w:ascii="Times New Roman" w:hAnsi="Times New Roman"/>
        </w:rPr>
      </w:pPr>
      <w:r w:rsidRPr="00E31D76">
        <w:rPr>
          <w:rFonts w:ascii="Times New Roman" w:hAnsi="Times New Roman"/>
        </w:rPr>
        <w:t xml:space="preserve">The </w:t>
      </w:r>
      <w:r w:rsidR="00665C69">
        <w:rPr>
          <w:rFonts w:ascii="Times New Roman" w:hAnsi="Times New Roman"/>
        </w:rPr>
        <w:t xml:space="preserve">Phase 2 </w:t>
      </w:r>
      <w:r>
        <w:rPr>
          <w:rFonts w:ascii="Times New Roman" w:hAnsi="Times New Roman"/>
        </w:rPr>
        <w:t xml:space="preserve">interview guides do </w:t>
      </w:r>
      <w:r w:rsidRPr="00E31D76">
        <w:rPr>
          <w:rFonts w:ascii="Times New Roman" w:hAnsi="Times New Roman"/>
        </w:rPr>
        <w:t xml:space="preserve">not contain any sensitive questions. Respondents will not be asked about their personal information; rather, they will be asked for information about their professional background, </w:t>
      </w:r>
      <w:r>
        <w:rPr>
          <w:rFonts w:ascii="Times New Roman" w:hAnsi="Times New Roman"/>
        </w:rPr>
        <w:t>project</w:t>
      </w:r>
      <w:r w:rsidRPr="00E31D76">
        <w:rPr>
          <w:rFonts w:ascii="Times New Roman" w:hAnsi="Times New Roman"/>
        </w:rPr>
        <w:t xml:space="preserve"> goals and objectives, involvement in </w:t>
      </w:r>
      <w:r w:rsidR="00665C69">
        <w:rPr>
          <w:rFonts w:ascii="Times New Roman" w:hAnsi="Times New Roman"/>
        </w:rPr>
        <w:t xml:space="preserve">Phase 2 </w:t>
      </w:r>
      <w:r w:rsidRPr="00E31D76">
        <w:rPr>
          <w:rFonts w:ascii="Times New Roman" w:hAnsi="Times New Roman"/>
        </w:rPr>
        <w:t xml:space="preserve">implementation activities, and perceived outcomes of the </w:t>
      </w:r>
      <w:r w:rsidR="00665C69">
        <w:rPr>
          <w:rFonts w:ascii="Times New Roman" w:hAnsi="Times New Roman"/>
        </w:rPr>
        <w:t xml:space="preserve">HWC </w:t>
      </w:r>
      <w:r w:rsidRPr="00E31D76">
        <w:rPr>
          <w:rFonts w:ascii="Times New Roman" w:hAnsi="Times New Roman"/>
        </w:rPr>
        <w:t xml:space="preserve">project. </w:t>
      </w:r>
      <w:r>
        <w:rPr>
          <w:rFonts w:ascii="Times New Roman" w:hAnsi="Times New Roman"/>
        </w:rPr>
        <w:t>The interviews</w:t>
      </w:r>
      <w:r w:rsidRPr="00E31D76">
        <w:rPr>
          <w:rFonts w:ascii="Times New Roman" w:hAnsi="Times New Roman"/>
        </w:rPr>
        <w:t xml:space="preserve"> will cover the </w:t>
      </w:r>
      <w:r>
        <w:rPr>
          <w:rFonts w:ascii="Times New Roman" w:hAnsi="Times New Roman"/>
        </w:rPr>
        <w:t>respondent’s</w:t>
      </w:r>
      <w:r w:rsidRPr="00E31D76">
        <w:rPr>
          <w:rFonts w:ascii="Times New Roman" w:hAnsi="Times New Roman"/>
        </w:rPr>
        <w:t xml:space="preserve"> engagement in </w:t>
      </w:r>
      <w:r w:rsidR="00665C69">
        <w:rPr>
          <w:rFonts w:ascii="Times New Roman" w:hAnsi="Times New Roman"/>
        </w:rPr>
        <w:t xml:space="preserve">Phase 2 of </w:t>
      </w:r>
      <w:r w:rsidRPr="00E31D76">
        <w:rPr>
          <w:rFonts w:ascii="Times New Roman" w:hAnsi="Times New Roman"/>
        </w:rPr>
        <w:t xml:space="preserve">the project; participation in </w:t>
      </w:r>
      <w:r w:rsidR="00665C69">
        <w:rPr>
          <w:rFonts w:ascii="Times New Roman" w:hAnsi="Times New Roman"/>
        </w:rPr>
        <w:t xml:space="preserve">specific </w:t>
      </w:r>
      <w:r>
        <w:rPr>
          <w:rFonts w:ascii="Times New Roman" w:hAnsi="Times New Roman"/>
        </w:rPr>
        <w:t>HWC</w:t>
      </w:r>
      <w:r w:rsidRPr="00E31D76">
        <w:rPr>
          <w:rFonts w:ascii="Times New Roman" w:hAnsi="Times New Roman"/>
        </w:rPr>
        <w:t xml:space="preserve"> events and activities; community-level results of team efforts; and feedback and recommendations for how to improve </w:t>
      </w:r>
      <w:r>
        <w:rPr>
          <w:rFonts w:ascii="Times New Roman" w:hAnsi="Times New Roman"/>
        </w:rPr>
        <w:t>key</w:t>
      </w:r>
      <w:r w:rsidRPr="00E31D76">
        <w:rPr>
          <w:rFonts w:ascii="Times New Roman" w:hAnsi="Times New Roman"/>
        </w:rPr>
        <w:t xml:space="preserve"> project components, including the </w:t>
      </w:r>
      <w:r>
        <w:rPr>
          <w:rFonts w:ascii="Times New Roman" w:hAnsi="Times New Roman"/>
        </w:rPr>
        <w:t xml:space="preserve">HWC </w:t>
      </w:r>
      <w:r w:rsidRPr="00E31D76">
        <w:rPr>
          <w:rFonts w:ascii="Times New Roman" w:hAnsi="Times New Roman"/>
        </w:rPr>
        <w:t xml:space="preserve">change package, </w:t>
      </w:r>
      <w:r>
        <w:rPr>
          <w:rFonts w:ascii="Times New Roman" w:hAnsi="Times New Roman"/>
        </w:rPr>
        <w:t xml:space="preserve">the format and content of the virtual </w:t>
      </w:r>
      <w:r w:rsidRPr="00E31D76">
        <w:rPr>
          <w:rFonts w:ascii="Times New Roman" w:hAnsi="Times New Roman"/>
        </w:rPr>
        <w:t xml:space="preserve">learning </w:t>
      </w:r>
      <w:r>
        <w:rPr>
          <w:rFonts w:ascii="Times New Roman" w:hAnsi="Times New Roman"/>
        </w:rPr>
        <w:t xml:space="preserve">series, </w:t>
      </w:r>
      <w:r w:rsidRPr="00E31D76">
        <w:rPr>
          <w:rFonts w:ascii="Times New Roman" w:hAnsi="Times New Roman"/>
        </w:rPr>
        <w:t xml:space="preserve">, the </w:t>
      </w:r>
      <w:r>
        <w:rPr>
          <w:rFonts w:ascii="Times New Roman" w:hAnsi="Times New Roman"/>
        </w:rPr>
        <w:t xml:space="preserve">functionality of the </w:t>
      </w:r>
      <w:r w:rsidRPr="00E31D76">
        <w:rPr>
          <w:rFonts w:ascii="Times New Roman" w:hAnsi="Times New Roman"/>
        </w:rPr>
        <w:t xml:space="preserve">iLab, the value of </w:t>
      </w:r>
      <w:r>
        <w:rPr>
          <w:rFonts w:ascii="Times New Roman" w:hAnsi="Times New Roman"/>
        </w:rPr>
        <w:t xml:space="preserve">collecting and reporting </w:t>
      </w:r>
      <w:r w:rsidRPr="00E31D76">
        <w:rPr>
          <w:rFonts w:ascii="Times New Roman" w:hAnsi="Times New Roman"/>
        </w:rPr>
        <w:t>the project’s performance measures, and the adequacy of the funding and other supports provided</w:t>
      </w:r>
      <w:r>
        <w:rPr>
          <w:rFonts w:ascii="Times New Roman" w:hAnsi="Times New Roman"/>
        </w:rPr>
        <w:t xml:space="preserve"> to the Phase 1 and Phase 2 teams</w:t>
      </w:r>
      <w:r w:rsidRPr="00E31D76">
        <w:rPr>
          <w:rFonts w:ascii="Times New Roman" w:hAnsi="Times New Roman"/>
        </w:rPr>
        <w:t>.</w:t>
      </w:r>
    </w:p>
    <w:p w:rsidR="006D34F4" w:rsidRDefault="006D34F4" w:rsidP="006D34F4">
      <w:pPr>
        <w:pStyle w:val="Heading2Black"/>
        <w:rPr>
          <w:rFonts w:ascii="Times New Roman" w:hAnsi="Times New Roman"/>
        </w:rPr>
      </w:pPr>
      <w:bookmarkStart w:id="15" w:name="_Toc316466920"/>
      <w:bookmarkStart w:id="16" w:name="_Toc330974226"/>
      <w:r>
        <w:rPr>
          <w:rFonts w:ascii="Times New Roman" w:hAnsi="Times New Roman"/>
        </w:rPr>
        <w:t>12</w:t>
      </w:r>
      <w:r w:rsidRPr="003D1EDB">
        <w:rPr>
          <w:rFonts w:ascii="Times New Roman" w:hAnsi="Times New Roman"/>
        </w:rPr>
        <w:t>.</w:t>
      </w:r>
      <w:r w:rsidRPr="003D1EDB">
        <w:rPr>
          <w:rFonts w:ascii="Times New Roman" w:hAnsi="Times New Roman"/>
        </w:rPr>
        <w:tab/>
        <w:t>Estimates of Annualized Hour and Cost Burden</w:t>
      </w:r>
      <w:bookmarkEnd w:id="15"/>
      <w:bookmarkEnd w:id="16"/>
    </w:p>
    <w:p w:rsidR="006D34F4" w:rsidRPr="00E31D76" w:rsidRDefault="006D34F4" w:rsidP="006D34F4">
      <w:pPr>
        <w:pStyle w:val="NormalSS"/>
        <w:rPr>
          <w:rFonts w:ascii="Times New Roman" w:hAnsi="Times New Roman"/>
        </w:rPr>
      </w:pPr>
      <w:r w:rsidRPr="00E31D76">
        <w:rPr>
          <w:rFonts w:ascii="Times New Roman" w:hAnsi="Times New Roman"/>
        </w:rPr>
        <w:t xml:space="preserve">Tables A.1 and A.2 present </w:t>
      </w:r>
      <w:r>
        <w:rPr>
          <w:rFonts w:ascii="Times New Roman" w:hAnsi="Times New Roman"/>
        </w:rPr>
        <w:t xml:space="preserve">our </w:t>
      </w:r>
      <w:r w:rsidRPr="00E31D76">
        <w:rPr>
          <w:rFonts w:ascii="Times New Roman" w:hAnsi="Times New Roman"/>
        </w:rPr>
        <w:t xml:space="preserve">estimates of respondent burden for participating in </w:t>
      </w:r>
      <w:r w:rsidR="00665C69">
        <w:rPr>
          <w:rFonts w:ascii="Times New Roman" w:hAnsi="Times New Roman"/>
        </w:rPr>
        <w:t xml:space="preserve">the Phase 2 </w:t>
      </w:r>
      <w:r>
        <w:rPr>
          <w:rFonts w:ascii="Times New Roman" w:hAnsi="Times New Roman"/>
        </w:rPr>
        <w:t>interviews</w:t>
      </w:r>
      <w:r w:rsidRPr="00E31D76">
        <w:rPr>
          <w:rFonts w:ascii="Times New Roman" w:hAnsi="Times New Roman"/>
        </w:rPr>
        <w:t xml:space="preserve">. The tables show the expected number of respondents, the hours per response, and the annual hour and total cost burden for the data collected. A total of </w:t>
      </w:r>
      <w:r>
        <w:rPr>
          <w:rFonts w:ascii="Times New Roman" w:hAnsi="Times New Roman"/>
        </w:rPr>
        <w:t>103</w:t>
      </w:r>
      <w:r w:rsidRPr="00E31D76">
        <w:rPr>
          <w:rFonts w:ascii="Times New Roman" w:hAnsi="Times New Roman"/>
        </w:rPr>
        <w:t xml:space="preserve"> respondents will be included in </w:t>
      </w:r>
      <w:r w:rsidR="00665C69">
        <w:rPr>
          <w:rFonts w:ascii="Times New Roman" w:hAnsi="Times New Roman"/>
        </w:rPr>
        <w:t xml:space="preserve">the Phase 2 </w:t>
      </w:r>
      <w:r>
        <w:rPr>
          <w:rFonts w:ascii="Times New Roman" w:hAnsi="Times New Roman"/>
        </w:rPr>
        <w:t>individual and group interviews</w:t>
      </w:r>
      <w:r w:rsidRPr="00E31D76">
        <w:rPr>
          <w:rFonts w:ascii="Times New Roman" w:hAnsi="Times New Roman"/>
        </w:rPr>
        <w:t>:</w:t>
      </w:r>
    </w:p>
    <w:p w:rsidR="006D34F4" w:rsidRDefault="006D34F4" w:rsidP="006D34F4">
      <w:pPr>
        <w:pStyle w:val="NumberedBullet"/>
        <w:numPr>
          <w:ilvl w:val="0"/>
          <w:numId w:val="2"/>
        </w:numPr>
        <w:rPr>
          <w:rFonts w:ascii="Times New Roman" w:hAnsi="Times New Roman"/>
        </w:rPr>
      </w:pPr>
      <w:r w:rsidRPr="00E31D76">
        <w:rPr>
          <w:rFonts w:ascii="Times New Roman" w:hAnsi="Times New Roman"/>
          <w:b/>
        </w:rPr>
        <w:t>Community teams.</w:t>
      </w:r>
      <w:r w:rsidRPr="00E31D76">
        <w:rPr>
          <w:rFonts w:ascii="Times New Roman" w:hAnsi="Times New Roman"/>
        </w:rPr>
        <w:t xml:space="preserve"> </w:t>
      </w:r>
      <w:r>
        <w:rPr>
          <w:rFonts w:ascii="Times New Roman" w:hAnsi="Times New Roman"/>
        </w:rPr>
        <w:t>HRSA</w:t>
      </w:r>
      <w:r w:rsidRPr="00E31D76">
        <w:rPr>
          <w:rFonts w:ascii="Times New Roman" w:hAnsi="Times New Roman"/>
        </w:rPr>
        <w:t xml:space="preserve"> will conduct site visits </w:t>
      </w:r>
      <w:r>
        <w:rPr>
          <w:rFonts w:ascii="Times New Roman" w:hAnsi="Times New Roman"/>
        </w:rPr>
        <w:t>with</w:t>
      </w:r>
      <w:r w:rsidRPr="00E31D76">
        <w:rPr>
          <w:rFonts w:ascii="Times New Roman" w:hAnsi="Times New Roman"/>
        </w:rPr>
        <w:t xml:space="preserve"> </w:t>
      </w:r>
      <w:r w:rsidR="00665C69">
        <w:rPr>
          <w:rFonts w:ascii="Times New Roman" w:hAnsi="Times New Roman"/>
        </w:rPr>
        <w:t xml:space="preserve">four continuing </w:t>
      </w:r>
      <w:r w:rsidRPr="00E31D76">
        <w:rPr>
          <w:rFonts w:ascii="Times New Roman" w:hAnsi="Times New Roman"/>
        </w:rPr>
        <w:t xml:space="preserve">Phase </w:t>
      </w:r>
      <w:r>
        <w:rPr>
          <w:rFonts w:ascii="Times New Roman" w:hAnsi="Times New Roman"/>
        </w:rPr>
        <w:t xml:space="preserve">1 community teams and site visits with </w:t>
      </w:r>
      <w:r w:rsidR="00665C69">
        <w:rPr>
          <w:rFonts w:ascii="Times New Roman" w:hAnsi="Times New Roman"/>
        </w:rPr>
        <w:t xml:space="preserve">seven </w:t>
      </w:r>
      <w:r>
        <w:rPr>
          <w:rFonts w:ascii="Times New Roman" w:hAnsi="Times New Roman"/>
        </w:rPr>
        <w:t>Phase 2 community teams</w:t>
      </w:r>
      <w:r w:rsidRPr="00E31D76">
        <w:rPr>
          <w:rFonts w:ascii="Times New Roman" w:hAnsi="Times New Roman"/>
        </w:rPr>
        <w:t xml:space="preserve">. </w:t>
      </w:r>
      <w:r>
        <w:rPr>
          <w:rFonts w:ascii="Times New Roman" w:hAnsi="Times New Roman"/>
        </w:rPr>
        <w:t>Each</w:t>
      </w:r>
      <w:r w:rsidRPr="00E31D76">
        <w:rPr>
          <w:rFonts w:ascii="Times New Roman" w:hAnsi="Times New Roman"/>
        </w:rPr>
        <w:t xml:space="preserve"> site visit </w:t>
      </w:r>
      <w:r>
        <w:rPr>
          <w:rFonts w:ascii="Times New Roman" w:hAnsi="Times New Roman"/>
        </w:rPr>
        <w:t xml:space="preserve">is </w:t>
      </w:r>
      <w:r w:rsidRPr="00E31D76">
        <w:rPr>
          <w:rFonts w:ascii="Times New Roman" w:hAnsi="Times New Roman"/>
        </w:rPr>
        <w:t xml:space="preserve">expected to </w:t>
      </w:r>
      <w:r>
        <w:rPr>
          <w:rFonts w:ascii="Times New Roman" w:hAnsi="Times New Roman"/>
        </w:rPr>
        <w:t xml:space="preserve">include interviews with eight people: one team </w:t>
      </w:r>
      <w:r w:rsidR="00665C69">
        <w:rPr>
          <w:rFonts w:ascii="Times New Roman" w:hAnsi="Times New Roman"/>
        </w:rPr>
        <w:t>lead</w:t>
      </w:r>
      <w:r>
        <w:rPr>
          <w:rFonts w:ascii="Times New Roman" w:hAnsi="Times New Roman"/>
        </w:rPr>
        <w:t xml:space="preserve">, one team data manager, and six team members. Each team </w:t>
      </w:r>
      <w:r w:rsidR="00665C69">
        <w:rPr>
          <w:rFonts w:ascii="Times New Roman" w:hAnsi="Times New Roman"/>
        </w:rPr>
        <w:t xml:space="preserve">lead </w:t>
      </w:r>
      <w:r>
        <w:rPr>
          <w:rFonts w:ascii="Times New Roman" w:hAnsi="Times New Roman"/>
        </w:rPr>
        <w:t xml:space="preserve">interview will </w:t>
      </w:r>
      <w:r w:rsidRPr="00E31D76">
        <w:rPr>
          <w:rFonts w:ascii="Times New Roman" w:hAnsi="Times New Roman"/>
        </w:rPr>
        <w:t xml:space="preserve">last an average of </w:t>
      </w:r>
      <w:r>
        <w:rPr>
          <w:rFonts w:ascii="Times New Roman" w:hAnsi="Times New Roman"/>
        </w:rPr>
        <w:t>1.5 hours</w:t>
      </w:r>
      <w:r w:rsidRPr="00E31D76">
        <w:rPr>
          <w:rFonts w:ascii="Times New Roman" w:hAnsi="Times New Roman"/>
        </w:rPr>
        <w:t xml:space="preserve">. </w:t>
      </w:r>
      <w:r>
        <w:rPr>
          <w:rFonts w:ascii="Times New Roman" w:hAnsi="Times New Roman"/>
        </w:rPr>
        <w:t xml:space="preserve">Each data manager interview will last an average of 30 minutes. Each group interview with </w:t>
      </w:r>
      <w:r w:rsidR="00665C69">
        <w:rPr>
          <w:rFonts w:ascii="Times New Roman" w:hAnsi="Times New Roman"/>
        </w:rPr>
        <w:t xml:space="preserve">the other </w:t>
      </w:r>
      <w:r>
        <w:rPr>
          <w:rFonts w:ascii="Times New Roman" w:hAnsi="Times New Roman"/>
        </w:rPr>
        <w:t xml:space="preserve">team members is expected to last an average of 1.5 hours. </w:t>
      </w:r>
      <w:r w:rsidRPr="00E31D76">
        <w:rPr>
          <w:rFonts w:ascii="Times New Roman" w:hAnsi="Times New Roman"/>
        </w:rPr>
        <w:t>Community teams are composed of a wide range of professions</w:t>
      </w:r>
      <w:r>
        <w:rPr>
          <w:rFonts w:ascii="Times New Roman" w:hAnsi="Times New Roman"/>
        </w:rPr>
        <w:t xml:space="preserve">, encompassing multiple sectors: </w:t>
      </w:r>
      <w:r w:rsidRPr="00E31D76">
        <w:rPr>
          <w:rFonts w:ascii="Times New Roman" w:hAnsi="Times New Roman"/>
        </w:rPr>
        <w:t>primary care, public health, community-based organizations</w:t>
      </w:r>
      <w:r>
        <w:rPr>
          <w:rFonts w:ascii="Times New Roman" w:hAnsi="Times New Roman"/>
        </w:rPr>
        <w:t xml:space="preserve">, </w:t>
      </w:r>
      <w:r w:rsidRPr="00E31D76">
        <w:rPr>
          <w:rFonts w:ascii="Times New Roman" w:hAnsi="Times New Roman"/>
        </w:rPr>
        <w:t xml:space="preserve">and schools. We estimate the median wage for each of these three groups, based on the U.S. Department of Labor, Bureau of Labor Statistics “2010 National Compensation Survey,” to be $28.12, $27.86, and $27.86 per hour for each sector, respectively. Each </w:t>
      </w:r>
      <w:r w:rsidR="00665C69">
        <w:rPr>
          <w:rFonts w:ascii="Times New Roman" w:hAnsi="Times New Roman"/>
        </w:rPr>
        <w:t xml:space="preserve">of the 11 community teams will be visited only once. </w:t>
      </w:r>
    </w:p>
    <w:p w:rsidR="006D34F4" w:rsidRDefault="006D34F4" w:rsidP="006D34F4">
      <w:pPr>
        <w:pStyle w:val="NumberedBullet"/>
        <w:numPr>
          <w:ilvl w:val="0"/>
          <w:numId w:val="2"/>
        </w:numPr>
        <w:rPr>
          <w:rFonts w:ascii="Times New Roman" w:hAnsi="Times New Roman"/>
        </w:rPr>
      </w:pPr>
      <w:r w:rsidRPr="00E31D76">
        <w:rPr>
          <w:rFonts w:ascii="Times New Roman" w:hAnsi="Times New Roman"/>
          <w:b/>
        </w:rPr>
        <w:t>NICHQ leadership.</w:t>
      </w:r>
      <w:r w:rsidRPr="00E31D76">
        <w:rPr>
          <w:rFonts w:ascii="Times New Roman" w:hAnsi="Times New Roman"/>
        </w:rPr>
        <w:t xml:space="preserve"> We will conduct </w:t>
      </w:r>
      <w:r>
        <w:rPr>
          <w:rFonts w:ascii="Times New Roman" w:hAnsi="Times New Roman"/>
        </w:rPr>
        <w:t>individual interviews with up</w:t>
      </w:r>
      <w:r w:rsidRPr="00E31D76">
        <w:rPr>
          <w:rFonts w:ascii="Times New Roman" w:hAnsi="Times New Roman"/>
        </w:rPr>
        <w:t xml:space="preserve"> to </w:t>
      </w:r>
      <w:r>
        <w:rPr>
          <w:rFonts w:ascii="Times New Roman" w:hAnsi="Times New Roman"/>
        </w:rPr>
        <w:t>four</w:t>
      </w:r>
      <w:r w:rsidRPr="00E31D76">
        <w:rPr>
          <w:rFonts w:ascii="Times New Roman" w:hAnsi="Times New Roman"/>
        </w:rPr>
        <w:t xml:space="preserve"> NICHQ leadership staff. The </w:t>
      </w:r>
      <w:r>
        <w:rPr>
          <w:rFonts w:ascii="Times New Roman" w:hAnsi="Times New Roman"/>
        </w:rPr>
        <w:t>each interview</w:t>
      </w:r>
      <w:r w:rsidRPr="00E31D76">
        <w:rPr>
          <w:rFonts w:ascii="Times New Roman" w:hAnsi="Times New Roman"/>
        </w:rPr>
        <w:t xml:space="preserve"> is expected to last up to </w:t>
      </w:r>
      <w:r>
        <w:rPr>
          <w:rFonts w:ascii="Times New Roman" w:hAnsi="Times New Roman"/>
        </w:rPr>
        <w:t xml:space="preserve">one </w:t>
      </w:r>
      <w:r w:rsidRPr="00E31D76">
        <w:rPr>
          <w:rFonts w:ascii="Times New Roman" w:hAnsi="Times New Roman"/>
        </w:rPr>
        <w:t>hour. We estimate the median wage, based on the Department of Labor, Bureau of Labor Statistics “2011 National Compensation Survey,” to be $37.45 per hour for anticipated members of the NICHQ leadership team.</w:t>
      </w:r>
    </w:p>
    <w:p w:rsidR="006D34F4" w:rsidRDefault="006D34F4" w:rsidP="006D34F4">
      <w:pPr>
        <w:pStyle w:val="NumberedBullet"/>
        <w:numPr>
          <w:ilvl w:val="0"/>
          <w:numId w:val="2"/>
        </w:numPr>
        <w:rPr>
          <w:rFonts w:ascii="Times New Roman" w:hAnsi="Times New Roman"/>
        </w:rPr>
      </w:pPr>
      <w:r>
        <w:rPr>
          <w:rFonts w:ascii="Times New Roman" w:hAnsi="Times New Roman"/>
          <w:b/>
        </w:rPr>
        <w:t>HWC</w:t>
      </w:r>
      <w:r w:rsidRPr="00E31D76">
        <w:rPr>
          <w:rFonts w:ascii="Times New Roman" w:hAnsi="Times New Roman"/>
          <w:b/>
        </w:rPr>
        <w:t xml:space="preserve"> faculty. </w:t>
      </w:r>
      <w:r w:rsidRPr="00E31D76">
        <w:rPr>
          <w:rFonts w:ascii="Times New Roman" w:hAnsi="Times New Roman"/>
        </w:rPr>
        <w:t xml:space="preserve">We will conduct one </w:t>
      </w:r>
      <w:r>
        <w:rPr>
          <w:rFonts w:ascii="Times New Roman" w:hAnsi="Times New Roman"/>
        </w:rPr>
        <w:t>group interview</w:t>
      </w:r>
      <w:r w:rsidRPr="00E31D76">
        <w:rPr>
          <w:rFonts w:ascii="Times New Roman" w:hAnsi="Times New Roman"/>
        </w:rPr>
        <w:t xml:space="preserve"> with up to six </w:t>
      </w:r>
      <w:r>
        <w:rPr>
          <w:rFonts w:ascii="Times New Roman" w:hAnsi="Times New Roman"/>
        </w:rPr>
        <w:t>HWC</w:t>
      </w:r>
      <w:r w:rsidRPr="00E31D76">
        <w:rPr>
          <w:rFonts w:ascii="Times New Roman" w:hAnsi="Times New Roman"/>
        </w:rPr>
        <w:t xml:space="preserve"> faculty members. The </w:t>
      </w:r>
      <w:r>
        <w:rPr>
          <w:rFonts w:ascii="Times New Roman" w:hAnsi="Times New Roman"/>
        </w:rPr>
        <w:t>group interview</w:t>
      </w:r>
      <w:r w:rsidRPr="00E31D76">
        <w:rPr>
          <w:rFonts w:ascii="Times New Roman" w:hAnsi="Times New Roman"/>
        </w:rPr>
        <w:t xml:space="preserve"> is expected to last </w:t>
      </w:r>
      <w:r>
        <w:rPr>
          <w:rFonts w:ascii="Times New Roman" w:hAnsi="Times New Roman"/>
        </w:rPr>
        <w:t>1.5</w:t>
      </w:r>
      <w:r w:rsidRPr="00E31D76">
        <w:rPr>
          <w:rFonts w:ascii="Times New Roman" w:hAnsi="Times New Roman"/>
        </w:rPr>
        <w:t xml:space="preserve"> hour</w:t>
      </w:r>
      <w:r>
        <w:rPr>
          <w:rFonts w:ascii="Times New Roman" w:hAnsi="Times New Roman"/>
        </w:rPr>
        <w:t>s</w:t>
      </w:r>
      <w:r w:rsidRPr="00E31D76">
        <w:rPr>
          <w:rFonts w:ascii="Times New Roman" w:hAnsi="Times New Roman"/>
        </w:rPr>
        <w:t xml:space="preserve">. We estimate the median wage, based on the Department of Labor, Bureau of Labor Statistics “2011 National Compensation Survey,” to be $27.86 per hour for anticipated members of the </w:t>
      </w:r>
      <w:r>
        <w:rPr>
          <w:rFonts w:ascii="Times New Roman" w:hAnsi="Times New Roman"/>
        </w:rPr>
        <w:t>HWC</w:t>
      </w:r>
      <w:r w:rsidRPr="00E31D76">
        <w:rPr>
          <w:rFonts w:ascii="Times New Roman" w:hAnsi="Times New Roman"/>
        </w:rPr>
        <w:t xml:space="preserve"> faculty.</w:t>
      </w:r>
    </w:p>
    <w:p w:rsidR="006D34F4" w:rsidRDefault="006D34F4" w:rsidP="006D34F4">
      <w:pPr>
        <w:pStyle w:val="NumberedBullet"/>
        <w:numPr>
          <w:ilvl w:val="0"/>
          <w:numId w:val="2"/>
        </w:numPr>
        <w:spacing w:after="240"/>
        <w:rPr>
          <w:rFonts w:ascii="Times New Roman" w:hAnsi="Times New Roman"/>
        </w:rPr>
      </w:pPr>
      <w:r>
        <w:rPr>
          <w:rFonts w:ascii="Times New Roman" w:hAnsi="Times New Roman"/>
          <w:b/>
        </w:rPr>
        <w:t>HWC</w:t>
      </w:r>
      <w:r w:rsidRPr="00E31D76">
        <w:rPr>
          <w:rFonts w:ascii="Times New Roman" w:hAnsi="Times New Roman"/>
          <w:b/>
        </w:rPr>
        <w:t xml:space="preserve"> project managers.</w:t>
      </w:r>
      <w:r w:rsidRPr="00E31D76">
        <w:rPr>
          <w:rFonts w:ascii="Times New Roman" w:hAnsi="Times New Roman"/>
        </w:rPr>
        <w:t xml:space="preserve"> We will conduct </w:t>
      </w:r>
      <w:r>
        <w:rPr>
          <w:rFonts w:ascii="Times New Roman" w:hAnsi="Times New Roman"/>
        </w:rPr>
        <w:t>individual interviews</w:t>
      </w:r>
      <w:r w:rsidRPr="00E31D76">
        <w:rPr>
          <w:rFonts w:ascii="Times New Roman" w:hAnsi="Times New Roman"/>
        </w:rPr>
        <w:t xml:space="preserve"> with </w:t>
      </w:r>
      <w:r>
        <w:rPr>
          <w:rFonts w:ascii="Times New Roman" w:hAnsi="Times New Roman"/>
        </w:rPr>
        <w:t>up to five HWC</w:t>
      </w:r>
      <w:r w:rsidRPr="00E31D76">
        <w:rPr>
          <w:rFonts w:ascii="Times New Roman" w:hAnsi="Times New Roman"/>
        </w:rPr>
        <w:t xml:space="preserve"> project managers. The </w:t>
      </w:r>
      <w:r>
        <w:rPr>
          <w:rFonts w:ascii="Times New Roman" w:hAnsi="Times New Roman"/>
        </w:rPr>
        <w:t>interview</w:t>
      </w:r>
      <w:r w:rsidRPr="00E31D76">
        <w:rPr>
          <w:rFonts w:ascii="Times New Roman" w:hAnsi="Times New Roman"/>
        </w:rPr>
        <w:t xml:space="preserve"> is expected to last up to </w:t>
      </w:r>
      <w:r>
        <w:rPr>
          <w:rFonts w:ascii="Times New Roman" w:hAnsi="Times New Roman"/>
        </w:rPr>
        <w:t>one</w:t>
      </w:r>
      <w:r w:rsidRPr="00E31D76">
        <w:rPr>
          <w:rFonts w:ascii="Times New Roman" w:hAnsi="Times New Roman"/>
        </w:rPr>
        <w:t xml:space="preserve"> hour. We estimate the median wage, based on the Department of Labor, Bureau of Labor </w:t>
      </w:r>
      <w:r w:rsidRPr="00E31D76">
        <w:rPr>
          <w:rFonts w:ascii="Times New Roman" w:hAnsi="Times New Roman"/>
        </w:rPr>
        <w:lastRenderedPageBreak/>
        <w:t xml:space="preserve">Statistics “2011 National Compensation Survey,” to be $27.86 per hour for anticipated members of the </w:t>
      </w:r>
      <w:r>
        <w:rPr>
          <w:rFonts w:ascii="Times New Roman" w:hAnsi="Times New Roman"/>
        </w:rPr>
        <w:t>HWC</w:t>
      </w:r>
      <w:r w:rsidRPr="00E31D76">
        <w:rPr>
          <w:rFonts w:ascii="Times New Roman" w:hAnsi="Times New Roman"/>
        </w:rPr>
        <w:t xml:space="preserve"> faculty.</w:t>
      </w:r>
    </w:p>
    <w:p w:rsidR="006D34F4" w:rsidRDefault="006D34F4" w:rsidP="006D34F4">
      <w:pPr>
        <w:pStyle w:val="NormalSS"/>
        <w:rPr>
          <w:rFonts w:ascii="Times New Roman" w:hAnsi="Times New Roman"/>
        </w:rPr>
      </w:pPr>
      <w:r>
        <w:rPr>
          <w:rFonts w:ascii="Times New Roman" w:hAnsi="Times New Roman"/>
        </w:rPr>
        <w:t>No other</w:t>
      </w:r>
      <w:r w:rsidRPr="003D1EDB">
        <w:rPr>
          <w:rFonts w:ascii="Times New Roman" w:hAnsi="Times New Roman"/>
        </w:rPr>
        <w:t xml:space="preserve"> data collection activities involve participant burden.</w:t>
      </w:r>
    </w:p>
    <w:p w:rsidR="006D34F4" w:rsidRDefault="006D34F4" w:rsidP="006D34F4">
      <w:pPr>
        <w:pStyle w:val="MarkforTableHeading"/>
        <w:ind w:left="-284"/>
        <w:rPr>
          <w:rFonts w:ascii="Times New Roman" w:hAnsi="Times New Roman"/>
          <w:sz w:val="24"/>
        </w:rPr>
      </w:pPr>
      <w:bookmarkStart w:id="17" w:name="_Toc316466571"/>
      <w:bookmarkStart w:id="18" w:name="_Toc321738210"/>
      <w:r w:rsidRPr="00E31D76">
        <w:rPr>
          <w:rFonts w:ascii="Times New Roman" w:hAnsi="Times New Roman"/>
          <w:sz w:val="24"/>
        </w:rPr>
        <w:t>Table A.1. Estimated Annualized Burden Hours</w:t>
      </w:r>
      <w:bookmarkEnd w:id="17"/>
      <w:r w:rsidRPr="00E31D76">
        <w:rPr>
          <w:rFonts w:ascii="Times New Roman" w:hAnsi="Times New Roman"/>
          <w:sz w:val="24"/>
        </w:rPr>
        <w:t xml:space="preserve"> </w:t>
      </w:r>
      <w:bookmarkEnd w:id="18"/>
    </w:p>
    <w:tbl>
      <w:tblPr>
        <w:tblStyle w:val="SMPRTableBlack"/>
        <w:tblW w:w="5152" w:type="pct"/>
        <w:tblInd w:w="-176" w:type="dxa"/>
        <w:tblLook w:val="04A0" w:firstRow="1" w:lastRow="0" w:firstColumn="1" w:lastColumn="0" w:noHBand="0" w:noVBand="1"/>
      </w:tblPr>
      <w:tblGrid>
        <w:gridCol w:w="3322"/>
        <w:gridCol w:w="1444"/>
        <w:gridCol w:w="1699"/>
        <w:gridCol w:w="1608"/>
        <w:gridCol w:w="1794"/>
      </w:tblGrid>
      <w:tr w:rsidR="006D34F4" w:rsidRPr="00E31D76" w:rsidTr="008B63FD">
        <w:trPr>
          <w:cnfStyle w:val="100000000000" w:firstRow="1" w:lastRow="0" w:firstColumn="0" w:lastColumn="0" w:oddVBand="0" w:evenVBand="0" w:oddHBand="0" w:evenHBand="0" w:firstRowFirstColumn="0" w:firstRowLastColumn="0" w:lastRowFirstColumn="0" w:lastRowLastColumn="0"/>
        </w:trPr>
        <w:tc>
          <w:tcPr>
            <w:tcW w:w="1683" w:type="pct"/>
            <w:vAlign w:val="bottom"/>
          </w:tcPr>
          <w:p w:rsidR="006D34F4" w:rsidRPr="009D6286" w:rsidRDefault="006D34F4" w:rsidP="008B63FD">
            <w:pPr>
              <w:pStyle w:val="TableHeaderLeft"/>
              <w:rPr>
                <w:rFonts w:ascii="Times New Roman" w:hAnsi="Times New Roman"/>
                <w:sz w:val="24"/>
              </w:rPr>
            </w:pPr>
            <w:r w:rsidRPr="003D1EDB">
              <w:rPr>
                <w:rFonts w:ascii="Times New Roman" w:hAnsi="Times New Roman"/>
                <w:sz w:val="24"/>
              </w:rPr>
              <w:t>Type of Respondent</w:t>
            </w:r>
          </w:p>
        </w:tc>
        <w:tc>
          <w:tcPr>
            <w:tcW w:w="731" w:type="pct"/>
            <w:vAlign w:val="bottom"/>
          </w:tcPr>
          <w:p w:rsidR="006D34F4" w:rsidRPr="009D6286" w:rsidRDefault="006D34F4" w:rsidP="008B63FD">
            <w:pPr>
              <w:pStyle w:val="TableHeaderCenter"/>
              <w:rPr>
                <w:rFonts w:ascii="Times New Roman" w:hAnsi="Times New Roman"/>
                <w:sz w:val="24"/>
              </w:rPr>
            </w:pPr>
            <w:r w:rsidRPr="003D1EDB">
              <w:rPr>
                <w:rFonts w:ascii="Times New Roman" w:hAnsi="Times New Roman"/>
                <w:sz w:val="24"/>
              </w:rPr>
              <w:t>Number of Respondents</w:t>
            </w:r>
          </w:p>
        </w:tc>
        <w:tc>
          <w:tcPr>
            <w:tcW w:w="861" w:type="pct"/>
            <w:vAlign w:val="bottom"/>
          </w:tcPr>
          <w:p w:rsidR="006D34F4" w:rsidRPr="009D6286" w:rsidRDefault="006D34F4" w:rsidP="008B63FD">
            <w:pPr>
              <w:pStyle w:val="TableHeaderCenter"/>
              <w:rPr>
                <w:rFonts w:ascii="Times New Roman" w:hAnsi="Times New Roman"/>
                <w:sz w:val="24"/>
              </w:rPr>
            </w:pPr>
            <w:r w:rsidRPr="003D1EDB">
              <w:rPr>
                <w:rFonts w:ascii="Times New Roman" w:hAnsi="Times New Roman"/>
                <w:sz w:val="24"/>
              </w:rPr>
              <w:t>Number of Responses per Respondent</w:t>
            </w:r>
          </w:p>
        </w:tc>
        <w:tc>
          <w:tcPr>
            <w:tcW w:w="815" w:type="pct"/>
            <w:vAlign w:val="bottom"/>
          </w:tcPr>
          <w:p w:rsidR="006D34F4" w:rsidRPr="009D6286" w:rsidRDefault="006D34F4" w:rsidP="008B63FD">
            <w:pPr>
              <w:pStyle w:val="TableHeaderCenter"/>
              <w:rPr>
                <w:rFonts w:ascii="Times New Roman" w:hAnsi="Times New Roman"/>
                <w:sz w:val="24"/>
              </w:rPr>
            </w:pPr>
            <w:r w:rsidRPr="003D1EDB">
              <w:rPr>
                <w:rFonts w:ascii="Times New Roman" w:hAnsi="Times New Roman"/>
                <w:sz w:val="24"/>
              </w:rPr>
              <w:t>Average Burden Hours per Response</w:t>
            </w:r>
          </w:p>
        </w:tc>
        <w:tc>
          <w:tcPr>
            <w:tcW w:w="909" w:type="pct"/>
            <w:vAlign w:val="bottom"/>
          </w:tcPr>
          <w:p w:rsidR="006D34F4" w:rsidRPr="009D6286" w:rsidRDefault="006D34F4" w:rsidP="008B63FD">
            <w:pPr>
              <w:pStyle w:val="TableHeaderCenter"/>
              <w:rPr>
                <w:rFonts w:ascii="Times New Roman" w:hAnsi="Times New Roman"/>
                <w:sz w:val="24"/>
              </w:rPr>
            </w:pPr>
            <w:r w:rsidRPr="003D1EDB">
              <w:rPr>
                <w:rFonts w:ascii="Times New Roman" w:hAnsi="Times New Roman"/>
                <w:sz w:val="24"/>
              </w:rPr>
              <w:t>Total Burden Hours</w:t>
            </w:r>
          </w:p>
        </w:tc>
      </w:tr>
      <w:tr w:rsidR="006D34F4" w:rsidRPr="00E31D76" w:rsidTr="008B63FD">
        <w:tc>
          <w:tcPr>
            <w:tcW w:w="1683" w:type="pct"/>
          </w:tcPr>
          <w:p w:rsidR="006D34F4" w:rsidRPr="009D6286" w:rsidRDefault="006D34F4" w:rsidP="00B778AF">
            <w:pPr>
              <w:pStyle w:val="TableText"/>
              <w:spacing w:before="120"/>
              <w:rPr>
                <w:rFonts w:ascii="Times New Roman" w:hAnsi="Times New Roman"/>
                <w:sz w:val="24"/>
              </w:rPr>
            </w:pPr>
            <w:r w:rsidRPr="003D1EDB">
              <w:rPr>
                <w:rFonts w:ascii="Times New Roman" w:hAnsi="Times New Roman"/>
                <w:sz w:val="24"/>
              </w:rPr>
              <w:t xml:space="preserve">Phase 1 Team </w:t>
            </w:r>
            <w:r w:rsidR="00B778AF">
              <w:rPr>
                <w:rFonts w:ascii="Times New Roman" w:hAnsi="Times New Roman"/>
                <w:sz w:val="24"/>
              </w:rPr>
              <w:t>Lead</w:t>
            </w:r>
          </w:p>
        </w:tc>
        <w:tc>
          <w:tcPr>
            <w:tcW w:w="731" w:type="pct"/>
            <w:vAlign w:val="bottom"/>
          </w:tcPr>
          <w:p w:rsidR="006D34F4" w:rsidRDefault="006D34F4" w:rsidP="008B63FD">
            <w:pPr>
              <w:pStyle w:val="TableText"/>
              <w:tabs>
                <w:tab w:val="decimal" w:pos="779"/>
              </w:tabs>
              <w:spacing w:before="120"/>
              <w:jc w:val="center"/>
              <w:rPr>
                <w:rFonts w:ascii="Times New Roman" w:hAnsi="Times New Roman"/>
                <w:sz w:val="24"/>
              </w:rPr>
            </w:pPr>
            <w:r w:rsidRPr="003D1EDB">
              <w:rPr>
                <w:rFonts w:ascii="Times New Roman" w:hAnsi="Times New Roman"/>
                <w:sz w:val="24"/>
              </w:rPr>
              <w:t>4</w:t>
            </w:r>
          </w:p>
        </w:tc>
        <w:tc>
          <w:tcPr>
            <w:tcW w:w="861" w:type="pct"/>
            <w:vAlign w:val="bottom"/>
          </w:tcPr>
          <w:p w:rsidR="006D34F4" w:rsidRDefault="006D34F4" w:rsidP="008B63FD">
            <w:pPr>
              <w:pStyle w:val="TableText"/>
              <w:tabs>
                <w:tab w:val="decimal" w:pos="779"/>
              </w:tabs>
              <w:spacing w:before="120"/>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spacing w:before="120"/>
              <w:jc w:val="center"/>
              <w:rPr>
                <w:rFonts w:ascii="Times New Roman" w:hAnsi="Times New Roman"/>
                <w:sz w:val="24"/>
              </w:rPr>
            </w:pPr>
            <w:r w:rsidRPr="003D1EDB">
              <w:rPr>
                <w:rFonts w:ascii="Times New Roman" w:hAnsi="Times New Roman"/>
                <w:sz w:val="24"/>
              </w:rPr>
              <w:t>1.5</w:t>
            </w:r>
          </w:p>
        </w:tc>
        <w:tc>
          <w:tcPr>
            <w:tcW w:w="909" w:type="pct"/>
            <w:vAlign w:val="bottom"/>
          </w:tcPr>
          <w:p w:rsidR="006D34F4" w:rsidRDefault="006D34F4" w:rsidP="008B63FD">
            <w:pPr>
              <w:pStyle w:val="TableText"/>
              <w:tabs>
                <w:tab w:val="decimal" w:pos="374"/>
              </w:tabs>
              <w:spacing w:before="120"/>
              <w:jc w:val="center"/>
              <w:rPr>
                <w:rFonts w:ascii="Times New Roman" w:hAnsi="Times New Roman"/>
                <w:sz w:val="24"/>
              </w:rPr>
            </w:pPr>
            <w:r w:rsidRPr="003D1EDB">
              <w:rPr>
                <w:rFonts w:ascii="Times New Roman" w:hAnsi="Times New Roman"/>
                <w:sz w:val="24"/>
              </w:rPr>
              <w:t>6.0</w:t>
            </w:r>
          </w:p>
        </w:tc>
      </w:tr>
      <w:tr w:rsidR="006D34F4" w:rsidRPr="00E31D76" w:rsidTr="008B63FD">
        <w:tc>
          <w:tcPr>
            <w:tcW w:w="1683" w:type="pct"/>
          </w:tcPr>
          <w:p w:rsidR="006D34F4" w:rsidRPr="009D6286" w:rsidRDefault="006D34F4" w:rsidP="008B63FD">
            <w:pPr>
              <w:pStyle w:val="TableText"/>
              <w:rPr>
                <w:rFonts w:ascii="Times New Roman" w:hAnsi="Times New Roman"/>
                <w:sz w:val="24"/>
              </w:rPr>
            </w:pPr>
            <w:r w:rsidRPr="003D1EDB">
              <w:rPr>
                <w:rFonts w:ascii="Times New Roman" w:hAnsi="Times New Roman"/>
                <w:sz w:val="24"/>
              </w:rPr>
              <w:t>Phase 1 Team Data Manager</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4</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.5</w:t>
            </w:r>
          </w:p>
        </w:tc>
        <w:tc>
          <w:tcPr>
            <w:tcW w:w="909"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2.0</w:t>
            </w:r>
          </w:p>
        </w:tc>
      </w:tr>
      <w:tr w:rsidR="006D34F4" w:rsidRPr="00E31D76" w:rsidTr="008B63FD">
        <w:tc>
          <w:tcPr>
            <w:tcW w:w="1683" w:type="pct"/>
          </w:tcPr>
          <w:p w:rsidR="006D34F4" w:rsidRPr="009D6286" w:rsidRDefault="006D34F4" w:rsidP="008B63FD">
            <w:pPr>
              <w:pStyle w:val="TableText"/>
              <w:rPr>
                <w:rFonts w:ascii="Times New Roman" w:hAnsi="Times New Roman"/>
                <w:sz w:val="24"/>
              </w:rPr>
            </w:pPr>
            <w:r w:rsidRPr="003D1EDB">
              <w:rPr>
                <w:rFonts w:ascii="Times New Roman" w:hAnsi="Times New Roman"/>
                <w:sz w:val="24"/>
              </w:rPr>
              <w:t>Phase 1 Team Group Interview</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24</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1.5</w:t>
            </w:r>
          </w:p>
        </w:tc>
        <w:tc>
          <w:tcPr>
            <w:tcW w:w="909"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36.0</w:t>
            </w:r>
          </w:p>
        </w:tc>
      </w:tr>
      <w:tr w:rsidR="006D34F4" w:rsidRPr="00E31D76" w:rsidTr="008B63FD">
        <w:tc>
          <w:tcPr>
            <w:tcW w:w="1683" w:type="pct"/>
          </w:tcPr>
          <w:p w:rsidR="006D34F4" w:rsidRPr="009D6286" w:rsidRDefault="006D34F4" w:rsidP="00B778AF">
            <w:pPr>
              <w:pStyle w:val="TableText"/>
              <w:rPr>
                <w:rFonts w:ascii="Times New Roman" w:hAnsi="Times New Roman"/>
                <w:sz w:val="24"/>
              </w:rPr>
            </w:pPr>
            <w:r w:rsidRPr="003D1EDB">
              <w:rPr>
                <w:rFonts w:ascii="Times New Roman" w:hAnsi="Times New Roman"/>
                <w:sz w:val="24"/>
              </w:rPr>
              <w:t xml:space="preserve">Phase 2 Team </w:t>
            </w:r>
            <w:r w:rsidR="00B778AF">
              <w:rPr>
                <w:rFonts w:ascii="Times New Roman" w:hAnsi="Times New Roman"/>
                <w:sz w:val="24"/>
              </w:rPr>
              <w:t>Lead</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7</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1.5</w:t>
            </w:r>
          </w:p>
        </w:tc>
        <w:tc>
          <w:tcPr>
            <w:tcW w:w="909"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10.5</w:t>
            </w:r>
          </w:p>
        </w:tc>
      </w:tr>
      <w:tr w:rsidR="006D34F4" w:rsidRPr="00E31D76" w:rsidTr="008B63FD">
        <w:tc>
          <w:tcPr>
            <w:tcW w:w="1683" w:type="pct"/>
          </w:tcPr>
          <w:p w:rsidR="006D34F4" w:rsidRPr="009D6286" w:rsidRDefault="006D34F4" w:rsidP="008B63FD">
            <w:pPr>
              <w:pStyle w:val="TableText"/>
              <w:rPr>
                <w:rFonts w:ascii="Times New Roman" w:hAnsi="Times New Roman"/>
                <w:sz w:val="24"/>
              </w:rPr>
            </w:pPr>
            <w:r w:rsidRPr="003D1EDB">
              <w:rPr>
                <w:rFonts w:ascii="Times New Roman" w:hAnsi="Times New Roman"/>
                <w:sz w:val="24"/>
              </w:rPr>
              <w:t>Phase 2 Team Data Manager</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7</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.5</w:t>
            </w:r>
          </w:p>
        </w:tc>
        <w:tc>
          <w:tcPr>
            <w:tcW w:w="909" w:type="pct"/>
            <w:vAlign w:val="bottom"/>
          </w:tcPr>
          <w:p w:rsidR="006D34F4" w:rsidRDefault="006D34F4" w:rsidP="008B63FD">
            <w:pPr>
              <w:pStyle w:val="TableText"/>
              <w:tabs>
                <w:tab w:val="decimal" w:pos="374"/>
              </w:tabs>
              <w:jc w:val="center"/>
              <w:rPr>
                <w:rFonts w:ascii="Times New Roman" w:hAnsi="Times New Roman"/>
                <w:sz w:val="24"/>
              </w:rPr>
            </w:pPr>
            <w:r>
              <w:rPr>
                <w:rFonts w:ascii="Times New Roman" w:hAnsi="Times New Roman"/>
                <w:sz w:val="24"/>
              </w:rPr>
              <w:t>3.5</w:t>
            </w:r>
          </w:p>
        </w:tc>
      </w:tr>
      <w:tr w:rsidR="006D34F4" w:rsidRPr="00E31D76" w:rsidTr="008B63FD">
        <w:tc>
          <w:tcPr>
            <w:tcW w:w="1683" w:type="pct"/>
          </w:tcPr>
          <w:p w:rsidR="006D34F4" w:rsidRPr="009D6286" w:rsidRDefault="006D34F4" w:rsidP="008B63FD">
            <w:pPr>
              <w:pStyle w:val="TableText"/>
              <w:rPr>
                <w:rFonts w:ascii="Times New Roman" w:hAnsi="Times New Roman"/>
                <w:sz w:val="24"/>
              </w:rPr>
            </w:pPr>
            <w:r w:rsidRPr="003D1EDB">
              <w:rPr>
                <w:rFonts w:ascii="Times New Roman" w:hAnsi="Times New Roman"/>
                <w:sz w:val="24"/>
              </w:rPr>
              <w:t>Phase 2 Team Group Interview</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42</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1.5</w:t>
            </w:r>
          </w:p>
        </w:tc>
        <w:tc>
          <w:tcPr>
            <w:tcW w:w="909"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63.0</w:t>
            </w:r>
          </w:p>
        </w:tc>
      </w:tr>
      <w:tr w:rsidR="006D34F4" w:rsidRPr="00E31D76" w:rsidTr="008B63FD">
        <w:tc>
          <w:tcPr>
            <w:tcW w:w="1683" w:type="pct"/>
          </w:tcPr>
          <w:p w:rsidR="006D34F4" w:rsidRPr="009D6286" w:rsidRDefault="006D34F4" w:rsidP="008B63FD">
            <w:pPr>
              <w:pStyle w:val="TableText"/>
              <w:rPr>
                <w:rFonts w:ascii="Times New Roman" w:hAnsi="Times New Roman"/>
                <w:sz w:val="24"/>
              </w:rPr>
            </w:pPr>
            <w:r w:rsidRPr="003D1EDB">
              <w:rPr>
                <w:rFonts w:ascii="Times New Roman" w:hAnsi="Times New Roman"/>
                <w:sz w:val="24"/>
              </w:rPr>
              <w:t>NICHQ Leaders</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4</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1.0</w:t>
            </w:r>
          </w:p>
        </w:tc>
        <w:tc>
          <w:tcPr>
            <w:tcW w:w="909"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4.0</w:t>
            </w:r>
          </w:p>
        </w:tc>
      </w:tr>
      <w:tr w:rsidR="006D34F4" w:rsidRPr="00E31D76" w:rsidTr="008B63FD">
        <w:tc>
          <w:tcPr>
            <w:tcW w:w="1683" w:type="pct"/>
          </w:tcPr>
          <w:p w:rsidR="006D34F4" w:rsidRPr="009D6286" w:rsidRDefault="006D34F4" w:rsidP="008B63FD">
            <w:pPr>
              <w:pStyle w:val="TableText"/>
              <w:rPr>
                <w:rFonts w:ascii="Times New Roman" w:hAnsi="Times New Roman"/>
                <w:sz w:val="24"/>
              </w:rPr>
            </w:pPr>
            <w:r w:rsidRPr="003D1EDB">
              <w:rPr>
                <w:rFonts w:ascii="Times New Roman" w:hAnsi="Times New Roman"/>
                <w:sz w:val="24"/>
              </w:rPr>
              <w:t>NICHQ Project Managers</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5</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1.0</w:t>
            </w:r>
          </w:p>
        </w:tc>
        <w:tc>
          <w:tcPr>
            <w:tcW w:w="909" w:type="pct"/>
            <w:vAlign w:val="bottom"/>
          </w:tcPr>
          <w:p w:rsidR="006D34F4" w:rsidRDefault="006D34F4" w:rsidP="008B63FD">
            <w:pPr>
              <w:pStyle w:val="TableText"/>
              <w:tabs>
                <w:tab w:val="decimal" w:pos="374"/>
              </w:tabs>
              <w:jc w:val="center"/>
              <w:rPr>
                <w:rFonts w:ascii="Times New Roman" w:hAnsi="Times New Roman"/>
                <w:sz w:val="24"/>
              </w:rPr>
            </w:pPr>
            <w:r w:rsidRPr="003D1EDB">
              <w:rPr>
                <w:rFonts w:ascii="Times New Roman" w:hAnsi="Times New Roman"/>
                <w:sz w:val="24"/>
              </w:rPr>
              <w:t>5.0</w:t>
            </w:r>
          </w:p>
        </w:tc>
      </w:tr>
      <w:tr w:rsidR="006D34F4" w:rsidRPr="00E31D76" w:rsidTr="008B63FD">
        <w:tc>
          <w:tcPr>
            <w:tcW w:w="1683" w:type="pct"/>
          </w:tcPr>
          <w:p w:rsidR="006D34F4" w:rsidRPr="009D6286" w:rsidRDefault="006D34F4" w:rsidP="008B63FD">
            <w:pPr>
              <w:pStyle w:val="TableText"/>
              <w:rPr>
                <w:rFonts w:ascii="Times New Roman" w:hAnsi="Times New Roman"/>
                <w:sz w:val="24"/>
              </w:rPr>
            </w:pPr>
            <w:r w:rsidRPr="003D1EDB">
              <w:rPr>
                <w:rFonts w:ascii="Times New Roman" w:hAnsi="Times New Roman"/>
                <w:sz w:val="24"/>
              </w:rPr>
              <w:t xml:space="preserve">NICHQ Faculty </w:t>
            </w:r>
          </w:p>
        </w:tc>
        <w:tc>
          <w:tcPr>
            <w:tcW w:w="73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6</w:t>
            </w:r>
          </w:p>
        </w:tc>
        <w:tc>
          <w:tcPr>
            <w:tcW w:w="861" w:type="pct"/>
            <w:vAlign w:val="bottom"/>
          </w:tcPr>
          <w:p w:rsidR="006D34F4" w:rsidRDefault="006D34F4" w:rsidP="008B63FD">
            <w:pPr>
              <w:pStyle w:val="TableText"/>
              <w:tabs>
                <w:tab w:val="decimal" w:pos="779"/>
              </w:tabs>
              <w:jc w:val="center"/>
              <w:rPr>
                <w:rFonts w:ascii="Times New Roman" w:hAnsi="Times New Roman"/>
                <w:sz w:val="24"/>
              </w:rPr>
            </w:pPr>
            <w:r w:rsidRPr="003D1EDB">
              <w:rPr>
                <w:rFonts w:ascii="Times New Roman" w:hAnsi="Times New Roman"/>
                <w:sz w:val="24"/>
              </w:rPr>
              <w:t>1</w:t>
            </w:r>
          </w:p>
        </w:tc>
        <w:tc>
          <w:tcPr>
            <w:tcW w:w="815" w:type="pct"/>
            <w:vAlign w:val="bottom"/>
          </w:tcPr>
          <w:p w:rsidR="006D34F4" w:rsidRDefault="006D34F4" w:rsidP="004525F0">
            <w:pPr>
              <w:pStyle w:val="TableText"/>
              <w:tabs>
                <w:tab w:val="decimal" w:pos="374"/>
              </w:tabs>
              <w:jc w:val="center"/>
              <w:rPr>
                <w:rFonts w:ascii="Times New Roman" w:hAnsi="Times New Roman"/>
                <w:sz w:val="24"/>
              </w:rPr>
            </w:pPr>
            <w:r w:rsidRPr="003D1EDB">
              <w:rPr>
                <w:rFonts w:ascii="Times New Roman" w:hAnsi="Times New Roman"/>
                <w:sz w:val="24"/>
              </w:rPr>
              <w:t>1.</w:t>
            </w:r>
            <w:r w:rsidR="004525F0">
              <w:rPr>
                <w:rFonts w:ascii="Times New Roman" w:hAnsi="Times New Roman"/>
                <w:sz w:val="24"/>
              </w:rPr>
              <w:t>0</w:t>
            </w:r>
          </w:p>
        </w:tc>
        <w:tc>
          <w:tcPr>
            <w:tcW w:w="909" w:type="pct"/>
            <w:vAlign w:val="bottom"/>
          </w:tcPr>
          <w:p w:rsidR="006D34F4" w:rsidRDefault="004525F0" w:rsidP="008B63FD">
            <w:pPr>
              <w:pStyle w:val="TableText"/>
              <w:tabs>
                <w:tab w:val="decimal" w:pos="374"/>
              </w:tabs>
              <w:jc w:val="center"/>
              <w:rPr>
                <w:rFonts w:ascii="Times New Roman" w:hAnsi="Times New Roman"/>
                <w:sz w:val="24"/>
              </w:rPr>
            </w:pPr>
            <w:r>
              <w:rPr>
                <w:rFonts w:ascii="Times New Roman" w:hAnsi="Times New Roman"/>
                <w:sz w:val="24"/>
              </w:rPr>
              <w:t>6</w:t>
            </w:r>
            <w:r w:rsidR="006D34F4" w:rsidRPr="003D1EDB">
              <w:rPr>
                <w:rFonts w:ascii="Times New Roman" w:hAnsi="Times New Roman"/>
                <w:sz w:val="24"/>
              </w:rPr>
              <w:t>.0</w:t>
            </w:r>
          </w:p>
        </w:tc>
      </w:tr>
      <w:tr w:rsidR="006D34F4" w:rsidRPr="00E31D76" w:rsidTr="008B63FD">
        <w:trPr>
          <w:trHeight w:val="89"/>
        </w:trPr>
        <w:tc>
          <w:tcPr>
            <w:tcW w:w="1683" w:type="pct"/>
          </w:tcPr>
          <w:p w:rsidR="006D34F4" w:rsidRDefault="006D34F4" w:rsidP="008B63FD">
            <w:pPr>
              <w:pStyle w:val="TableText"/>
              <w:spacing w:after="60"/>
              <w:rPr>
                <w:rFonts w:ascii="Times New Roman" w:hAnsi="Times New Roman"/>
                <w:b/>
                <w:sz w:val="24"/>
              </w:rPr>
            </w:pPr>
            <w:r w:rsidRPr="003D1EDB">
              <w:rPr>
                <w:rFonts w:ascii="Times New Roman" w:hAnsi="Times New Roman"/>
                <w:b/>
                <w:sz w:val="24"/>
              </w:rPr>
              <w:t>Total</w:t>
            </w:r>
          </w:p>
        </w:tc>
        <w:tc>
          <w:tcPr>
            <w:tcW w:w="731" w:type="pct"/>
            <w:vAlign w:val="bottom"/>
          </w:tcPr>
          <w:p w:rsidR="006D34F4" w:rsidRDefault="006D34F4" w:rsidP="008B63FD">
            <w:pPr>
              <w:pStyle w:val="TableText"/>
              <w:tabs>
                <w:tab w:val="decimal" w:pos="779"/>
              </w:tabs>
              <w:spacing w:after="60"/>
              <w:jc w:val="center"/>
              <w:rPr>
                <w:rFonts w:ascii="Times New Roman" w:hAnsi="Times New Roman"/>
                <w:sz w:val="24"/>
              </w:rPr>
            </w:pPr>
            <w:r w:rsidRPr="003D1EDB">
              <w:rPr>
                <w:rFonts w:ascii="Times New Roman" w:hAnsi="Times New Roman"/>
                <w:sz w:val="24"/>
              </w:rPr>
              <w:t>103</w:t>
            </w:r>
          </w:p>
        </w:tc>
        <w:tc>
          <w:tcPr>
            <w:tcW w:w="861" w:type="pct"/>
            <w:vAlign w:val="bottom"/>
          </w:tcPr>
          <w:p w:rsidR="006D34F4" w:rsidRDefault="004525F0" w:rsidP="008B63FD">
            <w:pPr>
              <w:pStyle w:val="TableText"/>
              <w:tabs>
                <w:tab w:val="decimal" w:pos="779"/>
              </w:tabs>
              <w:spacing w:after="60"/>
              <w:jc w:val="center"/>
              <w:rPr>
                <w:rFonts w:ascii="Times New Roman" w:hAnsi="Times New Roman"/>
                <w:sz w:val="24"/>
              </w:rPr>
            </w:pPr>
            <w:r>
              <w:rPr>
                <w:rFonts w:ascii="Times New Roman" w:hAnsi="Times New Roman"/>
                <w:sz w:val="24"/>
              </w:rPr>
              <w:t>--</w:t>
            </w:r>
          </w:p>
        </w:tc>
        <w:tc>
          <w:tcPr>
            <w:tcW w:w="815" w:type="pct"/>
            <w:vAlign w:val="bottom"/>
          </w:tcPr>
          <w:p w:rsidR="006D34F4" w:rsidRDefault="004525F0" w:rsidP="008B63FD">
            <w:pPr>
              <w:pStyle w:val="TableText"/>
              <w:tabs>
                <w:tab w:val="decimal" w:pos="374"/>
              </w:tabs>
              <w:spacing w:after="60"/>
              <w:jc w:val="center"/>
              <w:rPr>
                <w:rFonts w:ascii="Times New Roman" w:hAnsi="Times New Roman"/>
                <w:sz w:val="24"/>
              </w:rPr>
            </w:pPr>
            <w:r>
              <w:rPr>
                <w:rFonts w:ascii="Times New Roman" w:hAnsi="Times New Roman"/>
                <w:sz w:val="24"/>
              </w:rPr>
              <w:t>--</w:t>
            </w:r>
          </w:p>
        </w:tc>
        <w:tc>
          <w:tcPr>
            <w:tcW w:w="909" w:type="pct"/>
            <w:vAlign w:val="bottom"/>
          </w:tcPr>
          <w:p w:rsidR="006D34F4" w:rsidRDefault="006D34F4" w:rsidP="004525F0">
            <w:pPr>
              <w:pStyle w:val="TableText"/>
              <w:tabs>
                <w:tab w:val="decimal" w:pos="374"/>
              </w:tabs>
              <w:spacing w:after="60"/>
              <w:jc w:val="center"/>
              <w:rPr>
                <w:rFonts w:ascii="Times New Roman" w:hAnsi="Times New Roman"/>
                <w:sz w:val="24"/>
              </w:rPr>
            </w:pPr>
            <w:r w:rsidRPr="003D1EDB">
              <w:rPr>
                <w:rFonts w:ascii="Times New Roman" w:hAnsi="Times New Roman"/>
                <w:sz w:val="24"/>
              </w:rPr>
              <w:t>13</w:t>
            </w:r>
            <w:r w:rsidR="004525F0">
              <w:rPr>
                <w:rFonts w:ascii="Times New Roman" w:hAnsi="Times New Roman"/>
                <w:sz w:val="24"/>
              </w:rPr>
              <w:t>6</w:t>
            </w:r>
            <w:r w:rsidRPr="003D1EDB">
              <w:rPr>
                <w:rFonts w:ascii="Times New Roman" w:hAnsi="Times New Roman"/>
                <w:sz w:val="24"/>
              </w:rPr>
              <w:t>.0</w:t>
            </w:r>
          </w:p>
        </w:tc>
      </w:tr>
    </w:tbl>
    <w:p w:rsidR="006D34F4" w:rsidRDefault="006D34F4" w:rsidP="006D34F4">
      <w:pPr>
        <w:tabs>
          <w:tab w:val="clear" w:pos="432"/>
        </w:tabs>
        <w:spacing w:line="240" w:lineRule="auto"/>
        <w:ind w:firstLine="0"/>
        <w:jc w:val="left"/>
        <w:rPr>
          <w:rFonts w:ascii="Times New Roman" w:hAnsi="Times New Roman"/>
          <w:b/>
        </w:rPr>
      </w:pPr>
      <w:bookmarkStart w:id="19" w:name="_Toc254700652"/>
      <w:bookmarkStart w:id="20" w:name="_Toc297104835"/>
      <w:bookmarkStart w:id="21" w:name="_Toc316466572"/>
      <w:r>
        <w:rPr>
          <w:rFonts w:ascii="Times New Roman" w:hAnsi="Times New Roman"/>
          <w:b/>
        </w:rPr>
        <w:br w:type="page"/>
      </w:r>
    </w:p>
    <w:p w:rsidR="006D34F4" w:rsidRDefault="006D34F4" w:rsidP="006D34F4">
      <w:pPr>
        <w:pStyle w:val="MarkforTableHeading"/>
        <w:ind w:left="-284"/>
        <w:rPr>
          <w:rFonts w:ascii="Times New Roman" w:hAnsi="Times New Roman"/>
          <w:sz w:val="24"/>
        </w:rPr>
      </w:pPr>
      <w:bookmarkStart w:id="22" w:name="_Toc321738211"/>
      <w:r w:rsidRPr="00E31D76">
        <w:rPr>
          <w:rFonts w:ascii="Times New Roman" w:hAnsi="Times New Roman"/>
          <w:sz w:val="24"/>
        </w:rPr>
        <w:lastRenderedPageBreak/>
        <w:t>Table A.2. Estimated Annualized Burden Costs</w:t>
      </w:r>
      <w:bookmarkEnd w:id="19"/>
      <w:bookmarkEnd w:id="20"/>
      <w:bookmarkEnd w:id="21"/>
      <w:r w:rsidRPr="00E31D76">
        <w:rPr>
          <w:rFonts w:ascii="Times New Roman" w:hAnsi="Times New Roman"/>
          <w:sz w:val="24"/>
        </w:rPr>
        <w:t xml:space="preserve"> for Phase 1</w:t>
      </w:r>
      <w:bookmarkEnd w:id="22"/>
    </w:p>
    <w:tbl>
      <w:tblPr>
        <w:tblStyle w:val="SMPRTableBlack"/>
        <w:tblW w:w="5000" w:type="pct"/>
        <w:tblInd w:w="-176" w:type="dxa"/>
        <w:tblLook w:val="04A0" w:firstRow="1" w:lastRow="0" w:firstColumn="1" w:lastColumn="0" w:noHBand="0" w:noVBand="1"/>
      </w:tblPr>
      <w:tblGrid>
        <w:gridCol w:w="3454"/>
        <w:gridCol w:w="1794"/>
        <w:gridCol w:w="1965"/>
        <w:gridCol w:w="2363"/>
      </w:tblGrid>
      <w:tr w:rsidR="006D34F4" w:rsidRPr="00E31D76" w:rsidTr="008B63FD">
        <w:trPr>
          <w:cnfStyle w:val="100000000000" w:firstRow="1" w:lastRow="0" w:firstColumn="0" w:lastColumn="0" w:oddVBand="0" w:evenVBand="0" w:oddHBand="0" w:evenHBand="0" w:firstRowFirstColumn="0" w:firstRowLastColumn="0" w:lastRowFirstColumn="0" w:lastRowLastColumn="0"/>
        </w:trPr>
        <w:tc>
          <w:tcPr>
            <w:tcW w:w="1803" w:type="pct"/>
            <w:vAlign w:val="bottom"/>
          </w:tcPr>
          <w:p w:rsidR="006D34F4" w:rsidRPr="00E31D76" w:rsidRDefault="006D34F4" w:rsidP="008B63FD">
            <w:pPr>
              <w:pStyle w:val="TableHeaderLeft"/>
              <w:rPr>
                <w:rFonts w:ascii="Times New Roman" w:hAnsi="Times New Roman"/>
                <w:sz w:val="24"/>
              </w:rPr>
            </w:pPr>
            <w:r w:rsidRPr="00E31D76">
              <w:rPr>
                <w:rFonts w:ascii="Times New Roman" w:hAnsi="Times New Roman"/>
                <w:sz w:val="24"/>
              </w:rPr>
              <w:t>Type of Respondent</w:t>
            </w:r>
          </w:p>
        </w:tc>
        <w:tc>
          <w:tcPr>
            <w:tcW w:w="936" w:type="pct"/>
          </w:tcPr>
          <w:p w:rsidR="006D34F4" w:rsidRPr="00E31D76" w:rsidRDefault="006D34F4" w:rsidP="008B63FD">
            <w:pPr>
              <w:pStyle w:val="TableHeaderCenter"/>
              <w:rPr>
                <w:rFonts w:ascii="Times New Roman" w:hAnsi="Times New Roman"/>
                <w:sz w:val="24"/>
              </w:rPr>
            </w:pPr>
            <w:r w:rsidRPr="00E31D76">
              <w:rPr>
                <w:rFonts w:ascii="Times New Roman" w:hAnsi="Times New Roman"/>
                <w:sz w:val="24"/>
              </w:rPr>
              <w:t>Total</w:t>
            </w:r>
            <w:r w:rsidRPr="00E31D76">
              <w:rPr>
                <w:rFonts w:ascii="Times New Roman" w:hAnsi="Times New Roman"/>
                <w:sz w:val="24"/>
              </w:rPr>
              <w:br/>
              <w:t>Burden Hours</w:t>
            </w:r>
          </w:p>
        </w:tc>
        <w:tc>
          <w:tcPr>
            <w:tcW w:w="1026" w:type="pct"/>
          </w:tcPr>
          <w:p w:rsidR="006D34F4" w:rsidRPr="00E31D76" w:rsidRDefault="006D34F4" w:rsidP="008B63FD">
            <w:pPr>
              <w:pStyle w:val="TableHeaderCenter"/>
              <w:rPr>
                <w:rFonts w:ascii="Times New Roman" w:hAnsi="Times New Roman"/>
                <w:sz w:val="24"/>
              </w:rPr>
            </w:pPr>
            <w:r w:rsidRPr="00E31D76">
              <w:rPr>
                <w:rFonts w:ascii="Times New Roman" w:hAnsi="Times New Roman"/>
                <w:sz w:val="24"/>
              </w:rPr>
              <w:t>Hourly</w:t>
            </w:r>
            <w:r w:rsidRPr="00E31D76">
              <w:rPr>
                <w:rFonts w:ascii="Times New Roman" w:hAnsi="Times New Roman"/>
                <w:sz w:val="24"/>
              </w:rPr>
              <w:br/>
              <w:t>Wage Rate ($)</w:t>
            </w:r>
          </w:p>
        </w:tc>
        <w:tc>
          <w:tcPr>
            <w:tcW w:w="1234" w:type="pct"/>
          </w:tcPr>
          <w:p w:rsidR="006D34F4" w:rsidRPr="00E31D76" w:rsidRDefault="006D34F4" w:rsidP="008B63FD">
            <w:pPr>
              <w:pStyle w:val="TableHeaderCenter"/>
              <w:ind w:left="-80"/>
              <w:rPr>
                <w:rFonts w:ascii="Times New Roman" w:hAnsi="Times New Roman"/>
                <w:sz w:val="24"/>
              </w:rPr>
            </w:pPr>
            <w:r w:rsidRPr="00E31D76">
              <w:rPr>
                <w:rFonts w:ascii="Times New Roman" w:hAnsi="Times New Roman"/>
                <w:sz w:val="24"/>
              </w:rPr>
              <w:t>Total</w:t>
            </w:r>
            <w:r w:rsidRPr="00E31D76">
              <w:rPr>
                <w:rFonts w:ascii="Times New Roman" w:hAnsi="Times New Roman"/>
                <w:sz w:val="24"/>
              </w:rPr>
              <w:br/>
              <w:t>Respondent Costs ($)</w:t>
            </w:r>
          </w:p>
        </w:tc>
      </w:tr>
      <w:tr w:rsidR="006D34F4" w:rsidRPr="00E31D76" w:rsidTr="008B63FD">
        <w:tc>
          <w:tcPr>
            <w:tcW w:w="1803" w:type="pct"/>
          </w:tcPr>
          <w:p w:rsidR="006D34F4" w:rsidRPr="00E31D76" w:rsidRDefault="006D34F4" w:rsidP="008B63FD">
            <w:pPr>
              <w:pStyle w:val="TableText"/>
              <w:spacing w:before="120"/>
              <w:rPr>
                <w:rFonts w:ascii="Times New Roman" w:hAnsi="Times New Roman"/>
                <w:sz w:val="24"/>
              </w:rPr>
            </w:pPr>
            <w:r w:rsidRPr="00E31D76">
              <w:rPr>
                <w:rFonts w:ascii="Times New Roman" w:hAnsi="Times New Roman"/>
                <w:sz w:val="24"/>
              </w:rPr>
              <w:t>Community Teams</w:t>
            </w:r>
          </w:p>
        </w:tc>
        <w:tc>
          <w:tcPr>
            <w:tcW w:w="936" w:type="pct"/>
          </w:tcPr>
          <w:p w:rsidR="006D34F4" w:rsidRPr="00E31D76" w:rsidRDefault="006D34F4" w:rsidP="008B63FD">
            <w:pPr>
              <w:pStyle w:val="TableText"/>
              <w:spacing w:before="120"/>
              <w:rPr>
                <w:rFonts w:ascii="Times New Roman" w:hAnsi="Times New Roman"/>
                <w:sz w:val="24"/>
              </w:rPr>
            </w:pPr>
          </w:p>
        </w:tc>
        <w:tc>
          <w:tcPr>
            <w:tcW w:w="1026" w:type="pct"/>
          </w:tcPr>
          <w:p w:rsidR="006D34F4" w:rsidRPr="00E31D76" w:rsidRDefault="006D34F4" w:rsidP="008B63FD">
            <w:pPr>
              <w:pStyle w:val="TableText"/>
              <w:spacing w:before="120"/>
              <w:rPr>
                <w:rFonts w:ascii="Times New Roman" w:hAnsi="Times New Roman"/>
                <w:sz w:val="24"/>
              </w:rPr>
            </w:pPr>
          </w:p>
        </w:tc>
        <w:tc>
          <w:tcPr>
            <w:tcW w:w="1234" w:type="pct"/>
          </w:tcPr>
          <w:p w:rsidR="006D34F4" w:rsidRPr="00E31D76" w:rsidRDefault="006D34F4" w:rsidP="008B63FD">
            <w:pPr>
              <w:pStyle w:val="TableText"/>
              <w:spacing w:before="120"/>
              <w:rPr>
                <w:rFonts w:ascii="Times New Roman" w:hAnsi="Times New Roman"/>
                <w:sz w:val="24"/>
              </w:rPr>
            </w:pPr>
          </w:p>
        </w:tc>
      </w:tr>
      <w:tr w:rsidR="006D34F4" w:rsidRPr="00E31D76" w:rsidTr="008B63FD">
        <w:tc>
          <w:tcPr>
            <w:tcW w:w="1803" w:type="pct"/>
          </w:tcPr>
          <w:p w:rsidR="006D34F4" w:rsidRPr="00E31D76" w:rsidRDefault="006D34F4" w:rsidP="008B63FD">
            <w:pPr>
              <w:pStyle w:val="TableText"/>
              <w:ind w:firstLine="155"/>
              <w:rPr>
                <w:rFonts w:ascii="Times New Roman" w:hAnsi="Times New Roman"/>
                <w:sz w:val="24"/>
              </w:rPr>
            </w:pPr>
            <w:r w:rsidRPr="00E31D76">
              <w:rPr>
                <w:rFonts w:ascii="Times New Roman" w:hAnsi="Times New Roman"/>
                <w:sz w:val="24"/>
              </w:rPr>
              <w:t>Primary care</w:t>
            </w:r>
          </w:p>
        </w:tc>
        <w:tc>
          <w:tcPr>
            <w:tcW w:w="936" w:type="pct"/>
            <w:vAlign w:val="bottom"/>
          </w:tcPr>
          <w:p w:rsidR="006D34F4" w:rsidRDefault="006D34F4" w:rsidP="008B63FD">
            <w:pPr>
              <w:pStyle w:val="TableText"/>
              <w:tabs>
                <w:tab w:val="decimal" w:pos="833"/>
              </w:tabs>
              <w:jc w:val="center"/>
              <w:rPr>
                <w:rFonts w:ascii="Times New Roman" w:hAnsi="Times New Roman"/>
                <w:sz w:val="24"/>
                <w:highlight w:val="yellow"/>
              </w:rPr>
            </w:pPr>
            <w:r>
              <w:rPr>
                <w:rFonts w:ascii="Times New Roman" w:hAnsi="Times New Roman"/>
                <w:sz w:val="24"/>
              </w:rPr>
              <w:t>42</w:t>
            </w:r>
          </w:p>
        </w:tc>
        <w:tc>
          <w:tcPr>
            <w:tcW w:w="1026" w:type="pct"/>
            <w:vAlign w:val="bottom"/>
          </w:tcPr>
          <w:p w:rsidR="006D34F4" w:rsidRDefault="006D34F4" w:rsidP="008B63FD">
            <w:pPr>
              <w:pStyle w:val="TableText"/>
              <w:tabs>
                <w:tab w:val="decimal" w:pos="759"/>
                <w:tab w:val="decimal" w:pos="833"/>
              </w:tabs>
              <w:jc w:val="center"/>
              <w:rPr>
                <w:rFonts w:ascii="Times New Roman" w:hAnsi="Times New Roman"/>
                <w:sz w:val="24"/>
              </w:rPr>
            </w:pPr>
            <w:r w:rsidRPr="004130F1">
              <w:rPr>
                <w:rFonts w:ascii="Times New Roman" w:hAnsi="Times New Roman"/>
                <w:sz w:val="24"/>
              </w:rPr>
              <w:t>28.12</w:t>
            </w:r>
          </w:p>
        </w:tc>
        <w:tc>
          <w:tcPr>
            <w:tcW w:w="1234" w:type="pct"/>
            <w:vAlign w:val="bottom"/>
          </w:tcPr>
          <w:p w:rsidR="006D34F4" w:rsidRDefault="006D34F4" w:rsidP="008B63FD">
            <w:pPr>
              <w:pStyle w:val="TableText"/>
              <w:tabs>
                <w:tab w:val="decimal" w:pos="833"/>
                <w:tab w:val="decimal" w:pos="910"/>
              </w:tabs>
              <w:jc w:val="center"/>
              <w:rPr>
                <w:rFonts w:ascii="Times New Roman" w:hAnsi="Times New Roman"/>
                <w:sz w:val="24"/>
              </w:rPr>
            </w:pPr>
            <w:r w:rsidRPr="004130F1">
              <w:rPr>
                <w:rFonts w:ascii="Times New Roman" w:hAnsi="Times New Roman"/>
                <w:sz w:val="24"/>
              </w:rPr>
              <w:t>1,181.</w:t>
            </w:r>
            <w:r>
              <w:rPr>
                <w:rFonts w:ascii="Times New Roman" w:hAnsi="Times New Roman"/>
                <w:sz w:val="24"/>
              </w:rPr>
              <w:t>04</w:t>
            </w:r>
          </w:p>
        </w:tc>
      </w:tr>
      <w:tr w:rsidR="006D34F4" w:rsidRPr="00E31D76" w:rsidTr="008B63FD">
        <w:tc>
          <w:tcPr>
            <w:tcW w:w="1803" w:type="pct"/>
          </w:tcPr>
          <w:p w:rsidR="006D34F4" w:rsidRPr="00E31D76" w:rsidRDefault="006D34F4" w:rsidP="008B63FD">
            <w:pPr>
              <w:pStyle w:val="TableText"/>
              <w:ind w:firstLine="155"/>
              <w:rPr>
                <w:rFonts w:ascii="Times New Roman" w:hAnsi="Times New Roman"/>
                <w:sz w:val="24"/>
              </w:rPr>
            </w:pPr>
            <w:r w:rsidRPr="00E31D76">
              <w:rPr>
                <w:rFonts w:ascii="Times New Roman" w:hAnsi="Times New Roman"/>
                <w:sz w:val="24"/>
              </w:rPr>
              <w:t>Public health</w:t>
            </w:r>
          </w:p>
        </w:tc>
        <w:tc>
          <w:tcPr>
            <w:tcW w:w="936" w:type="pct"/>
            <w:vAlign w:val="bottom"/>
          </w:tcPr>
          <w:p w:rsidR="006D34F4" w:rsidRDefault="006D34F4" w:rsidP="008B63FD">
            <w:pPr>
              <w:pStyle w:val="TableText"/>
              <w:tabs>
                <w:tab w:val="decimal" w:pos="833"/>
              </w:tabs>
              <w:jc w:val="center"/>
              <w:rPr>
                <w:rFonts w:ascii="Times New Roman" w:hAnsi="Times New Roman"/>
                <w:sz w:val="24"/>
              </w:rPr>
            </w:pPr>
            <w:r>
              <w:rPr>
                <w:rFonts w:ascii="Times New Roman" w:hAnsi="Times New Roman"/>
                <w:sz w:val="24"/>
              </w:rPr>
              <w:t>42</w:t>
            </w:r>
          </w:p>
        </w:tc>
        <w:tc>
          <w:tcPr>
            <w:tcW w:w="1026" w:type="pct"/>
            <w:vAlign w:val="bottom"/>
          </w:tcPr>
          <w:p w:rsidR="006D34F4" w:rsidRDefault="006D34F4" w:rsidP="008B63FD">
            <w:pPr>
              <w:pStyle w:val="TableText"/>
              <w:tabs>
                <w:tab w:val="decimal" w:pos="759"/>
                <w:tab w:val="decimal" w:pos="833"/>
              </w:tabs>
              <w:jc w:val="center"/>
              <w:rPr>
                <w:rFonts w:ascii="Times New Roman" w:hAnsi="Times New Roman"/>
                <w:sz w:val="24"/>
              </w:rPr>
            </w:pPr>
            <w:r w:rsidRPr="004130F1">
              <w:rPr>
                <w:rFonts w:ascii="Times New Roman" w:hAnsi="Times New Roman"/>
                <w:sz w:val="24"/>
              </w:rPr>
              <w:t>27.86</w:t>
            </w:r>
          </w:p>
        </w:tc>
        <w:tc>
          <w:tcPr>
            <w:tcW w:w="1234" w:type="pct"/>
            <w:vAlign w:val="bottom"/>
          </w:tcPr>
          <w:p w:rsidR="006D34F4" w:rsidRDefault="006D34F4" w:rsidP="008B63FD">
            <w:pPr>
              <w:pStyle w:val="TableText"/>
              <w:tabs>
                <w:tab w:val="decimal" w:pos="833"/>
                <w:tab w:val="decimal" w:pos="910"/>
              </w:tabs>
              <w:jc w:val="center"/>
              <w:rPr>
                <w:rFonts w:ascii="Times New Roman" w:hAnsi="Times New Roman"/>
                <w:sz w:val="24"/>
              </w:rPr>
            </w:pPr>
            <w:r w:rsidRPr="004130F1">
              <w:rPr>
                <w:rFonts w:ascii="Times New Roman" w:hAnsi="Times New Roman"/>
                <w:sz w:val="24"/>
              </w:rPr>
              <w:t>1,170.12</w:t>
            </w:r>
          </w:p>
        </w:tc>
      </w:tr>
      <w:tr w:rsidR="006D34F4" w:rsidRPr="00E31D76" w:rsidTr="008B63FD">
        <w:tc>
          <w:tcPr>
            <w:tcW w:w="1803" w:type="pct"/>
          </w:tcPr>
          <w:p w:rsidR="006D34F4" w:rsidRDefault="006D34F4" w:rsidP="008B63FD">
            <w:pPr>
              <w:pStyle w:val="TableText"/>
              <w:spacing w:after="60"/>
              <w:ind w:left="335" w:hanging="180"/>
              <w:rPr>
                <w:rFonts w:ascii="Times New Roman" w:hAnsi="Times New Roman"/>
                <w:sz w:val="24"/>
              </w:rPr>
            </w:pPr>
            <w:r w:rsidRPr="00E31D76">
              <w:rPr>
                <w:rFonts w:ascii="Times New Roman" w:hAnsi="Times New Roman"/>
                <w:sz w:val="24"/>
              </w:rPr>
              <w:t>Community-based organization</w:t>
            </w:r>
          </w:p>
        </w:tc>
        <w:tc>
          <w:tcPr>
            <w:tcW w:w="936" w:type="pct"/>
            <w:vAlign w:val="bottom"/>
          </w:tcPr>
          <w:p w:rsidR="006D34F4" w:rsidRDefault="006D34F4" w:rsidP="008B63FD">
            <w:pPr>
              <w:pStyle w:val="TableText"/>
              <w:tabs>
                <w:tab w:val="decimal" w:pos="833"/>
              </w:tabs>
              <w:spacing w:after="60"/>
              <w:jc w:val="center"/>
              <w:rPr>
                <w:rFonts w:ascii="Times New Roman" w:hAnsi="Times New Roman"/>
                <w:sz w:val="24"/>
              </w:rPr>
            </w:pPr>
            <w:r>
              <w:rPr>
                <w:rFonts w:ascii="Times New Roman" w:hAnsi="Times New Roman"/>
                <w:sz w:val="24"/>
              </w:rPr>
              <w:t>41</w:t>
            </w:r>
          </w:p>
        </w:tc>
        <w:tc>
          <w:tcPr>
            <w:tcW w:w="1026" w:type="pct"/>
            <w:vAlign w:val="bottom"/>
          </w:tcPr>
          <w:p w:rsidR="006D34F4" w:rsidRDefault="006D34F4" w:rsidP="008B63FD">
            <w:pPr>
              <w:pStyle w:val="TableText"/>
              <w:tabs>
                <w:tab w:val="decimal" w:pos="759"/>
                <w:tab w:val="decimal" w:pos="833"/>
              </w:tabs>
              <w:spacing w:after="60"/>
              <w:jc w:val="center"/>
              <w:rPr>
                <w:rFonts w:ascii="Times New Roman" w:hAnsi="Times New Roman"/>
                <w:sz w:val="24"/>
              </w:rPr>
            </w:pPr>
            <w:r w:rsidRPr="004130F1">
              <w:rPr>
                <w:rFonts w:ascii="Times New Roman" w:hAnsi="Times New Roman"/>
                <w:sz w:val="24"/>
              </w:rPr>
              <w:t>27.86</w:t>
            </w:r>
          </w:p>
        </w:tc>
        <w:tc>
          <w:tcPr>
            <w:tcW w:w="1234" w:type="pct"/>
            <w:vAlign w:val="bottom"/>
          </w:tcPr>
          <w:p w:rsidR="006D34F4" w:rsidRDefault="006D34F4" w:rsidP="008B63FD">
            <w:pPr>
              <w:pStyle w:val="TableText"/>
              <w:tabs>
                <w:tab w:val="decimal" w:pos="833"/>
                <w:tab w:val="decimal" w:pos="910"/>
              </w:tabs>
              <w:spacing w:after="60"/>
              <w:jc w:val="center"/>
              <w:rPr>
                <w:rFonts w:ascii="Times New Roman" w:hAnsi="Times New Roman"/>
                <w:sz w:val="24"/>
              </w:rPr>
            </w:pPr>
            <w:r w:rsidRPr="004130F1">
              <w:rPr>
                <w:rFonts w:ascii="Times New Roman" w:hAnsi="Times New Roman"/>
                <w:sz w:val="24"/>
              </w:rPr>
              <w:t>1,142.26</w:t>
            </w:r>
          </w:p>
        </w:tc>
      </w:tr>
      <w:tr w:rsidR="006D34F4" w:rsidRPr="00E31D76" w:rsidTr="008B63FD">
        <w:tc>
          <w:tcPr>
            <w:tcW w:w="1803" w:type="pct"/>
          </w:tcPr>
          <w:p w:rsidR="006D34F4" w:rsidRPr="00E31D76" w:rsidRDefault="006D34F4" w:rsidP="008B63FD">
            <w:pPr>
              <w:pStyle w:val="TableText"/>
              <w:rPr>
                <w:rFonts w:ascii="Times New Roman" w:hAnsi="Times New Roman"/>
                <w:sz w:val="24"/>
              </w:rPr>
            </w:pPr>
            <w:r w:rsidRPr="00E31D76">
              <w:rPr>
                <w:rFonts w:ascii="Times New Roman" w:hAnsi="Times New Roman"/>
                <w:sz w:val="24"/>
              </w:rPr>
              <w:t>NICHQ Leadership</w:t>
            </w:r>
          </w:p>
        </w:tc>
        <w:tc>
          <w:tcPr>
            <w:tcW w:w="936" w:type="pct"/>
            <w:vAlign w:val="bottom"/>
          </w:tcPr>
          <w:p w:rsidR="006D34F4" w:rsidRDefault="006D34F4" w:rsidP="008B63FD">
            <w:pPr>
              <w:pStyle w:val="TableText"/>
              <w:tabs>
                <w:tab w:val="decimal" w:pos="833"/>
              </w:tabs>
              <w:jc w:val="center"/>
              <w:rPr>
                <w:rFonts w:ascii="Times New Roman" w:hAnsi="Times New Roman"/>
                <w:sz w:val="24"/>
              </w:rPr>
            </w:pPr>
            <w:r>
              <w:rPr>
                <w:rFonts w:ascii="Times New Roman" w:hAnsi="Times New Roman"/>
                <w:sz w:val="24"/>
              </w:rPr>
              <w:t>4</w:t>
            </w:r>
          </w:p>
        </w:tc>
        <w:tc>
          <w:tcPr>
            <w:tcW w:w="1026" w:type="pct"/>
            <w:vAlign w:val="bottom"/>
          </w:tcPr>
          <w:p w:rsidR="006D34F4" w:rsidRDefault="006D34F4" w:rsidP="008B63FD">
            <w:pPr>
              <w:pStyle w:val="TableText"/>
              <w:tabs>
                <w:tab w:val="decimal" w:pos="759"/>
                <w:tab w:val="decimal" w:pos="833"/>
              </w:tabs>
              <w:jc w:val="center"/>
              <w:rPr>
                <w:rFonts w:ascii="Times New Roman" w:hAnsi="Times New Roman"/>
                <w:sz w:val="24"/>
              </w:rPr>
            </w:pPr>
            <w:r w:rsidRPr="004130F1">
              <w:rPr>
                <w:rFonts w:ascii="Times New Roman" w:hAnsi="Times New Roman"/>
                <w:sz w:val="24"/>
              </w:rPr>
              <w:t>36.89</w:t>
            </w:r>
          </w:p>
        </w:tc>
        <w:tc>
          <w:tcPr>
            <w:tcW w:w="1234" w:type="pct"/>
            <w:vAlign w:val="bottom"/>
          </w:tcPr>
          <w:p w:rsidR="006D34F4" w:rsidRDefault="006D34F4" w:rsidP="008B63FD">
            <w:pPr>
              <w:pStyle w:val="TableText"/>
              <w:tabs>
                <w:tab w:val="decimal" w:pos="833"/>
                <w:tab w:val="decimal" w:pos="910"/>
              </w:tabs>
              <w:jc w:val="center"/>
              <w:rPr>
                <w:rFonts w:ascii="Times New Roman" w:hAnsi="Times New Roman"/>
                <w:sz w:val="24"/>
              </w:rPr>
            </w:pPr>
            <w:r w:rsidRPr="004130F1">
              <w:rPr>
                <w:rFonts w:ascii="Times New Roman" w:hAnsi="Times New Roman"/>
                <w:sz w:val="24"/>
              </w:rPr>
              <w:t>147.56</w:t>
            </w:r>
          </w:p>
        </w:tc>
      </w:tr>
      <w:tr w:rsidR="006D34F4" w:rsidRPr="00E31D76" w:rsidTr="008B63FD">
        <w:tc>
          <w:tcPr>
            <w:tcW w:w="1803" w:type="pct"/>
          </w:tcPr>
          <w:p w:rsidR="006D34F4" w:rsidRPr="00E31D76" w:rsidRDefault="006D34F4" w:rsidP="008B63FD">
            <w:pPr>
              <w:pStyle w:val="TableText"/>
              <w:rPr>
                <w:rFonts w:ascii="Times New Roman" w:hAnsi="Times New Roman"/>
                <w:sz w:val="24"/>
              </w:rPr>
            </w:pPr>
            <w:r>
              <w:rPr>
                <w:rFonts w:ascii="Times New Roman" w:hAnsi="Times New Roman"/>
                <w:sz w:val="24"/>
              </w:rPr>
              <w:t>HWC</w:t>
            </w:r>
            <w:r w:rsidRPr="00E31D76">
              <w:rPr>
                <w:rFonts w:ascii="Times New Roman" w:hAnsi="Times New Roman"/>
                <w:sz w:val="24"/>
              </w:rPr>
              <w:t xml:space="preserve"> Faculty</w:t>
            </w:r>
          </w:p>
        </w:tc>
        <w:tc>
          <w:tcPr>
            <w:tcW w:w="936" w:type="pct"/>
            <w:vAlign w:val="bottom"/>
          </w:tcPr>
          <w:p w:rsidR="006D34F4" w:rsidRDefault="006D34F4" w:rsidP="008B63FD">
            <w:pPr>
              <w:pStyle w:val="TableText"/>
              <w:tabs>
                <w:tab w:val="decimal" w:pos="833"/>
              </w:tabs>
              <w:jc w:val="center"/>
              <w:rPr>
                <w:rFonts w:ascii="Times New Roman" w:hAnsi="Times New Roman"/>
                <w:sz w:val="24"/>
              </w:rPr>
            </w:pPr>
            <w:r>
              <w:rPr>
                <w:rFonts w:ascii="Times New Roman" w:hAnsi="Times New Roman"/>
                <w:sz w:val="24"/>
              </w:rPr>
              <w:t>9</w:t>
            </w:r>
          </w:p>
        </w:tc>
        <w:tc>
          <w:tcPr>
            <w:tcW w:w="1026" w:type="pct"/>
            <w:vAlign w:val="bottom"/>
          </w:tcPr>
          <w:p w:rsidR="006D34F4" w:rsidRDefault="006D34F4" w:rsidP="008B63FD">
            <w:pPr>
              <w:pStyle w:val="TableText"/>
              <w:tabs>
                <w:tab w:val="decimal" w:pos="759"/>
                <w:tab w:val="decimal" w:pos="833"/>
              </w:tabs>
              <w:jc w:val="center"/>
              <w:rPr>
                <w:rFonts w:ascii="Times New Roman" w:hAnsi="Times New Roman"/>
                <w:sz w:val="24"/>
              </w:rPr>
            </w:pPr>
            <w:r w:rsidRPr="004130F1">
              <w:rPr>
                <w:rFonts w:ascii="Times New Roman" w:hAnsi="Times New Roman"/>
                <w:sz w:val="24"/>
              </w:rPr>
              <w:t>27.86</w:t>
            </w:r>
          </w:p>
        </w:tc>
        <w:tc>
          <w:tcPr>
            <w:tcW w:w="1234" w:type="pct"/>
            <w:vAlign w:val="bottom"/>
          </w:tcPr>
          <w:p w:rsidR="006D34F4" w:rsidRDefault="006D34F4" w:rsidP="008B63FD">
            <w:pPr>
              <w:pStyle w:val="TableText"/>
              <w:tabs>
                <w:tab w:val="decimal" w:pos="833"/>
                <w:tab w:val="decimal" w:pos="910"/>
              </w:tabs>
              <w:jc w:val="center"/>
              <w:rPr>
                <w:rFonts w:ascii="Times New Roman" w:hAnsi="Times New Roman"/>
                <w:sz w:val="24"/>
              </w:rPr>
            </w:pPr>
            <w:r>
              <w:rPr>
                <w:rFonts w:ascii="Times New Roman" w:hAnsi="Times New Roman"/>
                <w:sz w:val="24"/>
              </w:rPr>
              <w:t>250.74</w:t>
            </w:r>
          </w:p>
        </w:tc>
      </w:tr>
      <w:tr w:rsidR="006D34F4" w:rsidRPr="00E31D76" w:rsidTr="008B63FD">
        <w:tc>
          <w:tcPr>
            <w:tcW w:w="1803" w:type="pct"/>
          </w:tcPr>
          <w:p w:rsidR="006D34F4" w:rsidRPr="00E31D76" w:rsidRDefault="006D34F4" w:rsidP="008B63FD">
            <w:pPr>
              <w:pStyle w:val="TableText"/>
              <w:rPr>
                <w:rFonts w:ascii="Times New Roman" w:hAnsi="Times New Roman"/>
                <w:sz w:val="24"/>
              </w:rPr>
            </w:pPr>
            <w:r>
              <w:rPr>
                <w:rFonts w:ascii="Times New Roman" w:hAnsi="Times New Roman"/>
                <w:sz w:val="24"/>
              </w:rPr>
              <w:t>HWC</w:t>
            </w:r>
            <w:r w:rsidRPr="00E31D76">
              <w:rPr>
                <w:rFonts w:ascii="Times New Roman" w:hAnsi="Times New Roman"/>
                <w:sz w:val="24"/>
              </w:rPr>
              <w:t xml:space="preserve"> Project Managers</w:t>
            </w:r>
          </w:p>
        </w:tc>
        <w:tc>
          <w:tcPr>
            <w:tcW w:w="936" w:type="pct"/>
            <w:vAlign w:val="bottom"/>
          </w:tcPr>
          <w:p w:rsidR="006D34F4" w:rsidRDefault="006D34F4" w:rsidP="008B63FD">
            <w:pPr>
              <w:pStyle w:val="TableText"/>
              <w:tabs>
                <w:tab w:val="decimal" w:pos="833"/>
              </w:tabs>
              <w:jc w:val="center"/>
              <w:rPr>
                <w:rFonts w:ascii="Times New Roman" w:hAnsi="Times New Roman"/>
                <w:sz w:val="24"/>
              </w:rPr>
            </w:pPr>
            <w:r>
              <w:rPr>
                <w:rFonts w:ascii="Times New Roman" w:hAnsi="Times New Roman"/>
                <w:sz w:val="24"/>
              </w:rPr>
              <w:t>5</w:t>
            </w:r>
          </w:p>
        </w:tc>
        <w:tc>
          <w:tcPr>
            <w:tcW w:w="1026" w:type="pct"/>
            <w:vAlign w:val="bottom"/>
          </w:tcPr>
          <w:p w:rsidR="006D34F4" w:rsidRDefault="006D34F4" w:rsidP="008B63FD">
            <w:pPr>
              <w:pStyle w:val="TableText"/>
              <w:tabs>
                <w:tab w:val="decimal" w:pos="759"/>
                <w:tab w:val="decimal" w:pos="833"/>
              </w:tabs>
              <w:jc w:val="center"/>
              <w:rPr>
                <w:rFonts w:ascii="Times New Roman" w:hAnsi="Times New Roman"/>
                <w:sz w:val="24"/>
              </w:rPr>
            </w:pPr>
            <w:r w:rsidRPr="004130F1">
              <w:rPr>
                <w:rFonts w:ascii="Times New Roman" w:hAnsi="Times New Roman"/>
                <w:sz w:val="24"/>
              </w:rPr>
              <w:t>27.86</w:t>
            </w:r>
          </w:p>
        </w:tc>
        <w:tc>
          <w:tcPr>
            <w:tcW w:w="1234" w:type="pct"/>
            <w:vAlign w:val="bottom"/>
          </w:tcPr>
          <w:p w:rsidR="006D34F4" w:rsidRDefault="006D34F4" w:rsidP="008B63FD">
            <w:pPr>
              <w:pStyle w:val="TableText"/>
              <w:tabs>
                <w:tab w:val="decimal" w:pos="833"/>
                <w:tab w:val="decimal" w:pos="910"/>
              </w:tabs>
              <w:jc w:val="center"/>
              <w:rPr>
                <w:rFonts w:ascii="Times New Roman" w:hAnsi="Times New Roman"/>
                <w:sz w:val="24"/>
              </w:rPr>
            </w:pPr>
            <w:r w:rsidRPr="004130F1">
              <w:rPr>
                <w:rFonts w:ascii="Times New Roman" w:hAnsi="Times New Roman"/>
                <w:sz w:val="24"/>
              </w:rPr>
              <w:t>139.30</w:t>
            </w:r>
          </w:p>
        </w:tc>
      </w:tr>
      <w:tr w:rsidR="006D34F4" w:rsidRPr="00E31D76" w:rsidTr="008B63FD">
        <w:tc>
          <w:tcPr>
            <w:tcW w:w="1803" w:type="pct"/>
          </w:tcPr>
          <w:p w:rsidR="006D34F4" w:rsidRDefault="006D34F4" w:rsidP="008B63FD">
            <w:pPr>
              <w:pStyle w:val="TableText"/>
              <w:spacing w:after="60"/>
              <w:rPr>
                <w:rFonts w:ascii="Times New Roman" w:hAnsi="Times New Roman"/>
                <w:b/>
                <w:sz w:val="24"/>
              </w:rPr>
            </w:pPr>
            <w:r w:rsidRPr="00E31D76">
              <w:rPr>
                <w:rFonts w:ascii="Times New Roman" w:hAnsi="Times New Roman"/>
                <w:b/>
                <w:sz w:val="24"/>
              </w:rPr>
              <w:t>Total</w:t>
            </w:r>
          </w:p>
        </w:tc>
        <w:tc>
          <w:tcPr>
            <w:tcW w:w="936" w:type="pct"/>
            <w:vAlign w:val="bottom"/>
          </w:tcPr>
          <w:p w:rsidR="006D34F4" w:rsidRDefault="006D34F4" w:rsidP="008B63FD">
            <w:pPr>
              <w:pStyle w:val="TableText"/>
              <w:tabs>
                <w:tab w:val="decimal" w:pos="833"/>
              </w:tabs>
              <w:spacing w:after="60"/>
              <w:jc w:val="center"/>
              <w:rPr>
                <w:rFonts w:ascii="Times New Roman" w:hAnsi="Times New Roman"/>
                <w:b/>
                <w:sz w:val="24"/>
              </w:rPr>
            </w:pPr>
            <w:r w:rsidRPr="00A85D87">
              <w:rPr>
                <w:rFonts w:ascii="Times New Roman" w:hAnsi="Times New Roman"/>
                <w:sz w:val="24"/>
              </w:rPr>
              <w:t>136</w:t>
            </w:r>
          </w:p>
        </w:tc>
        <w:tc>
          <w:tcPr>
            <w:tcW w:w="1026" w:type="pct"/>
            <w:vAlign w:val="bottom"/>
          </w:tcPr>
          <w:p w:rsidR="006D34F4" w:rsidRDefault="006D34F4" w:rsidP="008B63FD">
            <w:pPr>
              <w:pStyle w:val="TableText"/>
              <w:tabs>
                <w:tab w:val="decimal" w:pos="759"/>
                <w:tab w:val="decimal" w:pos="833"/>
              </w:tabs>
              <w:spacing w:after="60"/>
              <w:jc w:val="center"/>
              <w:rPr>
                <w:rFonts w:ascii="Times New Roman" w:hAnsi="Times New Roman"/>
                <w:b/>
                <w:sz w:val="24"/>
              </w:rPr>
            </w:pPr>
            <w:r w:rsidRPr="00E31D76">
              <w:rPr>
                <w:rFonts w:ascii="Times New Roman" w:hAnsi="Times New Roman"/>
                <w:b/>
                <w:sz w:val="24"/>
              </w:rPr>
              <w:t>-</w:t>
            </w:r>
          </w:p>
        </w:tc>
        <w:tc>
          <w:tcPr>
            <w:tcW w:w="1234" w:type="pct"/>
            <w:vAlign w:val="bottom"/>
          </w:tcPr>
          <w:p w:rsidR="006D34F4" w:rsidRDefault="006D34F4" w:rsidP="008B63FD">
            <w:pPr>
              <w:pStyle w:val="TableText"/>
              <w:tabs>
                <w:tab w:val="decimal" w:pos="833"/>
                <w:tab w:val="decimal" w:pos="910"/>
              </w:tabs>
              <w:spacing w:after="60"/>
              <w:jc w:val="center"/>
              <w:rPr>
                <w:rFonts w:ascii="Times New Roman" w:hAnsi="Times New Roman"/>
                <w:b/>
                <w:sz w:val="24"/>
              </w:rPr>
            </w:pPr>
            <w:r>
              <w:rPr>
                <w:rFonts w:ascii="Times New Roman" w:hAnsi="Times New Roman"/>
                <w:b/>
                <w:sz w:val="24"/>
              </w:rPr>
              <w:t>4,031.02</w:t>
            </w:r>
          </w:p>
        </w:tc>
      </w:tr>
    </w:tbl>
    <w:p w:rsidR="006D34F4" w:rsidRDefault="006D34F4" w:rsidP="006D34F4">
      <w:pPr>
        <w:pStyle w:val="Heading2Black"/>
        <w:spacing w:before="360"/>
        <w:rPr>
          <w:rFonts w:ascii="Times New Roman" w:hAnsi="Times New Roman"/>
        </w:rPr>
      </w:pPr>
      <w:bookmarkStart w:id="23" w:name="_Toc330974227"/>
      <w:r>
        <w:rPr>
          <w:rFonts w:ascii="Times New Roman" w:hAnsi="Times New Roman"/>
        </w:rPr>
        <w:t>13</w:t>
      </w:r>
      <w:r w:rsidRPr="003D1EDB">
        <w:rPr>
          <w:rFonts w:ascii="Times New Roman" w:hAnsi="Times New Roman"/>
        </w:rPr>
        <w:t>.</w:t>
      </w:r>
      <w:r w:rsidRPr="003D1EDB">
        <w:rPr>
          <w:rFonts w:ascii="Times New Roman" w:hAnsi="Times New Roman"/>
        </w:rPr>
        <w:tab/>
        <w:t>Estimates of Other Total Annual Cost Burden to Respondents</w:t>
      </w:r>
      <w:bookmarkEnd w:id="23"/>
    </w:p>
    <w:p w:rsidR="006D34F4" w:rsidRPr="00E31D76" w:rsidRDefault="006D34F4" w:rsidP="006D34F4">
      <w:pPr>
        <w:pStyle w:val="NormalSS"/>
        <w:rPr>
          <w:rFonts w:ascii="Times New Roman" w:hAnsi="Times New Roman"/>
        </w:rPr>
      </w:pPr>
      <w:r w:rsidRPr="00E31D76">
        <w:rPr>
          <w:rFonts w:ascii="Times New Roman" w:hAnsi="Times New Roman"/>
        </w:rPr>
        <w:t>There are no capital and start-up costs to respondents associated with this data collection. The interviews are a one-time data collection effort.</w:t>
      </w:r>
    </w:p>
    <w:p w:rsidR="006D34F4" w:rsidRDefault="006D34F4" w:rsidP="006D34F4">
      <w:pPr>
        <w:pStyle w:val="Heading2Black"/>
        <w:rPr>
          <w:rFonts w:ascii="Times New Roman" w:hAnsi="Times New Roman"/>
        </w:rPr>
      </w:pPr>
      <w:bookmarkStart w:id="24" w:name="_Toc330974228"/>
      <w:r>
        <w:rPr>
          <w:rFonts w:ascii="Times New Roman" w:hAnsi="Times New Roman"/>
        </w:rPr>
        <w:t>14</w:t>
      </w:r>
      <w:r w:rsidRPr="003D1EDB">
        <w:rPr>
          <w:rFonts w:ascii="Times New Roman" w:hAnsi="Times New Roman"/>
        </w:rPr>
        <w:t>.</w:t>
      </w:r>
      <w:r w:rsidRPr="003D1EDB">
        <w:rPr>
          <w:rFonts w:ascii="Times New Roman" w:hAnsi="Times New Roman"/>
        </w:rPr>
        <w:tab/>
        <w:t>Annualized Cost to the Federal Government</w:t>
      </w:r>
      <w:bookmarkEnd w:id="24"/>
    </w:p>
    <w:p w:rsidR="0048508B" w:rsidRDefault="0048508B" w:rsidP="0048508B">
      <w:pPr>
        <w:pStyle w:val="NormalSS"/>
        <w:rPr>
          <w:rFonts w:ascii="Times New Roman" w:hAnsi="Times New Roman"/>
        </w:rPr>
      </w:pPr>
      <w:bookmarkStart w:id="25" w:name="_Toc330974229"/>
      <w:r>
        <w:rPr>
          <w:rFonts w:ascii="Times New Roman" w:hAnsi="Times New Roman"/>
        </w:rPr>
        <w:t xml:space="preserve">The </w:t>
      </w:r>
      <w:r w:rsidR="00B778AF">
        <w:rPr>
          <w:rFonts w:ascii="Times New Roman" w:hAnsi="Times New Roman"/>
        </w:rPr>
        <w:t xml:space="preserve">overall implementation study of Phases 1 and 2 </w:t>
      </w:r>
      <w:r>
        <w:rPr>
          <w:rFonts w:ascii="Times New Roman" w:hAnsi="Times New Roman"/>
        </w:rPr>
        <w:t xml:space="preserve">will take place over a 4-year period. The total cost of the </w:t>
      </w:r>
      <w:r w:rsidR="00B778AF">
        <w:rPr>
          <w:rFonts w:ascii="Times New Roman" w:hAnsi="Times New Roman"/>
        </w:rPr>
        <w:t xml:space="preserve">overall implementation study </w:t>
      </w:r>
      <w:r>
        <w:rPr>
          <w:rFonts w:ascii="Times New Roman" w:hAnsi="Times New Roman"/>
        </w:rPr>
        <w:t xml:space="preserve">to the government is $640,658, which includes the amount awarded via contract to Mathematica ($595,058) and HRSA staff time/resources ($45,600).  The total </w:t>
      </w:r>
      <w:r w:rsidR="00B778AF">
        <w:rPr>
          <w:rFonts w:ascii="Times New Roman" w:hAnsi="Times New Roman"/>
        </w:rPr>
        <w:t xml:space="preserve">implementation study </w:t>
      </w:r>
      <w:r>
        <w:rPr>
          <w:rFonts w:ascii="Times New Roman" w:hAnsi="Times New Roman"/>
        </w:rPr>
        <w:t xml:space="preserve">cost was based on the budget developed by Mathematica that calculated wages and hours for all staff, all mailing costs, telephone charges, and overhead costs per contract year along with the Government staff costs. The annualized contrast cost has been determined to be $160,164.50 per year by dividing the total funded amount by four years. </w:t>
      </w:r>
      <w:r w:rsidR="00B778AF">
        <w:rPr>
          <w:rFonts w:ascii="Times New Roman" w:hAnsi="Times New Roman"/>
        </w:rPr>
        <w:t>This OMB review is for Phase 2 of the implementation study.</w:t>
      </w:r>
    </w:p>
    <w:p w:rsidR="006D34F4" w:rsidRDefault="006D34F4" w:rsidP="006D34F4">
      <w:pPr>
        <w:pStyle w:val="Heading2Black"/>
        <w:rPr>
          <w:rFonts w:ascii="Times New Roman" w:hAnsi="Times New Roman"/>
        </w:rPr>
      </w:pPr>
      <w:r>
        <w:rPr>
          <w:rFonts w:ascii="Times New Roman" w:hAnsi="Times New Roman"/>
        </w:rPr>
        <w:t>15</w:t>
      </w:r>
      <w:r w:rsidRPr="003D1EDB">
        <w:rPr>
          <w:rFonts w:ascii="Times New Roman" w:hAnsi="Times New Roman"/>
        </w:rPr>
        <w:t>.</w:t>
      </w:r>
      <w:r w:rsidRPr="003D1EDB">
        <w:rPr>
          <w:rFonts w:ascii="Times New Roman" w:hAnsi="Times New Roman"/>
        </w:rPr>
        <w:tab/>
        <w:t>Change in Burden</w:t>
      </w:r>
      <w:bookmarkEnd w:id="25"/>
    </w:p>
    <w:p w:rsidR="006D34F4" w:rsidRPr="00E31D76" w:rsidRDefault="006D34F4" w:rsidP="006D34F4">
      <w:pPr>
        <w:pStyle w:val="NormalSS"/>
        <w:rPr>
          <w:rFonts w:ascii="Times New Roman" w:hAnsi="Times New Roman"/>
        </w:rPr>
      </w:pPr>
      <w:r w:rsidRPr="00E31D76">
        <w:rPr>
          <w:rFonts w:ascii="Times New Roman" w:hAnsi="Times New Roman"/>
        </w:rPr>
        <w:t>Not applicable. This is a new data collection activity.</w:t>
      </w:r>
    </w:p>
    <w:p w:rsidR="006D34F4" w:rsidRDefault="006D34F4" w:rsidP="006D34F4">
      <w:pPr>
        <w:pStyle w:val="Heading2Black"/>
        <w:rPr>
          <w:rFonts w:ascii="Times New Roman" w:hAnsi="Times New Roman"/>
        </w:rPr>
      </w:pPr>
      <w:bookmarkStart w:id="26" w:name="_Toc330974230"/>
      <w:r>
        <w:rPr>
          <w:rFonts w:ascii="Times New Roman" w:hAnsi="Times New Roman"/>
        </w:rPr>
        <w:t>16</w:t>
      </w:r>
      <w:r w:rsidRPr="003D1EDB">
        <w:rPr>
          <w:rFonts w:ascii="Times New Roman" w:hAnsi="Times New Roman"/>
        </w:rPr>
        <w:t>.</w:t>
      </w:r>
      <w:r w:rsidRPr="003D1EDB">
        <w:rPr>
          <w:rFonts w:ascii="Times New Roman" w:hAnsi="Times New Roman"/>
        </w:rPr>
        <w:tab/>
        <w:t>Plans for Tabulation and Publication and Project Time Schedule</w:t>
      </w:r>
      <w:bookmarkEnd w:id="26"/>
    </w:p>
    <w:p w:rsidR="006D34F4" w:rsidRPr="00E31D76" w:rsidRDefault="006D34F4" w:rsidP="006D34F4">
      <w:pPr>
        <w:pStyle w:val="NormalSS"/>
        <w:rPr>
          <w:rFonts w:ascii="Times New Roman" w:hAnsi="Times New Roman"/>
        </w:rPr>
      </w:pPr>
      <w:r w:rsidRPr="00E31D76">
        <w:rPr>
          <w:rFonts w:ascii="Times New Roman" w:hAnsi="Times New Roman"/>
        </w:rPr>
        <w:t xml:space="preserve">The </w:t>
      </w:r>
      <w:r w:rsidR="00B778AF">
        <w:rPr>
          <w:rFonts w:ascii="Times New Roman" w:hAnsi="Times New Roman"/>
        </w:rPr>
        <w:t xml:space="preserve">Phase </w:t>
      </w:r>
      <w:proofErr w:type="gramStart"/>
      <w:r w:rsidR="00B778AF">
        <w:rPr>
          <w:rFonts w:ascii="Times New Roman" w:hAnsi="Times New Roman"/>
        </w:rPr>
        <w:t xml:space="preserve">2 </w:t>
      </w:r>
      <w:r w:rsidRPr="00E31D76">
        <w:rPr>
          <w:rFonts w:ascii="Times New Roman" w:hAnsi="Times New Roman"/>
        </w:rPr>
        <w:t xml:space="preserve"> </w:t>
      </w:r>
      <w:r>
        <w:rPr>
          <w:rFonts w:ascii="Times New Roman" w:hAnsi="Times New Roman"/>
        </w:rPr>
        <w:t>HWC</w:t>
      </w:r>
      <w:proofErr w:type="gramEnd"/>
      <w:r w:rsidRPr="00E31D76">
        <w:rPr>
          <w:rFonts w:ascii="Times New Roman" w:hAnsi="Times New Roman"/>
        </w:rPr>
        <w:t xml:space="preserve"> primary data collection will begin upon receiving OMB clearance. </w:t>
      </w:r>
      <w:r w:rsidR="00B778AF">
        <w:rPr>
          <w:rFonts w:ascii="Times New Roman" w:hAnsi="Times New Roman"/>
        </w:rPr>
        <w:t>Phase 2 d</w:t>
      </w:r>
      <w:r w:rsidRPr="00E31D76">
        <w:rPr>
          <w:rFonts w:ascii="Times New Roman" w:hAnsi="Times New Roman"/>
        </w:rPr>
        <w:t xml:space="preserve">ata collection will be conducted between </w:t>
      </w:r>
      <w:r>
        <w:rPr>
          <w:rFonts w:ascii="Times New Roman" w:hAnsi="Times New Roman"/>
        </w:rPr>
        <w:t>February and April</w:t>
      </w:r>
      <w:r w:rsidRPr="00E31D76">
        <w:rPr>
          <w:rFonts w:ascii="Times New Roman" w:hAnsi="Times New Roman"/>
        </w:rPr>
        <w:t xml:space="preserve"> 201</w:t>
      </w:r>
      <w:r>
        <w:rPr>
          <w:rFonts w:ascii="Times New Roman" w:hAnsi="Times New Roman"/>
        </w:rPr>
        <w:t>3</w:t>
      </w:r>
      <w:r w:rsidRPr="00E31D76">
        <w:rPr>
          <w:rFonts w:ascii="Times New Roman" w:hAnsi="Times New Roman"/>
        </w:rPr>
        <w:t xml:space="preserve">. Data will be collected only once and the </w:t>
      </w:r>
      <w:r w:rsidR="00B778AF">
        <w:rPr>
          <w:rFonts w:ascii="Times New Roman" w:hAnsi="Times New Roman"/>
        </w:rPr>
        <w:t xml:space="preserve">Phase 2 </w:t>
      </w:r>
      <w:r w:rsidRPr="00E31D76">
        <w:rPr>
          <w:rFonts w:ascii="Times New Roman" w:hAnsi="Times New Roman"/>
        </w:rPr>
        <w:t xml:space="preserve">field period is expected to be 16 weeks. </w:t>
      </w:r>
      <w:r>
        <w:rPr>
          <w:rFonts w:ascii="Times New Roman" w:hAnsi="Times New Roman"/>
        </w:rPr>
        <w:t xml:space="preserve">The </w:t>
      </w:r>
      <w:r w:rsidR="005454F5">
        <w:rPr>
          <w:rFonts w:ascii="Times New Roman" w:hAnsi="Times New Roman"/>
        </w:rPr>
        <w:t xml:space="preserve">study </w:t>
      </w:r>
      <w:r>
        <w:rPr>
          <w:rFonts w:ascii="Times New Roman" w:hAnsi="Times New Roman"/>
        </w:rPr>
        <w:t>team</w:t>
      </w:r>
      <w:r w:rsidRPr="00E31D76">
        <w:rPr>
          <w:rFonts w:ascii="Times New Roman" w:hAnsi="Times New Roman"/>
        </w:rPr>
        <w:t xml:space="preserve"> will deliver </w:t>
      </w:r>
      <w:r>
        <w:rPr>
          <w:rFonts w:ascii="Times New Roman" w:hAnsi="Times New Roman"/>
        </w:rPr>
        <w:t xml:space="preserve">a final report </w:t>
      </w:r>
      <w:r w:rsidRPr="00E31D76">
        <w:rPr>
          <w:rFonts w:ascii="Times New Roman" w:hAnsi="Times New Roman"/>
        </w:rPr>
        <w:t xml:space="preserve">summarizing </w:t>
      </w:r>
      <w:r>
        <w:rPr>
          <w:rFonts w:ascii="Times New Roman" w:hAnsi="Times New Roman"/>
        </w:rPr>
        <w:t xml:space="preserve">and synthesizing </w:t>
      </w:r>
      <w:r w:rsidRPr="00E31D76">
        <w:rPr>
          <w:rFonts w:ascii="Times New Roman" w:hAnsi="Times New Roman"/>
        </w:rPr>
        <w:t xml:space="preserve">findings from the </w:t>
      </w:r>
      <w:r>
        <w:rPr>
          <w:rFonts w:ascii="Times New Roman" w:hAnsi="Times New Roman"/>
        </w:rPr>
        <w:t xml:space="preserve">interviews and other data sources. </w:t>
      </w:r>
      <w:r w:rsidRPr="00E31D76">
        <w:rPr>
          <w:rFonts w:ascii="Times New Roman" w:hAnsi="Times New Roman"/>
        </w:rPr>
        <w:t xml:space="preserve">The </w:t>
      </w:r>
      <w:r>
        <w:rPr>
          <w:rFonts w:ascii="Times New Roman" w:hAnsi="Times New Roman"/>
        </w:rPr>
        <w:t xml:space="preserve">final HWC project </w:t>
      </w:r>
      <w:r w:rsidR="005454F5">
        <w:rPr>
          <w:rFonts w:ascii="Times New Roman" w:hAnsi="Times New Roman"/>
        </w:rPr>
        <w:t xml:space="preserve">implementation study </w:t>
      </w:r>
      <w:r w:rsidRPr="00E31D76">
        <w:rPr>
          <w:rFonts w:ascii="Times New Roman" w:hAnsi="Times New Roman"/>
        </w:rPr>
        <w:t xml:space="preserve">report will include a qualitative analysis of </w:t>
      </w:r>
      <w:r>
        <w:rPr>
          <w:rFonts w:ascii="Times New Roman" w:hAnsi="Times New Roman"/>
        </w:rPr>
        <w:t xml:space="preserve">the </w:t>
      </w:r>
      <w:r w:rsidR="00B778AF">
        <w:rPr>
          <w:rFonts w:ascii="Times New Roman" w:hAnsi="Times New Roman"/>
        </w:rPr>
        <w:t xml:space="preserve">Phase 2 </w:t>
      </w:r>
      <w:r>
        <w:rPr>
          <w:rFonts w:ascii="Times New Roman" w:hAnsi="Times New Roman"/>
        </w:rPr>
        <w:t xml:space="preserve">interviews with the </w:t>
      </w:r>
      <w:r w:rsidR="00B778AF">
        <w:rPr>
          <w:rFonts w:ascii="Times New Roman" w:hAnsi="Times New Roman"/>
        </w:rPr>
        <w:t>community</w:t>
      </w:r>
      <w:r>
        <w:rPr>
          <w:rFonts w:ascii="Times New Roman" w:hAnsi="Times New Roman"/>
        </w:rPr>
        <w:t xml:space="preserve"> teams, the NICHQ interviews</w:t>
      </w:r>
      <w:r w:rsidRPr="00E31D76">
        <w:rPr>
          <w:rFonts w:ascii="Times New Roman" w:hAnsi="Times New Roman"/>
        </w:rPr>
        <w:t xml:space="preserve">, </w:t>
      </w:r>
      <w:r>
        <w:rPr>
          <w:rFonts w:ascii="Times New Roman" w:hAnsi="Times New Roman"/>
        </w:rPr>
        <w:t>a descriptive analysis of the Phase 2 teams’ performance measurement</w:t>
      </w:r>
      <w:r w:rsidRPr="00E31D76">
        <w:rPr>
          <w:rFonts w:ascii="Times New Roman" w:hAnsi="Times New Roman"/>
        </w:rPr>
        <w:t xml:space="preserve"> data submitted to NICHQ</w:t>
      </w:r>
      <w:r>
        <w:rPr>
          <w:rFonts w:ascii="Times New Roman" w:hAnsi="Times New Roman"/>
        </w:rPr>
        <w:t>’s iLab</w:t>
      </w:r>
      <w:r w:rsidRPr="00E31D76">
        <w:rPr>
          <w:rFonts w:ascii="Times New Roman" w:hAnsi="Times New Roman"/>
        </w:rPr>
        <w:t xml:space="preserve">, </w:t>
      </w:r>
      <w:r>
        <w:rPr>
          <w:rFonts w:ascii="Times New Roman" w:hAnsi="Times New Roman"/>
        </w:rPr>
        <w:t xml:space="preserve">a content analysis of team documents submitted to the iLab, and a descriptive analysis of </w:t>
      </w:r>
      <w:r w:rsidRPr="00E31D76">
        <w:rPr>
          <w:rFonts w:ascii="Times New Roman" w:hAnsi="Times New Roman"/>
        </w:rPr>
        <w:t xml:space="preserve">findings from NICHQ’s </w:t>
      </w:r>
      <w:r w:rsidR="00B778AF">
        <w:rPr>
          <w:rFonts w:ascii="Times New Roman" w:hAnsi="Times New Roman"/>
        </w:rPr>
        <w:t xml:space="preserve">Phase 2 </w:t>
      </w:r>
      <w:r w:rsidRPr="00E31D76">
        <w:rPr>
          <w:rFonts w:ascii="Times New Roman" w:hAnsi="Times New Roman"/>
        </w:rPr>
        <w:t xml:space="preserve">collaboration </w:t>
      </w:r>
      <w:r>
        <w:rPr>
          <w:rFonts w:ascii="Times New Roman" w:hAnsi="Times New Roman"/>
        </w:rPr>
        <w:t xml:space="preserve">and feedback </w:t>
      </w:r>
      <w:r w:rsidRPr="00E31D76">
        <w:rPr>
          <w:rFonts w:ascii="Times New Roman" w:hAnsi="Times New Roman"/>
        </w:rPr>
        <w:t>survey</w:t>
      </w:r>
      <w:r>
        <w:rPr>
          <w:rFonts w:ascii="Times New Roman" w:hAnsi="Times New Roman"/>
        </w:rPr>
        <w:t>s of community team members</w:t>
      </w:r>
      <w:r w:rsidRPr="00E31D76">
        <w:rPr>
          <w:rFonts w:ascii="Times New Roman" w:hAnsi="Times New Roman"/>
        </w:rPr>
        <w:t xml:space="preserve">. The report will summarize key findings, provide feedback on the </w:t>
      </w:r>
      <w:r>
        <w:rPr>
          <w:rFonts w:ascii="Times New Roman" w:hAnsi="Times New Roman"/>
        </w:rPr>
        <w:t xml:space="preserve">overall </w:t>
      </w:r>
      <w:r w:rsidRPr="00E31D76">
        <w:rPr>
          <w:rFonts w:ascii="Times New Roman" w:hAnsi="Times New Roman"/>
        </w:rPr>
        <w:t xml:space="preserve">quality of the </w:t>
      </w:r>
      <w:r>
        <w:rPr>
          <w:rFonts w:ascii="Times New Roman" w:hAnsi="Times New Roman"/>
        </w:rPr>
        <w:t>implementation of the HWC</w:t>
      </w:r>
      <w:r w:rsidRPr="00E31D76">
        <w:rPr>
          <w:rFonts w:ascii="Times New Roman" w:hAnsi="Times New Roman"/>
        </w:rPr>
        <w:t xml:space="preserve"> project, </w:t>
      </w:r>
      <w:r w:rsidRPr="00E31D76">
        <w:rPr>
          <w:rFonts w:ascii="Times New Roman" w:hAnsi="Times New Roman"/>
        </w:rPr>
        <w:lastRenderedPageBreak/>
        <w:t xml:space="preserve">describe </w:t>
      </w:r>
      <w:r>
        <w:rPr>
          <w:rFonts w:ascii="Times New Roman" w:hAnsi="Times New Roman"/>
        </w:rPr>
        <w:t xml:space="preserve">the accomplishments </w:t>
      </w:r>
      <w:r w:rsidRPr="00E31D76">
        <w:rPr>
          <w:rFonts w:ascii="Times New Roman" w:hAnsi="Times New Roman"/>
        </w:rPr>
        <w:t xml:space="preserve">of the participating teams, and recommend ways in which the </w:t>
      </w:r>
      <w:r>
        <w:rPr>
          <w:rFonts w:ascii="Times New Roman" w:hAnsi="Times New Roman"/>
        </w:rPr>
        <w:t>HWC</w:t>
      </w:r>
      <w:r w:rsidRPr="00E31D76">
        <w:rPr>
          <w:rFonts w:ascii="Times New Roman" w:hAnsi="Times New Roman"/>
        </w:rPr>
        <w:t xml:space="preserve"> model can be improved</w:t>
      </w:r>
      <w:r>
        <w:rPr>
          <w:rFonts w:ascii="Times New Roman" w:hAnsi="Times New Roman"/>
        </w:rPr>
        <w:t xml:space="preserve"> in future learning collaboratives</w:t>
      </w:r>
      <w:r w:rsidRPr="00E31D76">
        <w:rPr>
          <w:rFonts w:ascii="Times New Roman" w:hAnsi="Times New Roman"/>
        </w:rPr>
        <w:t>.</w:t>
      </w:r>
    </w:p>
    <w:p w:rsidR="006D34F4" w:rsidRPr="00E31D76" w:rsidRDefault="006D34F4" w:rsidP="006D34F4">
      <w:pPr>
        <w:pStyle w:val="MarkforTableHeading"/>
        <w:rPr>
          <w:rFonts w:ascii="Times New Roman" w:hAnsi="Times New Roman"/>
          <w:sz w:val="24"/>
        </w:rPr>
      </w:pPr>
      <w:bookmarkStart w:id="27" w:name="_Toc321738212"/>
      <w:r w:rsidRPr="00E31D76">
        <w:rPr>
          <w:rFonts w:ascii="Times New Roman" w:hAnsi="Times New Roman"/>
          <w:sz w:val="24"/>
        </w:rPr>
        <w:t>Table A.3. Project Time Schedule</w:t>
      </w:r>
      <w:bookmarkEnd w:id="27"/>
    </w:p>
    <w:tbl>
      <w:tblPr>
        <w:tblStyle w:val="SMPRTableBlack"/>
        <w:tblW w:w="4696" w:type="pct"/>
        <w:tblLook w:val="04A0" w:firstRow="1" w:lastRow="0" w:firstColumn="1" w:lastColumn="0" w:noHBand="0" w:noVBand="1"/>
      </w:tblPr>
      <w:tblGrid>
        <w:gridCol w:w="2963"/>
        <w:gridCol w:w="6031"/>
      </w:tblGrid>
      <w:tr w:rsidR="006D34F4" w:rsidRPr="00E31D76" w:rsidTr="008B63FD">
        <w:trPr>
          <w:cnfStyle w:val="100000000000" w:firstRow="1" w:lastRow="0" w:firstColumn="0" w:lastColumn="0" w:oddVBand="0" w:evenVBand="0" w:oddHBand="0" w:evenHBand="0" w:firstRowFirstColumn="0" w:firstRowLastColumn="0" w:lastRowFirstColumn="0" w:lastRowLastColumn="0"/>
        </w:trPr>
        <w:tc>
          <w:tcPr>
            <w:tcW w:w="1647" w:type="pct"/>
          </w:tcPr>
          <w:p w:rsidR="006D34F4" w:rsidRPr="00E31D76" w:rsidRDefault="006D34F4" w:rsidP="008B63FD">
            <w:pPr>
              <w:pStyle w:val="TableHeaderLeft"/>
              <w:rPr>
                <w:rFonts w:ascii="Times New Roman" w:hAnsi="Times New Roman"/>
                <w:sz w:val="24"/>
              </w:rPr>
            </w:pPr>
            <w:r w:rsidRPr="00E31D76">
              <w:rPr>
                <w:rFonts w:ascii="Times New Roman" w:hAnsi="Times New Roman"/>
                <w:sz w:val="24"/>
              </w:rPr>
              <w:t>Deliverable</w:t>
            </w:r>
          </w:p>
        </w:tc>
        <w:tc>
          <w:tcPr>
            <w:tcW w:w="3353" w:type="pct"/>
          </w:tcPr>
          <w:p w:rsidR="006D34F4" w:rsidRPr="00E31D76" w:rsidRDefault="006D34F4" w:rsidP="008B63FD">
            <w:pPr>
              <w:pStyle w:val="TableHeaderCenter"/>
              <w:rPr>
                <w:rFonts w:ascii="Times New Roman" w:hAnsi="Times New Roman"/>
                <w:sz w:val="24"/>
              </w:rPr>
            </w:pPr>
            <w:r w:rsidRPr="00E31D76">
              <w:rPr>
                <w:rFonts w:ascii="Times New Roman" w:hAnsi="Times New Roman"/>
                <w:sz w:val="24"/>
              </w:rPr>
              <w:t>Due Date</w:t>
            </w:r>
          </w:p>
        </w:tc>
      </w:tr>
      <w:tr w:rsidR="006D34F4" w:rsidRPr="00E31D76" w:rsidTr="008B63FD">
        <w:tc>
          <w:tcPr>
            <w:tcW w:w="1647" w:type="pct"/>
          </w:tcPr>
          <w:p w:rsidR="006D34F4" w:rsidRPr="00E31D76" w:rsidRDefault="006D34F4" w:rsidP="008B63FD">
            <w:pPr>
              <w:pStyle w:val="TableText"/>
              <w:spacing w:before="120"/>
              <w:rPr>
                <w:rFonts w:ascii="Times New Roman" w:hAnsi="Times New Roman"/>
                <w:sz w:val="24"/>
              </w:rPr>
            </w:pPr>
            <w:r w:rsidRPr="00E31D76">
              <w:rPr>
                <w:rFonts w:ascii="Times New Roman" w:hAnsi="Times New Roman"/>
                <w:sz w:val="24"/>
              </w:rPr>
              <w:t>Select/Recruit Sites</w:t>
            </w:r>
          </w:p>
        </w:tc>
        <w:tc>
          <w:tcPr>
            <w:tcW w:w="3353" w:type="pct"/>
          </w:tcPr>
          <w:p w:rsidR="006D34F4" w:rsidRPr="00E31D76" w:rsidRDefault="006D34F4" w:rsidP="00B778AF">
            <w:pPr>
              <w:pStyle w:val="TableText"/>
              <w:spacing w:before="120"/>
              <w:rPr>
                <w:rFonts w:ascii="Times New Roman" w:hAnsi="Times New Roman"/>
                <w:sz w:val="24"/>
              </w:rPr>
            </w:pPr>
            <w:r>
              <w:rPr>
                <w:rFonts w:ascii="Times New Roman" w:hAnsi="Times New Roman"/>
                <w:sz w:val="24"/>
              </w:rPr>
              <w:t xml:space="preserve">December 2012 - </w:t>
            </w:r>
            <w:r w:rsidR="00B778AF">
              <w:rPr>
                <w:rFonts w:ascii="Times New Roman" w:hAnsi="Times New Roman"/>
                <w:sz w:val="24"/>
              </w:rPr>
              <w:t xml:space="preserve">February </w:t>
            </w:r>
            <w:r w:rsidRPr="00E31D76">
              <w:rPr>
                <w:rFonts w:ascii="Times New Roman" w:hAnsi="Times New Roman"/>
                <w:sz w:val="24"/>
              </w:rPr>
              <w:t>20</w:t>
            </w:r>
            <w:r>
              <w:rPr>
                <w:rFonts w:ascii="Times New Roman" w:hAnsi="Times New Roman"/>
                <w:sz w:val="24"/>
              </w:rPr>
              <w:t>13</w:t>
            </w:r>
          </w:p>
        </w:tc>
      </w:tr>
      <w:tr w:rsidR="006D34F4" w:rsidRPr="00E31D76" w:rsidTr="008B63FD">
        <w:tc>
          <w:tcPr>
            <w:tcW w:w="1647" w:type="pct"/>
          </w:tcPr>
          <w:p w:rsidR="006D34F4" w:rsidRPr="00E31D76" w:rsidRDefault="006D34F4" w:rsidP="008B63FD">
            <w:pPr>
              <w:pStyle w:val="TableText"/>
              <w:rPr>
                <w:rFonts w:ascii="Times New Roman" w:hAnsi="Times New Roman"/>
                <w:sz w:val="24"/>
              </w:rPr>
            </w:pPr>
            <w:r>
              <w:rPr>
                <w:rFonts w:ascii="Times New Roman" w:hAnsi="Times New Roman"/>
                <w:sz w:val="24"/>
              </w:rPr>
              <w:t>Interviews</w:t>
            </w:r>
          </w:p>
        </w:tc>
        <w:tc>
          <w:tcPr>
            <w:tcW w:w="3353" w:type="pct"/>
          </w:tcPr>
          <w:p w:rsidR="006D34F4" w:rsidRPr="00E31D76" w:rsidRDefault="006D34F4" w:rsidP="008B63FD">
            <w:pPr>
              <w:pStyle w:val="TableText"/>
              <w:rPr>
                <w:rFonts w:ascii="Times New Roman" w:hAnsi="Times New Roman"/>
                <w:sz w:val="24"/>
              </w:rPr>
            </w:pPr>
            <w:r>
              <w:rPr>
                <w:rFonts w:ascii="Times New Roman" w:hAnsi="Times New Roman"/>
                <w:sz w:val="24"/>
              </w:rPr>
              <w:t>February - April</w:t>
            </w:r>
            <w:r w:rsidRPr="00E31D76">
              <w:rPr>
                <w:rFonts w:ascii="Times New Roman" w:hAnsi="Times New Roman"/>
                <w:sz w:val="24"/>
              </w:rPr>
              <w:t xml:space="preserve"> 201</w:t>
            </w:r>
            <w:r>
              <w:rPr>
                <w:rFonts w:ascii="Times New Roman" w:hAnsi="Times New Roman"/>
                <w:sz w:val="24"/>
              </w:rPr>
              <w:t>3</w:t>
            </w:r>
          </w:p>
        </w:tc>
      </w:tr>
      <w:tr w:rsidR="006D34F4" w:rsidRPr="00E31D76" w:rsidTr="008B63FD">
        <w:tc>
          <w:tcPr>
            <w:tcW w:w="1647" w:type="pct"/>
          </w:tcPr>
          <w:p w:rsidR="006D34F4" w:rsidRPr="00E31D76" w:rsidRDefault="006D34F4" w:rsidP="008B63FD">
            <w:pPr>
              <w:pStyle w:val="TableText"/>
              <w:spacing w:after="60"/>
              <w:rPr>
                <w:rFonts w:ascii="Times New Roman" w:hAnsi="Times New Roman"/>
                <w:sz w:val="24"/>
              </w:rPr>
            </w:pPr>
            <w:r>
              <w:rPr>
                <w:rFonts w:ascii="Times New Roman" w:hAnsi="Times New Roman"/>
                <w:sz w:val="24"/>
              </w:rPr>
              <w:t xml:space="preserve">Final </w:t>
            </w:r>
            <w:r w:rsidRPr="00E31D76">
              <w:rPr>
                <w:rFonts w:ascii="Times New Roman" w:hAnsi="Times New Roman"/>
                <w:sz w:val="24"/>
              </w:rPr>
              <w:t>Report</w:t>
            </w:r>
          </w:p>
        </w:tc>
        <w:tc>
          <w:tcPr>
            <w:tcW w:w="3353" w:type="pct"/>
          </w:tcPr>
          <w:p w:rsidR="006D34F4" w:rsidRPr="00E31D76" w:rsidRDefault="006D34F4" w:rsidP="008B63FD">
            <w:pPr>
              <w:pStyle w:val="TableText"/>
              <w:spacing w:after="60"/>
              <w:rPr>
                <w:rFonts w:ascii="Times New Roman" w:hAnsi="Times New Roman"/>
                <w:sz w:val="24"/>
              </w:rPr>
            </w:pPr>
            <w:r>
              <w:rPr>
                <w:rFonts w:ascii="Times New Roman" w:hAnsi="Times New Roman"/>
                <w:sz w:val="24"/>
              </w:rPr>
              <w:t>June</w:t>
            </w:r>
            <w:r w:rsidRPr="00E31D76">
              <w:rPr>
                <w:rFonts w:ascii="Times New Roman" w:hAnsi="Times New Roman"/>
                <w:sz w:val="24"/>
              </w:rPr>
              <w:t xml:space="preserve"> – </w:t>
            </w:r>
            <w:r>
              <w:rPr>
                <w:rFonts w:ascii="Times New Roman" w:hAnsi="Times New Roman"/>
                <w:sz w:val="24"/>
              </w:rPr>
              <w:t xml:space="preserve">August </w:t>
            </w:r>
            <w:r w:rsidRPr="00E31D76">
              <w:rPr>
                <w:rFonts w:ascii="Times New Roman" w:hAnsi="Times New Roman"/>
                <w:sz w:val="24"/>
              </w:rPr>
              <w:t>201</w:t>
            </w:r>
            <w:r>
              <w:rPr>
                <w:rFonts w:ascii="Times New Roman" w:hAnsi="Times New Roman"/>
                <w:sz w:val="24"/>
              </w:rPr>
              <w:t>3</w:t>
            </w:r>
          </w:p>
        </w:tc>
      </w:tr>
    </w:tbl>
    <w:p w:rsidR="006D34F4" w:rsidRDefault="006D34F4" w:rsidP="006D34F4">
      <w:pPr>
        <w:pStyle w:val="Heading2Black"/>
        <w:spacing w:before="360"/>
        <w:rPr>
          <w:rFonts w:ascii="Times New Roman" w:hAnsi="Times New Roman"/>
        </w:rPr>
      </w:pPr>
      <w:bookmarkStart w:id="28" w:name="_Toc330974231"/>
      <w:r>
        <w:rPr>
          <w:rFonts w:ascii="Times New Roman" w:hAnsi="Times New Roman"/>
        </w:rPr>
        <w:t>17</w:t>
      </w:r>
      <w:r w:rsidRPr="003D1EDB">
        <w:rPr>
          <w:rFonts w:ascii="Times New Roman" w:hAnsi="Times New Roman"/>
        </w:rPr>
        <w:t>.</w:t>
      </w:r>
      <w:r w:rsidRPr="003D1EDB">
        <w:rPr>
          <w:rFonts w:ascii="Times New Roman" w:hAnsi="Times New Roman"/>
        </w:rPr>
        <w:tab/>
        <w:t>Reason(s) Display of OMB Expiration Date Is Inappropriate</w:t>
      </w:r>
      <w:bookmarkEnd w:id="28"/>
    </w:p>
    <w:p w:rsidR="006D34F4" w:rsidRPr="00E31D76" w:rsidRDefault="006D34F4" w:rsidP="006D34F4">
      <w:pPr>
        <w:pStyle w:val="NormalSS"/>
        <w:rPr>
          <w:rFonts w:ascii="Times New Roman" w:hAnsi="Times New Roman"/>
        </w:rPr>
      </w:pPr>
      <w:r w:rsidRPr="00E31D76">
        <w:rPr>
          <w:rFonts w:ascii="Times New Roman" w:hAnsi="Times New Roman"/>
        </w:rPr>
        <w:t xml:space="preserve">There are no exceptions to the certification; the expiration date will be displayed on the letters that will be sent to respondents before the </w:t>
      </w:r>
      <w:r>
        <w:rPr>
          <w:rFonts w:ascii="Times New Roman" w:hAnsi="Times New Roman"/>
        </w:rPr>
        <w:t>individual and group interviews</w:t>
      </w:r>
      <w:r w:rsidRPr="00E31D76">
        <w:rPr>
          <w:rFonts w:ascii="Times New Roman" w:hAnsi="Times New Roman"/>
        </w:rPr>
        <w:t>.</w:t>
      </w:r>
    </w:p>
    <w:p w:rsidR="006D34F4" w:rsidRDefault="006D34F4" w:rsidP="006D34F4">
      <w:pPr>
        <w:pStyle w:val="Heading2Black"/>
        <w:rPr>
          <w:rFonts w:ascii="Times New Roman" w:hAnsi="Times New Roman"/>
        </w:rPr>
      </w:pPr>
      <w:bookmarkStart w:id="29" w:name="_Toc330974232"/>
      <w:r>
        <w:rPr>
          <w:rFonts w:ascii="Times New Roman" w:hAnsi="Times New Roman"/>
        </w:rPr>
        <w:t>18</w:t>
      </w:r>
      <w:r w:rsidRPr="003D1EDB">
        <w:rPr>
          <w:rFonts w:ascii="Times New Roman" w:hAnsi="Times New Roman"/>
        </w:rPr>
        <w:t>.</w:t>
      </w:r>
      <w:r w:rsidRPr="003D1EDB">
        <w:rPr>
          <w:rFonts w:ascii="Times New Roman" w:hAnsi="Times New Roman"/>
        </w:rPr>
        <w:tab/>
        <w:t>Exceptions to Certification for Paperwork Reduction Act Submissions</w:t>
      </w:r>
      <w:bookmarkEnd w:id="29"/>
    </w:p>
    <w:p w:rsidR="006D34F4" w:rsidRPr="00E31D76" w:rsidRDefault="00B778AF" w:rsidP="006D34F4">
      <w:pPr>
        <w:pStyle w:val="NormalSS"/>
        <w:rPr>
          <w:rFonts w:ascii="Times New Roman" w:hAnsi="Times New Roman"/>
        </w:rPr>
      </w:pPr>
      <w:r>
        <w:rPr>
          <w:rFonts w:ascii="Times New Roman" w:hAnsi="Times New Roman"/>
        </w:rPr>
        <w:t>Phase 2 d</w:t>
      </w:r>
      <w:r w:rsidR="006D34F4" w:rsidRPr="00E31D76">
        <w:rPr>
          <w:rFonts w:ascii="Times New Roman" w:hAnsi="Times New Roman"/>
        </w:rPr>
        <w:t xml:space="preserve">ata collection efforts for the </w:t>
      </w:r>
      <w:r w:rsidR="006D34F4">
        <w:rPr>
          <w:rFonts w:ascii="Times New Roman" w:hAnsi="Times New Roman"/>
        </w:rPr>
        <w:t>interviews</w:t>
      </w:r>
      <w:r w:rsidR="006D34F4" w:rsidRPr="00E31D76">
        <w:rPr>
          <w:rFonts w:ascii="Times New Roman" w:hAnsi="Times New Roman"/>
        </w:rPr>
        <w:t xml:space="preserve"> will conform to all provisions of the Paperwork Reduction Act.</w:t>
      </w:r>
    </w:p>
    <w:p w:rsidR="006D34F4" w:rsidRPr="00E31D76" w:rsidRDefault="006D34F4" w:rsidP="006D34F4">
      <w:pPr>
        <w:pStyle w:val="MarkforAttachmentHeadingBlack"/>
        <w:jc w:val="left"/>
        <w:rPr>
          <w:rFonts w:ascii="Times New Roman" w:hAnsi="Times New Roman"/>
          <w:b w:val="0"/>
        </w:rPr>
      </w:pPr>
    </w:p>
    <w:p w:rsidR="007A480E" w:rsidRDefault="007A480E"/>
    <w:sectPr w:rsidR="007A480E" w:rsidSect="007A48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A65" w:rsidRDefault="00E41A65">
      <w:pPr>
        <w:spacing w:line="240" w:lineRule="auto"/>
      </w:pPr>
      <w:r>
        <w:separator/>
      </w:r>
    </w:p>
  </w:endnote>
  <w:endnote w:type="continuationSeparator" w:id="0">
    <w:p w:rsidR="00E41A65" w:rsidRDefault="00E41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69" w:rsidRDefault="00665C69" w:rsidP="008B63FD">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fldChar w:fldCharType="begin"/>
    </w:r>
    <w:r>
      <w:rPr>
        <w:rStyle w:val="PageNumber"/>
      </w:rPr>
      <w:instrText xml:space="preserve"> PAGE </w:instrText>
    </w:r>
    <w:r>
      <w:rPr>
        <w:rStyle w:val="PageNumber"/>
      </w:rPr>
      <w:fldChar w:fldCharType="separate"/>
    </w:r>
    <w:r w:rsidR="00B4330B">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A65" w:rsidRDefault="00E41A65">
      <w:pPr>
        <w:spacing w:line="240" w:lineRule="auto"/>
      </w:pPr>
      <w:r>
        <w:separator/>
      </w:r>
    </w:p>
  </w:footnote>
  <w:footnote w:type="continuationSeparator" w:id="0">
    <w:p w:rsidR="00E41A65" w:rsidRDefault="00E41A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C69" w:rsidRPr="000A4439" w:rsidRDefault="00665C69" w:rsidP="008B63FD">
    <w:pPr>
      <w:pStyle w:val="Header"/>
      <w:rPr>
        <w:szCs w:val="22"/>
      </w:rPr>
    </w:pPr>
    <w:r>
      <w:rPr>
        <w:szCs w:val="22"/>
      </w:rPr>
      <w:t>06681</w:t>
    </w:r>
    <w:r w:rsidRPr="000A4439">
      <w:rPr>
        <w:szCs w:val="22"/>
      </w:rPr>
      <w:tab/>
    </w:r>
    <w:r w:rsidRPr="000A4439">
      <w:rPr>
        <w:szCs w:val="22"/>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D240E"/>
    <w:multiLevelType w:val="hybridMultilevel"/>
    <w:tmpl w:val="C2C47E6E"/>
    <w:lvl w:ilvl="0" w:tplc="04090015">
      <w:start w:val="1"/>
      <w:numFmt w:val="upperLetter"/>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9A52DC9"/>
    <w:multiLevelType w:val="hybridMultilevel"/>
    <w:tmpl w:val="169E2A9C"/>
    <w:lvl w:ilvl="0" w:tplc="C43CCA5C">
      <w:start w:val="1"/>
      <w:numFmt w:val="decimal"/>
      <w:pStyle w:val="NumberedBullet"/>
      <w:lvlText w:val="%1."/>
      <w:lvlJc w:val="left"/>
      <w:pPr>
        <w:tabs>
          <w:tab w:val="num" w:pos="786"/>
        </w:tabs>
        <w:ind w:left="786"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4F4"/>
    <w:rsid w:val="0004457B"/>
    <w:rsid w:val="00113152"/>
    <w:rsid w:val="00124CBF"/>
    <w:rsid w:val="001E5234"/>
    <w:rsid w:val="00311359"/>
    <w:rsid w:val="004525F0"/>
    <w:rsid w:val="004654A9"/>
    <w:rsid w:val="00471553"/>
    <w:rsid w:val="0048508B"/>
    <w:rsid w:val="00524A40"/>
    <w:rsid w:val="00535A7C"/>
    <w:rsid w:val="005454F5"/>
    <w:rsid w:val="00665C69"/>
    <w:rsid w:val="006B77F4"/>
    <w:rsid w:val="006D34F4"/>
    <w:rsid w:val="006F4545"/>
    <w:rsid w:val="00736D77"/>
    <w:rsid w:val="007A480E"/>
    <w:rsid w:val="007B4B40"/>
    <w:rsid w:val="007E639B"/>
    <w:rsid w:val="008B63FD"/>
    <w:rsid w:val="008F17DA"/>
    <w:rsid w:val="009B15B0"/>
    <w:rsid w:val="009E23C2"/>
    <w:rsid w:val="009F4B14"/>
    <w:rsid w:val="00AE0815"/>
    <w:rsid w:val="00B029A5"/>
    <w:rsid w:val="00B2557F"/>
    <w:rsid w:val="00B4330B"/>
    <w:rsid w:val="00B778AF"/>
    <w:rsid w:val="00C32F09"/>
    <w:rsid w:val="00CC24C0"/>
    <w:rsid w:val="00D87C27"/>
    <w:rsid w:val="00E41A65"/>
    <w:rsid w:val="00E6340A"/>
    <w:rsid w:val="00EC2990"/>
    <w:rsid w:val="00F96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F4"/>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6D34F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34F4"/>
    <w:rPr>
      <w:rFonts w:ascii="Garamond" w:eastAsia="Times New Roman" w:hAnsi="Garamond" w:cs="Times New Roman"/>
      <w:b/>
      <w:sz w:val="24"/>
      <w:szCs w:val="24"/>
    </w:rPr>
  </w:style>
  <w:style w:type="paragraph" w:customStyle="1" w:styleId="NormalSS">
    <w:name w:val="NormalSS"/>
    <w:basedOn w:val="Normal"/>
    <w:link w:val="NormalSSChar"/>
    <w:qFormat/>
    <w:rsid w:val="006D34F4"/>
    <w:pPr>
      <w:spacing w:after="240" w:line="240" w:lineRule="auto"/>
    </w:pPr>
  </w:style>
  <w:style w:type="paragraph" w:styleId="Footer">
    <w:name w:val="footer"/>
    <w:basedOn w:val="Normal"/>
    <w:link w:val="FooterChar"/>
    <w:uiPriority w:val="99"/>
    <w:qFormat/>
    <w:rsid w:val="006D34F4"/>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6D34F4"/>
    <w:rPr>
      <w:rFonts w:ascii="Garamond" w:eastAsia="Times New Roman" w:hAnsi="Garamond" w:cs="Times New Roman"/>
      <w:sz w:val="24"/>
      <w:szCs w:val="24"/>
    </w:rPr>
  </w:style>
  <w:style w:type="character" w:styleId="PageNumber">
    <w:name w:val="page number"/>
    <w:basedOn w:val="DefaultParagraphFont"/>
    <w:semiHidden/>
    <w:qFormat/>
    <w:rsid w:val="006D34F4"/>
    <w:rPr>
      <w:rFonts w:ascii="Garamond" w:hAnsi="Garamond"/>
      <w:sz w:val="24"/>
    </w:rPr>
  </w:style>
  <w:style w:type="paragraph" w:customStyle="1" w:styleId="Heading1Black">
    <w:name w:val="Heading 1_Black"/>
    <w:basedOn w:val="Normal"/>
    <w:next w:val="Normal"/>
    <w:qFormat/>
    <w:rsid w:val="006D34F4"/>
    <w:pPr>
      <w:spacing w:before="240" w:after="240" w:line="240" w:lineRule="auto"/>
      <w:ind w:firstLine="0"/>
      <w:jc w:val="center"/>
      <w:outlineLvl w:val="0"/>
    </w:pPr>
    <w:rPr>
      <w:rFonts w:ascii="Lucida Sans" w:hAnsi="Lucida Sans"/>
      <w:b/>
      <w:caps/>
    </w:rPr>
  </w:style>
  <w:style w:type="paragraph" w:customStyle="1" w:styleId="NumberedBullet">
    <w:name w:val="Numbered Bullet"/>
    <w:basedOn w:val="Normal"/>
    <w:qFormat/>
    <w:rsid w:val="006D34F4"/>
    <w:pPr>
      <w:numPr>
        <w:numId w:val="1"/>
      </w:numPr>
      <w:tabs>
        <w:tab w:val="clear" w:pos="432"/>
        <w:tab w:val="left" w:pos="360"/>
      </w:tabs>
      <w:spacing w:after="120" w:line="240" w:lineRule="auto"/>
      <w:ind w:right="360"/>
    </w:pPr>
  </w:style>
  <w:style w:type="paragraph" w:customStyle="1" w:styleId="MarkforTableHeading">
    <w:name w:val="Mark for Table Heading"/>
    <w:basedOn w:val="Normal"/>
    <w:next w:val="Normal"/>
    <w:qFormat/>
    <w:rsid w:val="006D34F4"/>
    <w:pPr>
      <w:keepNext/>
      <w:spacing w:after="60" w:line="240" w:lineRule="auto"/>
      <w:ind w:firstLine="0"/>
    </w:pPr>
    <w:rPr>
      <w:rFonts w:ascii="Lucida Sans" w:hAnsi="Lucida Sans"/>
      <w:b/>
      <w:sz w:val="18"/>
    </w:rPr>
  </w:style>
  <w:style w:type="paragraph" w:styleId="Header">
    <w:name w:val="header"/>
    <w:basedOn w:val="Normal"/>
    <w:link w:val="HeaderChar"/>
    <w:qFormat/>
    <w:rsid w:val="006D34F4"/>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D34F4"/>
    <w:rPr>
      <w:rFonts w:ascii="Garamond" w:eastAsia="Times New Roman" w:hAnsi="Garamond" w:cs="Times New Roman"/>
      <w:i/>
      <w:szCs w:val="24"/>
    </w:rPr>
  </w:style>
  <w:style w:type="paragraph" w:customStyle="1" w:styleId="TableHeaderCenter">
    <w:name w:val="Table Header Center"/>
    <w:basedOn w:val="NormalSS"/>
    <w:qFormat/>
    <w:rsid w:val="006D34F4"/>
    <w:pPr>
      <w:spacing w:before="120" w:after="60"/>
      <w:ind w:firstLine="0"/>
      <w:jc w:val="center"/>
    </w:pPr>
    <w:rPr>
      <w:rFonts w:ascii="Lucida Sans" w:hAnsi="Lucida Sans"/>
      <w:sz w:val="18"/>
    </w:rPr>
  </w:style>
  <w:style w:type="paragraph" w:customStyle="1" w:styleId="TableHeaderLeft">
    <w:name w:val="Table Header Left"/>
    <w:basedOn w:val="NormalSS"/>
    <w:qFormat/>
    <w:rsid w:val="006D34F4"/>
    <w:pPr>
      <w:spacing w:before="120" w:after="60"/>
      <w:ind w:firstLine="0"/>
      <w:jc w:val="left"/>
    </w:pPr>
    <w:rPr>
      <w:rFonts w:ascii="Lucida Sans" w:hAnsi="Lucida Sans"/>
      <w:sz w:val="18"/>
    </w:rPr>
  </w:style>
  <w:style w:type="paragraph" w:customStyle="1" w:styleId="TableText">
    <w:name w:val="Table Text"/>
    <w:basedOn w:val="NormalSS"/>
    <w:qFormat/>
    <w:rsid w:val="006D34F4"/>
    <w:pPr>
      <w:tabs>
        <w:tab w:val="clear" w:pos="432"/>
      </w:tabs>
      <w:spacing w:after="0"/>
      <w:ind w:firstLine="0"/>
      <w:jc w:val="left"/>
    </w:pPr>
    <w:rPr>
      <w:rFonts w:ascii="Lucida Sans" w:hAnsi="Lucida Sans"/>
      <w:sz w:val="18"/>
    </w:rPr>
  </w:style>
  <w:style w:type="paragraph" w:customStyle="1" w:styleId="Heading2Black">
    <w:name w:val="Heading 2_Black"/>
    <w:basedOn w:val="Normal"/>
    <w:next w:val="Normal"/>
    <w:qFormat/>
    <w:rsid w:val="006D34F4"/>
    <w:pPr>
      <w:keepNext/>
      <w:spacing w:after="240" w:line="240" w:lineRule="auto"/>
      <w:ind w:left="432" w:hanging="432"/>
      <w:outlineLvl w:val="1"/>
    </w:pPr>
    <w:rPr>
      <w:rFonts w:ascii="Lucida Sans" w:hAnsi="Lucida Sans"/>
      <w:b/>
    </w:rPr>
  </w:style>
  <w:style w:type="paragraph" w:customStyle="1" w:styleId="MarkforAttachmentHeadingBlack">
    <w:name w:val="Mark for Attachment Heading_Black"/>
    <w:basedOn w:val="Normal"/>
    <w:next w:val="Normal"/>
    <w:qFormat/>
    <w:rsid w:val="006D34F4"/>
    <w:pPr>
      <w:ind w:firstLine="0"/>
      <w:jc w:val="center"/>
      <w:outlineLvl w:val="0"/>
    </w:pPr>
    <w:rPr>
      <w:rFonts w:ascii="Lucida Sans" w:hAnsi="Lucida Sans"/>
      <w:b/>
      <w:caps/>
    </w:rPr>
  </w:style>
  <w:style w:type="table" w:customStyle="1" w:styleId="SMPRTableBlack">
    <w:name w:val="SMPR_Table_Black"/>
    <w:basedOn w:val="TableNormal"/>
    <w:uiPriority w:val="99"/>
    <w:rsid w:val="006D34F4"/>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48508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B778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8A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E0815"/>
    <w:rPr>
      <w:sz w:val="16"/>
      <w:szCs w:val="16"/>
    </w:rPr>
  </w:style>
  <w:style w:type="paragraph" w:styleId="CommentText">
    <w:name w:val="annotation text"/>
    <w:basedOn w:val="Normal"/>
    <w:link w:val="CommentTextChar"/>
    <w:uiPriority w:val="99"/>
    <w:semiHidden/>
    <w:unhideWhenUsed/>
    <w:rsid w:val="00AE0815"/>
    <w:pPr>
      <w:spacing w:line="240" w:lineRule="auto"/>
    </w:pPr>
    <w:rPr>
      <w:sz w:val="20"/>
      <w:szCs w:val="20"/>
    </w:rPr>
  </w:style>
  <w:style w:type="character" w:customStyle="1" w:styleId="CommentTextChar">
    <w:name w:val="Comment Text Char"/>
    <w:basedOn w:val="DefaultParagraphFont"/>
    <w:link w:val="CommentText"/>
    <w:uiPriority w:val="99"/>
    <w:semiHidden/>
    <w:rsid w:val="00AE081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E0815"/>
    <w:rPr>
      <w:b/>
      <w:bCs/>
    </w:rPr>
  </w:style>
  <w:style w:type="character" w:customStyle="1" w:styleId="CommentSubjectChar">
    <w:name w:val="Comment Subject Char"/>
    <w:basedOn w:val="CommentTextChar"/>
    <w:link w:val="CommentSubject"/>
    <w:uiPriority w:val="99"/>
    <w:semiHidden/>
    <w:rsid w:val="00AE0815"/>
    <w:rPr>
      <w:rFonts w:ascii="Garamond" w:eastAsia="Times New Roman" w:hAnsi="Garamond"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qFormat="1"/>
    <w:lsdException w:name="caption" w:uiPriority="35" w:qFormat="1"/>
    <w:lsdException w:name="page number"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34F4"/>
    <w:pPr>
      <w:tabs>
        <w:tab w:val="left" w:pos="432"/>
      </w:tabs>
      <w:spacing w:after="0" w:line="480" w:lineRule="auto"/>
      <w:ind w:firstLine="432"/>
      <w:jc w:val="both"/>
    </w:pPr>
    <w:rPr>
      <w:rFonts w:ascii="Garamond" w:eastAsia="Times New Roman" w:hAnsi="Garamond" w:cs="Times New Roman"/>
      <w:sz w:val="24"/>
      <w:szCs w:val="24"/>
    </w:rPr>
  </w:style>
  <w:style w:type="paragraph" w:styleId="Heading3">
    <w:name w:val="heading 3"/>
    <w:basedOn w:val="Normal"/>
    <w:next w:val="Normal"/>
    <w:link w:val="Heading3Char"/>
    <w:qFormat/>
    <w:rsid w:val="006D34F4"/>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D34F4"/>
    <w:rPr>
      <w:rFonts w:ascii="Garamond" w:eastAsia="Times New Roman" w:hAnsi="Garamond" w:cs="Times New Roman"/>
      <w:b/>
      <w:sz w:val="24"/>
      <w:szCs w:val="24"/>
    </w:rPr>
  </w:style>
  <w:style w:type="paragraph" w:customStyle="1" w:styleId="NormalSS">
    <w:name w:val="NormalSS"/>
    <w:basedOn w:val="Normal"/>
    <w:link w:val="NormalSSChar"/>
    <w:qFormat/>
    <w:rsid w:val="006D34F4"/>
    <w:pPr>
      <w:spacing w:after="240" w:line="240" w:lineRule="auto"/>
    </w:pPr>
  </w:style>
  <w:style w:type="paragraph" w:styleId="Footer">
    <w:name w:val="footer"/>
    <w:basedOn w:val="Normal"/>
    <w:link w:val="FooterChar"/>
    <w:uiPriority w:val="99"/>
    <w:qFormat/>
    <w:rsid w:val="006D34F4"/>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6D34F4"/>
    <w:rPr>
      <w:rFonts w:ascii="Garamond" w:eastAsia="Times New Roman" w:hAnsi="Garamond" w:cs="Times New Roman"/>
      <w:sz w:val="24"/>
      <w:szCs w:val="24"/>
    </w:rPr>
  </w:style>
  <w:style w:type="character" w:styleId="PageNumber">
    <w:name w:val="page number"/>
    <w:basedOn w:val="DefaultParagraphFont"/>
    <w:semiHidden/>
    <w:qFormat/>
    <w:rsid w:val="006D34F4"/>
    <w:rPr>
      <w:rFonts w:ascii="Garamond" w:hAnsi="Garamond"/>
      <w:sz w:val="24"/>
    </w:rPr>
  </w:style>
  <w:style w:type="paragraph" w:customStyle="1" w:styleId="Heading1Black">
    <w:name w:val="Heading 1_Black"/>
    <w:basedOn w:val="Normal"/>
    <w:next w:val="Normal"/>
    <w:qFormat/>
    <w:rsid w:val="006D34F4"/>
    <w:pPr>
      <w:spacing w:before="240" w:after="240" w:line="240" w:lineRule="auto"/>
      <w:ind w:firstLine="0"/>
      <w:jc w:val="center"/>
      <w:outlineLvl w:val="0"/>
    </w:pPr>
    <w:rPr>
      <w:rFonts w:ascii="Lucida Sans" w:hAnsi="Lucida Sans"/>
      <w:b/>
      <w:caps/>
    </w:rPr>
  </w:style>
  <w:style w:type="paragraph" w:customStyle="1" w:styleId="NumberedBullet">
    <w:name w:val="Numbered Bullet"/>
    <w:basedOn w:val="Normal"/>
    <w:qFormat/>
    <w:rsid w:val="006D34F4"/>
    <w:pPr>
      <w:numPr>
        <w:numId w:val="1"/>
      </w:numPr>
      <w:tabs>
        <w:tab w:val="clear" w:pos="432"/>
        <w:tab w:val="left" w:pos="360"/>
      </w:tabs>
      <w:spacing w:after="120" w:line="240" w:lineRule="auto"/>
      <w:ind w:right="360"/>
    </w:pPr>
  </w:style>
  <w:style w:type="paragraph" w:customStyle="1" w:styleId="MarkforTableHeading">
    <w:name w:val="Mark for Table Heading"/>
    <w:basedOn w:val="Normal"/>
    <w:next w:val="Normal"/>
    <w:qFormat/>
    <w:rsid w:val="006D34F4"/>
    <w:pPr>
      <w:keepNext/>
      <w:spacing w:after="60" w:line="240" w:lineRule="auto"/>
      <w:ind w:firstLine="0"/>
    </w:pPr>
    <w:rPr>
      <w:rFonts w:ascii="Lucida Sans" w:hAnsi="Lucida Sans"/>
      <w:b/>
      <w:sz w:val="18"/>
    </w:rPr>
  </w:style>
  <w:style w:type="paragraph" w:styleId="Header">
    <w:name w:val="header"/>
    <w:basedOn w:val="Normal"/>
    <w:link w:val="HeaderChar"/>
    <w:qFormat/>
    <w:rsid w:val="006D34F4"/>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D34F4"/>
    <w:rPr>
      <w:rFonts w:ascii="Garamond" w:eastAsia="Times New Roman" w:hAnsi="Garamond" w:cs="Times New Roman"/>
      <w:i/>
      <w:szCs w:val="24"/>
    </w:rPr>
  </w:style>
  <w:style w:type="paragraph" w:customStyle="1" w:styleId="TableHeaderCenter">
    <w:name w:val="Table Header Center"/>
    <w:basedOn w:val="NormalSS"/>
    <w:qFormat/>
    <w:rsid w:val="006D34F4"/>
    <w:pPr>
      <w:spacing w:before="120" w:after="60"/>
      <w:ind w:firstLine="0"/>
      <w:jc w:val="center"/>
    </w:pPr>
    <w:rPr>
      <w:rFonts w:ascii="Lucida Sans" w:hAnsi="Lucida Sans"/>
      <w:sz w:val="18"/>
    </w:rPr>
  </w:style>
  <w:style w:type="paragraph" w:customStyle="1" w:styleId="TableHeaderLeft">
    <w:name w:val="Table Header Left"/>
    <w:basedOn w:val="NormalSS"/>
    <w:qFormat/>
    <w:rsid w:val="006D34F4"/>
    <w:pPr>
      <w:spacing w:before="120" w:after="60"/>
      <w:ind w:firstLine="0"/>
      <w:jc w:val="left"/>
    </w:pPr>
    <w:rPr>
      <w:rFonts w:ascii="Lucida Sans" w:hAnsi="Lucida Sans"/>
      <w:sz w:val="18"/>
    </w:rPr>
  </w:style>
  <w:style w:type="paragraph" w:customStyle="1" w:styleId="TableText">
    <w:name w:val="Table Text"/>
    <w:basedOn w:val="NormalSS"/>
    <w:qFormat/>
    <w:rsid w:val="006D34F4"/>
    <w:pPr>
      <w:tabs>
        <w:tab w:val="clear" w:pos="432"/>
      </w:tabs>
      <w:spacing w:after="0"/>
      <w:ind w:firstLine="0"/>
      <w:jc w:val="left"/>
    </w:pPr>
    <w:rPr>
      <w:rFonts w:ascii="Lucida Sans" w:hAnsi="Lucida Sans"/>
      <w:sz w:val="18"/>
    </w:rPr>
  </w:style>
  <w:style w:type="paragraph" w:customStyle="1" w:styleId="Heading2Black">
    <w:name w:val="Heading 2_Black"/>
    <w:basedOn w:val="Normal"/>
    <w:next w:val="Normal"/>
    <w:qFormat/>
    <w:rsid w:val="006D34F4"/>
    <w:pPr>
      <w:keepNext/>
      <w:spacing w:after="240" w:line="240" w:lineRule="auto"/>
      <w:ind w:left="432" w:hanging="432"/>
      <w:outlineLvl w:val="1"/>
    </w:pPr>
    <w:rPr>
      <w:rFonts w:ascii="Lucida Sans" w:hAnsi="Lucida Sans"/>
      <w:b/>
    </w:rPr>
  </w:style>
  <w:style w:type="paragraph" w:customStyle="1" w:styleId="MarkforAttachmentHeadingBlack">
    <w:name w:val="Mark for Attachment Heading_Black"/>
    <w:basedOn w:val="Normal"/>
    <w:next w:val="Normal"/>
    <w:qFormat/>
    <w:rsid w:val="006D34F4"/>
    <w:pPr>
      <w:ind w:firstLine="0"/>
      <w:jc w:val="center"/>
      <w:outlineLvl w:val="0"/>
    </w:pPr>
    <w:rPr>
      <w:rFonts w:ascii="Lucida Sans" w:hAnsi="Lucida Sans"/>
      <w:b/>
      <w:caps/>
    </w:rPr>
  </w:style>
  <w:style w:type="table" w:customStyle="1" w:styleId="SMPRTableBlack">
    <w:name w:val="SMPR_Table_Black"/>
    <w:basedOn w:val="TableNormal"/>
    <w:uiPriority w:val="99"/>
    <w:rsid w:val="006D34F4"/>
    <w:pPr>
      <w:spacing w:after="0" w:line="240" w:lineRule="auto"/>
    </w:pPr>
    <w:rPr>
      <w:rFonts w:ascii="Lucida Sans" w:eastAsia="Times New Roman" w:hAnsi="Lucida Sans" w:cs="Times New Roman"/>
      <w:sz w:val="20"/>
      <w:szCs w:val="24"/>
    </w:rPr>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NormalSSChar">
    <w:name w:val="NormalSS Char"/>
    <w:basedOn w:val="DefaultParagraphFont"/>
    <w:link w:val="NormalSS"/>
    <w:locked/>
    <w:rsid w:val="0048508B"/>
    <w:rPr>
      <w:rFonts w:ascii="Garamond" w:eastAsia="Times New Roman" w:hAnsi="Garamond" w:cs="Times New Roman"/>
      <w:sz w:val="24"/>
      <w:szCs w:val="24"/>
    </w:rPr>
  </w:style>
  <w:style w:type="paragraph" w:styleId="BalloonText">
    <w:name w:val="Balloon Text"/>
    <w:basedOn w:val="Normal"/>
    <w:link w:val="BalloonTextChar"/>
    <w:uiPriority w:val="99"/>
    <w:semiHidden/>
    <w:unhideWhenUsed/>
    <w:rsid w:val="00B778A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8A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AE0815"/>
    <w:rPr>
      <w:sz w:val="16"/>
      <w:szCs w:val="16"/>
    </w:rPr>
  </w:style>
  <w:style w:type="paragraph" w:styleId="CommentText">
    <w:name w:val="annotation text"/>
    <w:basedOn w:val="Normal"/>
    <w:link w:val="CommentTextChar"/>
    <w:uiPriority w:val="99"/>
    <w:semiHidden/>
    <w:unhideWhenUsed/>
    <w:rsid w:val="00AE0815"/>
    <w:pPr>
      <w:spacing w:line="240" w:lineRule="auto"/>
    </w:pPr>
    <w:rPr>
      <w:sz w:val="20"/>
      <w:szCs w:val="20"/>
    </w:rPr>
  </w:style>
  <w:style w:type="character" w:customStyle="1" w:styleId="CommentTextChar">
    <w:name w:val="Comment Text Char"/>
    <w:basedOn w:val="DefaultParagraphFont"/>
    <w:link w:val="CommentText"/>
    <w:uiPriority w:val="99"/>
    <w:semiHidden/>
    <w:rsid w:val="00AE0815"/>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AE0815"/>
    <w:rPr>
      <w:b/>
      <w:bCs/>
    </w:rPr>
  </w:style>
  <w:style w:type="character" w:customStyle="1" w:styleId="CommentSubjectChar">
    <w:name w:val="Comment Subject Char"/>
    <w:basedOn w:val="CommentTextChar"/>
    <w:link w:val="CommentSubject"/>
    <w:uiPriority w:val="99"/>
    <w:semiHidden/>
    <w:rsid w:val="00AE0815"/>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62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4199</Words>
  <Characters>23935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JDUCKHORN</dc:creator>
  <cp:lastModifiedBy>Jodi Duckhorn</cp:lastModifiedBy>
  <cp:revision>3</cp:revision>
  <cp:lastPrinted>2013-02-19T16:55:00Z</cp:lastPrinted>
  <dcterms:created xsi:type="dcterms:W3CDTF">2013-03-07T18:02:00Z</dcterms:created>
  <dcterms:modified xsi:type="dcterms:W3CDTF">2013-03-12T13:33:00Z</dcterms:modified>
</cp:coreProperties>
</file>