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FD8" w:rsidRDefault="007E59B4" w:rsidP="00093E43">
      <w:pPr>
        <w:pStyle w:val="Default"/>
        <w:jc w:val="center"/>
      </w:pPr>
      <w:r>
        <w:rPr>
          <w:b/>
          <w:bCs/>
        </w:rPr>
        <w:t>SUPPORTING STATEMEN</w:t>
      </w:r>
      <w:r>
        <w:t xml:space="preserve">T </w:t>
      </w:r>
    </w:p>
    <w:p w:rsidR="00EE4FD8" w:rsidRDefault="007E59B4" w:rsidP="00093E43">
      <w:pPr>
        <w:pStyle w:val="Default"/>
        <w:jc w:val="center"/>
      </w:pPr>
      <w:r>
        <w:rPr>
          <w:b/>
          <w:bCs/>
        </w:rPr>
        <w:t xml:space="preserve">MARINE </w:t>
      </w:r>
      <w:r w:rsidR="00A46A49">
        <w:rPr>
          <w:b/>
          <w:bCs/>
        </w:rPr>
        <w:t>RECREATIONAL INFORMATION PROGRAM</w:t>
      </w:r>
      <w:r>
        <w:t xml:space="preserve"> </w:t>
      </w:r>
    </w:p>
    <w:p w:rsidR="00576DE6" w:rsidRPr="00576DE6" w:rsidRDefault="00576DE6" w:rsidP="00093E43">
      <w:pPr>
        <w:pStyle w:val="Default"/>
        <w:jc w:val="center"/>
        <w:rPr>
          <w:b/>
        </w:rPr>
      </w:pPr>
      <w:r w:rsidRPr="00576DE6">
        <w:rPr>
          <w:b/>
        </w:rPr>
        <w:t>PART B</w:t>
      </w:r>
    </w:p>
    <w:p w:rsidR="007E59B4" w:rsidRDefault="007E59B4" w:rsidP="00093E43">
      <w:pPr>
        <w:pStyle w:val="Default"/>
        <w:jc w:val="center"/>
      </w:pPr>
      <w:proofErr w:type="gramStart"/>
      <w:r>
        <w:rPr>
          <w:b/>
          <w:bCs/>
        </w:rPr>
        <w:t>OMB CONTROL NO.</w:t>
      </w:r>
      <w:proofErr w:type="gramEnd"/>
      <w:r>
        <w:rPr>
          <w:b/>
          <w:bCs/>
        </w:rPr>
        <w:t xml:space="preserve"> </w:t>
      </w:r>
      <w:r w:rsidR="00576DE6">
        <w:rPr>
          <w:b/>
          <w:bCs/>
        </w:rPr>
        <w:t>0648-XXXX</w:t>
      </w:r>
      <w:r>
        <w:t xml:space="preserve"> </w:t>
      </w:r>
    </w:p>
    <w:p w:rsidR="00EE4FD8" w:rsidRDefault="00EE4FD8" w:rsidP="00093E43">
      <w:pPr>
        <w:pStyle w:val="Default"/>
        <w:jc w:val="center"/>
        <w:rPr>
          <w:color w:val="auto"/>
        </w:rPr>
      </w:pPr>
    </w:p>
    <w:p w:rsidR="006850F5" w:rsidRDefault="006850F5" w:rsidP="006850F5">
      <w:pPr>
        <w:pStyle w:val="Default"/>
        <w:jc w:val="center"/>
        <w:rPr>
          <w:color w:val="auto"/>
        </w:rPr>
      </w:pPr>
    </w:p>
    <w:p w:rsidR="00B503CD" w:rsidRDefault="00B503CD" w:rsidP="00B503CD">
      <w:pPr>
        <w:pStyle w:val="CM23"/>
        <w:numPr>
          <w:ilvl w:val="0"/>
          <w:numId w:val="17"/>
        </w:numPr>
        <w:tabs>
          <w:tab w:val="left" w:pos="540"/>
        </w:tabs>
        <w:spacing w:after="0"/>
        <w:ind w:left="540" w:hanging="540"/>
        <w:rPr>
          <w:b/>
          <w:bCs/>
        </w:rPr>
      </w:pPr>
      <w:r>
        <w:rPr>
          <w:b/>
          <w:bCs/>
        </w:rPr>
        <w:t xml:space="preserve">COLLECTIONS OF INFORMATION EMPLOYING STATISTICAL METHODS </w:t>
      </w:r>
    </w:p>
    <w:p w:rsidR="00B503CD" w:rsidRPr="0067695B" w:rsidRDefault="00B503CD" w:rsidP="00576DE6">
      <w:pPr>
        <w:pStyle w:val="Default"/>
      </w:pPr>
    </w:p>
    <w:p w:rsidR="00B503CD" w:rsidRDefault="00B503CD" w:rsidP="00B503CD">
      <w:pPr>
        <w:pStyle w:val="CM6"/>
        <w:spacing w:line="240" w:lineRule="auto"/>
        <w:ind w:right="280"/>
        <w:rPr>
          <w:b/>
        </w:rPr>
      </w:pPr>
      <w:r>
        <w:rPr>
          <w:b/>
          <w:bCs/>
        </w:rPr>
        <w:t xml:space="preserve">1. Describe (including a numerical estimate) the potential respondent universe and any sampling or other respondent selection method to be used. Data on the number of entities </w:t>
      </w:r>
      <w:r w:rsidRPr="00270DD1">
        <w:rPr>
          <w:b/>
        </w:rPr>
        <w:t xml:space="preserve">(e.g.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p w:rsidR="00B503CD" w:rsidRDefault="00B503CD" w:rsidP="00B503CD">
      <w:pPr>
        <w:pStyle w:val="Default"/>
      </w:pPr>
    </w:p>
    <w:p w:rsidR="00B503CD" w:rsidRDefault="00B503CD" w:rsidP="00B503CD">
      <w:pPr>
        <w:pStyle w:val="Default"/>
      </w:pPr>
      <w:r>
        <w:t>1.1. MRIP Fishing Effort Survey</w:t>
      </w:r>
    </w:p>
    <w:p w:rsidR="00B503CD" w:rsidRDefault="00B503CD" w:rsidP="00B503CD">
      <w:pPr>
        <w:pStyle w:val="Default"/>
      </w:pPr>
    </w:p>
    <w:p w:rsidR="00AD4443" w:rsidRDefault="00AD4443" w:rsidP="00B503CD">
      <w:pPr>
        <w:pStyle w:val="Default"/>
      </w:pPr>
      <w:r w:rsidRPr="00A87E5F">
        <w:t xml:space="preserve">The MRIP Fishing Effort Survey </w:t>
      </w:r>
      <w:r>
        <w:t xml:space="preserve">(MFES) </w:t>
      </w:r>
      <w:r w:rsidRPr="00A87E5F">
        <w:t>is bi-monthly (wave)</w:t>
      </w:r>
      <w:r>
        <w:t>, cross-sectional</w:t>
      </w:r>
      <w:r w:rsidRPr="00A87E5F">
        <w:t xml:space="preserve"> mail survey designed to estimate the total number of individuals who participate in marine recreational fishing and the total number of private boat and shore-based recreational fishing trips taken by anglers </w:t>
      </w:r>
      <w:r>
        <w:t>in the study states.  The survey consists of two independent components; 1) the Resident Angler Survey</w:t>
      </w:r>
      <w:r w:rsidR="00812B79">
        <w:t xml:space="preserve"> (RAS)</w:t>
      </w:r>
      <w:r>
        <w:t>, which estimates saltwater fishing effort by residents of coastal states, and 2) the Nonresident Angler Survey</w:t>
      </w:r>
      <w:r w:rsidR="00812B79">
        <w:t xml:space="preserve"> (NAS)</w:t>
      </w:r>
      <w:r>
        <w:t xml:space="preserve">, which estimates saltwater fishing effort by residents of non-coastal states.  The </w:t>
      </w:r>
      <w:r w:rsidR="00812B79">
        <w:t>RAS</w:t>
      </w:r>
      <w:r>
        <w:t xml:space="preserve"> is an address-based sample</w:t>
      </w:r>
      <w:r w:rsidR="00851414">
        <w:t xml:space="preserve"> (ABS)</w:t>
      </w:r>
      <w:r>
        <w:t xml:space="preserve"> that covers all residential addresses within the study states.  The </w:t>
      </w:r>
      <w:r w:rsidR="00812B79">
        <w:t>NAS</w:t>
      </w:r>
      <w:r>
        <w:t xml:space="preserve"> is a list-based sample that covers</w:t>
      </w:r>
      <w:r w:rsidR="00C36A8E">
        <w:t xml:space="preserve"> </w:t>
      </w:r>
      <w:r w:rsidR="00775E93">
        <w:t>individuals</w:t>
      </w:r>
      <w:r w:rsidR="00697A22">
        <w:t xml:space="preserve"> who are licensed </w:t>
      </w:r>
      <w:r w:rsidR="00775E93">
        <w:t>to participate in</w:t>
      </w:r>
      <w:r w:rsidR="00697A22">
        <w:t xml:space="preserve"> saltwater fishing in</w:t>
      </w:r>
      <w:r>
        <w:t xml:space="preserve"> the study states</w:t>
      </w:r>
      <w:r w:rsidR="0025147F">
        <w:t xml:space="preserve"> but</w:t>
      </w:r>
      <w:r w:rsidR="00775E93">
        <w:t xml:space="preserve"> reside in a different state</w:t>
      </w:r>
      <w:r>
        <w:t>.</w:t>
      </w:r>
    </w:p>
    <w:p w:rsidR="00AD4443" w:rsidRDefault="00AD4443" w:rsidP="00B503CD">
      <w:pPr>
        <w:pStyle w:val="Default"/>
      </w:pPr>
    </w:p>
    <w:p w:rsidR="00AD4443" w:rsidRDefault="00AD4443" w:rsidP="00B503CD">
      <w:pPr>
        <w:pStyle w:val="Default"/>
      </w:pPr>
      <w:r>
        <w:t>1.2. Resident Angler Survey</w:t>
      </w:r>
    </w:p>
    <w:p w:rsidR="00AD4443" w:rsidRDefault="00AD4443" w:rsidP="00B503CD">
      <w:pPr>
        <w:pStyle w:val="Default"/>
      </w:pPr>
    </w:p>
    <w:p w:rsidR="00F30A7D" w:rsidRDefault="00812B79" w:rsidP="00B503CD">
      <w:pPr>
        <w:pStyle w:val="Default"/>
      </w:pPr>
      <w:r>
        <w:t xml:space="preserve">The sample frame for the RAS is a list of all residential addresses </w:t>
      </w:r>
      <w:r w:rsidR="0091634E">
        <w:t xml:space="preserve">that are serviced by the United States Postal Service (USPS) </w:t>
      </w:r>
      <w:r>
        <w:t>within the study states.  Sampling is stratified by state and geographic proximity to the coast.  Specifically, counties with any border that is within 25 miles of the coast are in the coastal stratum, and all other counties are in the non-coastal stratum</w:t>
      </w:r>
      <w:r w:rsidR="00E3096B">
        <w:rPr>
          <w:rStyle w:val="FootnoteReference"/>
        </w:rPr>
        <w:footnoteReference w:id="1"/>
      </w:r>
      <w:r>
        <w:t>.  This stratification serves two purposes.  First, residents of coastal counties are more likely to participate in recreational saltwater fishing than reside</w:t>
      </w:r>
      <w:r w:rsidR="00F30A7D">
        <w:t>nts of non-co</w:t>
      </w:r>
      <w:r w:rsidR="00DB3184">
        <w:t>astal counties – historical estimates from the Marine Recreational Fisheries Statistics Survey (MRFSS)</w:t>
      </w:r>
      <w:r w:rsidR="00F30A7D">
        <w:t xml:space="preserve"> demonstrate that 65-90% of recreational saltwater fishing trips </w:t>
      </w:r>
      <w:r w:rsidR="00B20F50">
        <w:t xml:space="preserve">in the study states </w:t>
      </w:r>
      <w:r w:rsidR="00F30A7D">
        <w:t>are taken by residents of coastal counties</w:t>
      </w:r>
      <w:r w:rsidR="00B20F50">
        <w:t xml:space="preserve"> within those states</w:t>
      </w:r>
      <w:r w:rsidR="00F30A7D">
        <w:t>.  Stratification provides an opportunity to sample at different rates among strata</w:t>
      </w:r>
      <w:r w:rsidR="00DB3184">
        <w:t xml:space="preserve"> and subsequently increase the efficiency of data collection</w:t>
      </w:r>
      <w:r w:rsidR="00F30A7D">
        <w:t>.  Second</w:t>
      </w:r>
      <w:r w:rsidR="00DB3184">
        <w:t xml:space="preserve">ly, the coastal resident stratum </w:t>
      </w:r>
      <w:r w:rsidR="00F30A7D">
        <w:t xml:space="preserve">is consistent with the coverage of the Coastal Household Telephone Survey, which will allow for direct comparisons between the two surveys.  </w:t>
      </w:r>
    </w:p>
    <w:p w:rsidR="00F30A7D" w:rsidRDefault="00F30A7D" w:rsidP="00B503CD">
      <w:pPr>
        <w:pStyle w:val="Default"/>
      </w:pPr>
    </w:p>
    <w:p w:rsidR="0035142D" w:rsidRDefault="00C9213E" w:rsidP="00B503CD">
      <w:pPr>
        <w:pStyle w:val="Default"/>
      </w:pPr>
      <w:r>
        <w:t>Each</w:t>
      </w:r>
      <w:r w:rsidR="00812B79">
        <w:t xml:space="preserve"> wave, a representativ</w:t>
      </w:r>
      <w:r>
        <w:t>e sample of addresses is selected within each stratum</w:t>
      </w:r>
      <w:r w:rsidR="00812B79">
        <w:t xml:space="preserve"> in a single stage.</w:t>
      </w:r>
      <w:r w:rsidR="00851414">
        <w:t xml:space="preserve">  </w:t>
      </w:r>
      <w:r w:rsidR="00851414">
        <w:lastRenderedPageBreak/>
        <w:t xml:space="preserve">The sample size is sufficient to permit sub-sampling, as described below.  </w:t>
      </w:r>
      <w:r>
        <w:t xml:space="preserve">Addresses are selected from a </w:t>
      </w:r>
      <w:r w:rsidR="00733E8C">
        <w:t xml:space="preserve">comprehensive list </w:t>
      </w:r>
      <w:r w:rsidR="00AE7A8E">
        <w:t xml:space="preserve">of residential addresses </w:t>
      </w:r>
      <w:r w:rsidR="007A299E">
        <w:t xml:space="preserve">maintained by a vendor licensed </w:t>
      </w:r>
      <w:r w:rsidR="00733E8C">
        <w:t xml:space="preserve">to </w:t>
      </w:r>
      <w:r w:rsidR="00803CA1">
        <w:t>distribute the USPS Computerized Delivery Sequence File.</w:t>
      </w:r>
      <w:r w:rsidR="0023617C">
        <w:t xml:space="preserve">  Following selection, sampled addresses in each state</w:t>
      </w:r>
      <w:r w:rsidR="00FA2B95">
        <w:t xml:space="preserve"> and stratum</w:t>
      </w:r>
      <w:r w:rsidR="0023617C">
        <w:t xml:space="preserve"> are matched</w:t>
      </w:r>
      <w:r w:rsidR="007E04D6">
        <w:t>, by address and telephone number,</w:t>
      </w:r>
      <w:r w:rsidR="0023617C">
        <w:t xml:space="preserve"> to databases of anglers licensed to participate in saltwater fishing in th</w:t>
      </w:r>
      <w:r w:rsidR="00AE7A8E">
        <w:t>e respective</w:t>
      </w:r>
      <w:r w:rsidR="0023617C">
        <w:t xml:space="preserve"> state.</w:t>
      </w:r>
      <w:r w:rsidR="00FA2B95">
        <w:t xml:space="preserve">  Databases of licensed anglers are provided to NMFS </w:t>
      </w:r>
      <w:r w:rsidR="008E1441">
        <w:t xml:space="preserve">by state natural resource agencies </w:t>
      </w:r>
      <w:r w:rsidR="009C6EF2">
        <w:t xml:space="preserve">approximately one month </w:t>
      </w:r>
      <w:r w:rsidR="00FA2B95">
        <w:t>prior to the beginning of data collection for each wave.</w:t>
      </w:r>
      <w:r w:rsidR="00E337C1">
        <w:t xml:space="preserve">  Prior to matching, addresses within the license databases are formatted to conform to USPS postal address</w:t>
      </w:r>
      <w:r w:rsidR="00851414">
        <w:t>ing</w:t>
      </w:r>
      <w:r w:rsidR="00E337C1">
        <w:t xml:space="preserve"> standards, and duplicate angler records</w:t>
      </w:r>
      <w:r w:rsidR="000F12E7">
        <w:t xml:space="preserve">, as well as </w:t>
      </w:r>
      <w:r w:rsidR="00AF7CA4">
        <w:t xml:space="preserve">records for individuals </w:t>
      </w:r>
      <w:r w:rsidR="000F12E7">
        <w:t>less than</w:t>
      </w:r>
      <w:r w:rsidR="00AF7CA4">
        <w:t xml:space="preserve">18 years of age </w:t>
      </w:r>
      <w:r w:rsidR="00E337C1">
        <w:t>are identified and removed.</w:t>
      </w:r>
    </w:p>
    <w:p w:rsidR="0035142D" w:rsidRDefault="0035142D" w:rsidP="00B503CD">
      <w:pPr>
        <w:pStyle w:val="Default"/>
      </w:pPr>
    </w:p>
    <w:p w:rsidR="00B34357" w:rsidRDefault="0035142D" w:rsidP="00B503CD">
      <w:pPr>
        <w:pStyle w:val="Default"/>
      </w:pPr>
      <w:r>
        <w:t>Matching addresses to license databases screens the ABS sample to identify households with (matched) and without (unmatched) licensed anglers</w:t>
      </w:r>
      <w:r w:rsidR="00E474F2">
        <w:t>, effectively stratifying the sample into matched and unmatched strata (Lohr, 2009)</w:t>
      </w:r>
      <w:r>
        <w:t>.</w:t>
      </w:r>
      <w:r w:rsidR="00E474F2">
        <w:t xml:space="preserve">  </w:t>
      </w:r>
      <w:r w:rsidR="00724E2F">
        <w:t>Stratification</w:t>
      </w:r>
      <w:r w:rsidR="00E474F2">
        <w:t xml:space="preserve"> provides an opportunity to optimize sampling </w:t>
      </w:r>
      <w:r w:rsidR="00FC6A0F">
        <w:t>among strata</w:t>
      </w:r>
      <w:r w:rsidR="00CC3EC2">
        <w:t xml:space="preserve"> - p</w:t>
      </w:r>
      <w:r w:rsidR="00FC6A0F">
        <w:t>revious studies (Andrews et al., 2010, Brick et al., 2012</w:t>
      </w:r>
      <w:r w:rsidR="000C7703">
        <w:t>a</w:t>
      </w:r>
      <w:r w:rsidR="00FC6A0F">
        <w:t>) have demonstrated that residents of households that match to license databases respond to fishing</w:t>
      </w:r>
      <w:r w:rsidR="00E474F2">
        <w:t xml:space="preserve"> </w:t>
      </w:r>
      <w:r w:rsidR="00A5616F">
        <w:t xml:space="preserve">surveys at a higher rate and are more likely to have fished during the reference wave than </w:t>
      </w:r>
      <w:bookmarkStart w:id="0" w:name="_GoBack"/>
      <w:bookmarkEnd w:id="0"/>
      <w:r w:rsidR="00A5616F">
        <w:t>residents of unmatched households.</w:t>
      </w:r>
      <w:r w:rsidR="008E1441">
        <w:t xml:space="preserve">  The survey instrument collects information about</w:t>
      </w:r>
      <w:r w:rsidR="0079366B">
        <w:t xml:space="preserve"> the</w:t>
      </w:r>
      <w:r w:rsidR="008E1441">
        <w:t xml:space="preserve"> recent saltwater fishing activity for all</w:t>
      </w:r>
      <w:r w:rsidR="00CC3EC2">
        <w:t xml:space="preserve"> residents of each sampled address (i.e. each address is a cluster of individuals</w:t>
      </w:r>
      <w:r w:rsidR="00576DE6">
        <w:t xml:space="preserve"> who reside at the address).</w:t>
      </w:r>
    </w:p>
    <w:p w:rsidR="00A84678" w:rsidRDefault="00A84678" w:rsidP="00B503CD">
      <w:pPr>
        <w:pStyle w:val="Default"/>
      </w:pPr>
    </w:p>
    <w:p w:rsidR="00A84678" w:rsidRDefault="00724E2F" w:rsidP="00B503CD">
      <w:pPr>
        <w:pStyle w:val="Default"/>
      </w:pPr>
      <w:r>
        <w:t>Table 1 provides the sample univer</w:t>
      </w:r>
      <w:r w:rsidR="00323307">
        <w:t>se, initial ABS sample size</w:t>
      </w:r>
      <w:r w:rsidR="00FD5B7A">
        <w:t>s</w:t>
      </w:r>
      <w:r w:rsidR="00323307">
        <w:t xml:space="preserve">, </w:t>
      </w:r>
      <w:r>
        <w:t xml:space="preserve">final </w:t>
      </w:r>
      <w:r w:rsidR="00057DBE">
        <w:t xml:space="preserve">target </w:t>
      </w:r>
      <w:r>
        <w:t>sample sizes</w:t>
      </w:r>
      <w:r w:rsidR="00323307">
        <w:t xml:space="preserve"> and estimated number of completed</w:t>
      </w:r>
      <w:r w:rsidR="00CC3EC2">
        <w:t xml:space="preserve"> household</w:t>
      </w:r>
      <w:r w:rsidR="00323307">
        <w:t xml:space="preserve"> interviews</w:t>
      </w:r>
      <w:r>
        <w:t xml:space="preserve"> for</w:t>
      </w:r>
      <w:r w:rsidR="00323307">
        <w:t xml:space="preserve"> each stratum within a given </w:t>
      </w:r>
      <w:r w:rsidR="00E631B6">
        <w:t xml:space="preserve">reference </w:t>
      </w:r>
      <w:r w:rsidR="00323307">
        <w:t xml:space="preserve">wave.  Initially, </w:t>
      </w:r>
      <w:r w:rsidR="005A2F0B">
        <w:t>sample will be distributed amo</w:t>
      </w:r>
      <w:r w:rsidR="009551A8">
        <w:t>ng strata such that the expected</w:t>
      </w:r>
      <w:r w:rsidR="005A2F0B">
        <w:t xml:space="preserve"> yield of </w:t>
      </w:r>
      <w:r w:rsidR="007A2BD3">
        <w:t>completed</w:t>
      </w:r>
      <w:r w:rsidR="00D56EDA">
        <w:t xml:space="preserve"> household</w:t>
      </w:r>
      <w:r w:rsidR="007A2BD3">
        <w:t xml:space="preserve"> </w:t>
      </w:r>
      <w:r w:rsidR="005A2F0B">
        <w:t>interviews is uniform</w:t>
      </w:r>
      <w:r w:rsidR="00796858">
        <w:t xml:space="preserve"> among states</w:t>
      </w:r>
      <w:r w:rsidR="00057DBE">
        <w:t xml:space="preserve">.  However, </w:t>
      </w:r>
      <w:r w:rsidR="00796858">
        <w:t>allocations</w:t>
      </w:r>
      <w:r w:rsidR="00D76EC2">
        <w:t xml:space="preserve"> </w:t>
      </w:r>
      <w:r w:rsidR="00057DBE">
        <w:t xml:space="preserve">will be </w:t>
      </w:r>
      <w:r w:rsidR="002B21DE">
        <w:t>re</w:t>
      </w:r>
      <w:r w:rsidR="00057DBE">
        <w:t>assessed following each wave</w:t>
      </w:r>
      <w:r w:rsidR="00FD5B7A">
        <w:t>.</w:t>
      </w:r>
      <w:r w:rsidR="002B21DE" w:rsidRPr="002B21DE">
        <w:t xml:space="preserve"> </w:t>
      </w:r>
      <w:r w:rsidR="002B21DE">
        <w:t>The final target allocation is achieved by retaining all matched addresses in the sample and sub-sampling unmatched addresses.  Target sample sizes</w:t>
      </w:r>
      <w:r w:rsidR="00D76EC2">
        <w:t xml:space="preserve"> are </w:t>
      </w:r>
      <w:r w:rsidR="00F10AA5">
        <w:t xml:space="preserve">expected to result </w:t>
      </w:r>
      <w:r w:rsidR="00D56EDA">
        <w:t xml:space="preserve">in </w:t>
      </w:r>
      <w:r w:rsidR="00775E93">
        <w:t xml:space="preserve">a </w:t>
      </w:r>
      <w:r w:rsidR="00D76EC2">
        <w:t>completed</w:t>
      </w:r>
      <w:r w:rsidR="00D56EDA">
        <w:t xml:space="preserve"> </w:t>
      </w:r>
      <w:r w:rsidR="00775E93">
        <w:t xml:space="preserve">number of </w:t>
      </w:r>
      <w:r w:rsidR="00D56EDA">
        <w:t xml:space="preserve">household </w:t>
      </w:r>
      <w:r w:rsidR="00D76EC2">
        <w:t xml:space="preserve">surveys </w:t>
      </w:r>
      <w:r w:rsidR="00D56EDA">
        <w:t xml:space="preserve">that are optimally allocated </w:t>
      </w:r>
      <w:r w:rsidR="00D76EC2">
        <w:t xml:space="preserve">among strata </w:t>
      </w:r>
      <w:r w:rsidR="00F10AA5">
        <w:t>and</w:t>
      </w:r>
      <w:r w:rsidR="00D76EC2">
        <w:t xml:space="preserve"> achieve </w:t>
      </w:r>
      <w:r w:rsidR="007A2BD3">
        <w:t>a coefficient of variation of 15</w:t>
      </w:r>
      <w:r w:rsidR="00D76EC2">
        <w:t>% on estimates of total fishing effort</w:t>
      </w:r>
      <w:r w:rsidR="00843995">
        <w:rPr>
          <w:rStyle w:val="FootnoteReference"/>
        </w:rPr>
        <w:footnoteReference w:id="2"/>
      </w:r>
      <w:r w:rsidR="00D76EC2">
        <w:t xml:space="preserve"> for each state and wave.</w:t>
      </w:r>
      <w:r w:rsidR="00A16C77">
        <w:t xml:space="preserve">  Sampling requirements are based upon results fro</w:t>
      </w:r>
      <w:r w:rsidR="00576DE6">
        <w:t>m previous MRIP pilot studies.</w:t>
      </w:r>
    </w:p>
    <w:p w:rsidR="00A84678" w:rsidRDefault="00A84678">
      <w:pPr>
        <w:spacing w:after="200" w:line="276" w:lineRule="auto"/>
        <w:rPr>
          <w:color w:val="000000"/>
        </w:rPr>
      </w:pPr>
      <w:r>
        <w:br w:type="page"/>
      </w:r>
    </w:p>
    <w:p w:rsidR="00AD4443" w:rsidRDefault="006B7606" w:rsidP="00B503CD">
      <w:pPr>
        <w:pStyle w:val="Default"/>
      </w:pPr>
      <w:proofErr w:type="gramStart"/>
      <w:r>
        <w:lastRenderedPageBreak/>
        <w:t>Table 1.</w:t>
      </w:r>
      <w:proofErr w:type="gramEnd"/>
      <w:r>
        <w:t xml:space="preserve">  </w:t>
      </w:r>
      <w:proofErr w:type="gramStart"/>
      <w:r>
        <w:t xml:space="preserve">Estimated size of the sample universe, initial and final sample sizes, expected response rates and estimated number of completed </w:t>
      </w:r>
      <w:r w:rsidR="000E23C3">
        <w:t xml:space="preserve">household </w:t>
      </w:r>
      <w:r>
        <w:t>interviews per wave</w:t>
      </w:r>
      <w:r w:rsidR="00556ACD">
        <w:t xml:space="preserve"> for the resident angler survey</w:t>
      </w:r>
      <w:r>
        <w:t>.</w:t>
      </w:r>
      <w:proofErr w:type="gramEnd"/>
      <w:r>
        <w:t xml:space="preserve">  </w:t>
      </w:r>
    </w:p>
    <w:p w:rsidR="00A84678" w:rsidRDefault="00A84678" w:rsidP="00B503CD">
      <w:pPr>
        <w:pStyle w:val="Default"/>
      </w:pPr>
    </w:p>
    <w:tbl>
      <w:tblPr>
        <w:tblW w:w="9720" w:type="dxa"/>
        <w:jc w:val="center"/>
        <w:tblLook w:val="04A0" w:firstRow="1" w:lastRow="0" w:firstColumn="1" w:lastColumn="0" w:noHBand="0" w:noVBand="1"/>
      </w:tblPr>
      <w:tblGrid>
        <w:gridCol w:w="900"/>
        <w:gridCol w:w="1280"/>
        <w:gridCol w:w="1420"/>
        <w:gridCol w:w="1460"/>
        <w:gridCol w:w="1180"/>
        <w:gridCol w:w="1200"/>
        <w:gridCol w:w="1120"/>
        <w:gridCol w:w="1200"/>
      </w:tblGrid>
      <w:tr w:rsidR="00A84678" w:rsidRPr="00A84678" w:rsidTr="00576DE6">
        <w:trPr>
          <w:trHeight w:val="930"/>
          <w:jc w:val="center"/>
        </w:trPr>
        <w:tc>
          <w:tcPr>
            <w:tcW w:w="900" w:type="dxa"/>
            <w:tcBorders>
              <w:top w:val="single" w:sz="12" w:space="0" w:color="auto"/>
              <w:left w:val="nil"/>
              <w:bottom w:val="single" w:sz="12" w:space="0" w:color="auto"/>
              <w:right w:val="nil"/>
            </w:tcBorders>
            <w:shd w:val="clear" w:color="auto" w:fill="auto"/>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State</w:t>
            </w:r>
          </w:p>
        </w:tc>
        <w:tc>
          <w:tcPr>
            <w:tcW w:w="1280" w:type="dxa"/>
            <w:tcBorders>
              <w:top w:val="single" w:sz="12" w:space="0" w:color="auto"/>
              <w:left w:val="nil"/>
              <w:bottom w:val="single" w:sz="12" w:space="0" w:color="auto"/>
              <w:right w:val="nil"/>
            </w:tcBorders>
            <w:shd w:val="clear" w:color="auto" w:fill="auto"/>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Geographic Stratum</w:t>
            </w:r>
          </w:p>
        </w:tc>
        <w:tc>
          <w:tcPr>
            <w:tcW w:w="1420" w:type="dxa"/>
            <w:tcBorders>
              <w:top w:val="single" w:sz="12" w:space="0" w:color="auto"/>
              <w:left w:val="nil"/>
              <w:bottom w:val="single" w:sz="12" w:space="0" w:color="auto"/>
              <w:right w:val="nil"/>
            </w:tcBorders>
            <w:shd w:val="clear" w:color="auto" w:fill="auto"/>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License Stratum</w:t>
            </w:r>
          </w:p>
        </w:tc>
        <w:tc>
          <w:tcPr>
            <w:tcW w:w="1460" w:type="dxa"/>
            <w:tcBorders>
              <w:top w:val="single" w:sz="12" w:space="0" w:color="auto"/>
              <w:left w:val="nil"/>
              <w:bottom w:val="single" w:sz="12" w:space="0" w:color="auto"/>
              <w:right w:val="nil"/>
            </w:tcBorders>
            <w:shd w:val="clear" w:color="auto" w:fill="auto"/>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Estimated Number of Households</w:t>
            </w:r>
            <w:r w:rsidR="006B7606">
              <w:rPr>
                <w:rStyle w:val="FootnoteReference"/>
                <w:rFonts w:ascii="Calibri" w:hAnsi="Calibri"/>
                <w:color w:val="000000"/>
                <w:sz w:val="22"/>
                <w:szCs w:val="22"/>
              </w:rPr>
              <w:footnoteReference w:id="3"/>
            </w:r>
          </w:p>
        </w:tc>
        <w:tc>
          <w:tcPr>
            <w:tcW w:w="1180" w:type="dxa"/>
            <w:tcBorders>
              <w:top w:val="single" w:sz="12" w:space="0" w:color="auto"/>
              <w:left w:val="nil"/>
              <w:bottom w:val="single" w:sz="12" w:space="0" w:color="auto"/>
              <w:right w:val="nil"/>
            </w:tcBorders>
            <w:shd w:val="clear" w:color="auto" w:fill="auto"/>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Initial ABS Sample Size</w:t>
            </w:r>
            <w:r w:rsidR="006B7606">
              <w:rPr>
                <w:rStyle w:val="FootnoteReference"/>
                <w:rFonts w:ascii="Calibri" w:hAnsi="Calibri"/>
                <w:color w:val="000000"/>
                <w:sz w:val="22"/>
                <w:szCs w:val="22"/>
              </w:rPr>
              <w:footnoteReference w:id="4"/>
            </w:r>
          </w:p>
        </w:tc>
        <w:tc>
          <w:tcPr>
            <w:tcW w:w="1200" w:type="dxa"/>
            <w:tcBorders>
              <w:top w:val="single" w:sz="12" w:space="0" w:color="auto"/>
              <w:left w:val="nil"/>
              <w:bottom w:val="single" w:sz="12" w:space="0" w:color="auto"/>
              <w:right w:val="nil"/>
            </w:tcBorders>
            <w:shd w:val="clear" w:color="auto" w:fill="auto"/>
            <w:vAlign w:val="bottom"/>
            <w:hideMark/>
          </w:tcPr>
          <w:p w:rsidR="00A84678" w:rsidRPr="00A84678" w:rsidRDefault="001B7DDF" w:rsidP="00A84678">
            <w:pPr>
              <w:spacing w:line="240" w:lineRule="auto"/>
              <w:jc w:val="center"/>
              <w:rPr>
                <w:rFonts w:ascii="Calibri" w:hAnsi="Calibri"/>
                <w:color w:val="000000"/>
              </w:rPr>
            </w:pPr>
            <w:r>
              <w:rPr>
                <w:rFonts w:ascii="Calibri" w:hAnsi="Calibri"/>
                <w:color w:val="000000"/>
                <w:sz w:val="22"/>
                <w:szCs w:val="22"/>
              </w:rPr>
              <w:t xml:space="preserve">Estimated </w:t>
            </w:r>
            <w:r w:rsidR="00A84678" w:rsidRPr="00A84678">
              <w:rPr>
                <w:rFonts w:ascii="Calibri" w:hAnsi="Calibri"/>
                <w:color w:val="000000"/>
                <w:sz w:val="22"/>
                <w:szCs w:val="22"/>
              </w:rPr>
              <w:t>Final ABS Sample Size</w:t>
            </w:r>
            <w:r>
              <w:rPr>
                <w:rStyle w:val="FootnoteReference"/>
                <w:rFonts w:ascii="Calibri" w:hAnsi="Calibri"/>
                <w:color w:val="000000"/>
                <w:sz w:val="22"/>
                <w:szCs w:val="22"/>
              </w:rPr>
              <w:footnoteReference w:id="5"/>
            </w:r>
            <w:r w:rsidR="009E4751">
              <w:rPr>
                <w:rStyle w:val="FootnoteReference"/>
                <w:rFonts w:ascii="Calibri" w:hAnsi="Calibri"/>
                <w:color w:val="000000"/>
                <w:sz w:val="22"/>
                <w:szCs w:val="22"/>
              </w:rPr>
              <w:footnoteReference w:id="6"/>
            </w:r>
          </w:p>
        </w:tc>
        <w:tc>
          <w:tcPr>
            <w:tcW w:w="1120" w:type="dxa"/>
            <w:tcBorders>
              <w:top w:val="single" w:sz="12" w:space="0" w:color="auto"/>
              <w:left w:val="nil"/>
              <w:bottom w:val="single" w:sz="12" w:space="0" w:color="auto"/>
              <w:right w:val="nil"/>
            </w:tcBorders>
            <w:shd w:val="clear" w:color="auto" w:fill="auto"/>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Expected Response Rates</w:t>
            </w:r>
            <w:r w:rsidR="001B7DDF">
              <w:rPr>
                <w:rStyle w:val="FootnoteReference"/>
                <w:rFonts w:ascii="Calibri" w:hAnsi="Calibri"/>
                <w:color w:val="000000"/>
                <w:sz w:val="22"/>
                <w:szCs w:val="22"/>
              </w:rPr>
              <w:footnoteReference w:id="7"/>
            </w:r>
          </w:p>
        </w:tc>
        <w:tc>
          <w:tcPr>
            <w:tcW w:w="1160" w:type="dxa"/>
            <w:tcBorders>
              <w:top w:val="single" w:sz="12" w:space="0" w:color="auto"/>
              <w:left w:val="nil"/>
              <w:bottom w:val="single" w:sz="12" w:space="0" w:color="auto"/>
              <w:right w:val="nil"/>
            </w:tcBorders>
            <w:shd w:val="clear" w:color="auto" w:fill="auto"/>
            <w:vAlign w:val="bottom"/>
            <w:hideMark/>
          </w:tcPr>
          <w:p w:rsidR="00A84678" w:rsidRPr="00A84678" w:rsidRDefault="00A84678" w:rsidP="00A136B2">
            <w:pPr>
              <w:spacing w:line="240" w:lineRule="auto"/>
              <w:jc w:val="center"/>
              <w:rPr>
                <w:rFonts w:ascii="Calibri" w:hAnsi="Calibri"/>
                <w:color w:val="000000"/>
              </w:rPr>
            </w:pPr>
            <w:r w:rsidRPr="00A84678">
              <w:rPr>
                <w:rFonts w:ascii="Calibri" w:hAnsi="Calibri"/>
                <w:color w:val="000000"/>
                <w:sz w:val="22"/>
                <w:szCs w:val="22"/>
              </w:rPr>
              <w:t>Estimated Completed</w:t>
            </w:r>
            <w:r w:rsidR="00B30F66">
              <w:rPr>
                <w:rFonts w:ascii="Calibri" w:hAnsi="Calibri"/>
                <w:color w:val="000000"/>
                <w:sz w:val="22"/>
                <w:szCs w:val="22"/>
              </w:rPr>
              <w:t xml:space="preserve"> Household</w:t>
            </w:r>
            <w:r w:rsidRPr="00A84678">
              <w:rPr>
                <w:rFonts w:ascii="Calibri" w:hAnsi="Calibri"/>
                <w:color w:val="000000"/>
                <w:sz w:val="22"/>
                <w:szCs w:val="22"/>
              </w:rPr>
              <w:t xml:space="preserve"> </w:t>
            </w:r>
            <w:r w:rsidR="00A136B2">
              <w:rPr>
                <w:rFonts w:ascii="Calibri" w:hAnsi="Calibri"/>
                <w:color w:val="000000"/>
                <w:sz w:val="22"/>
                <w:szCs w:val="22"/>
              </w:rPr>
              <w:t>Surveys</w:t>
            </w:r>
          </w:p>
        </w:tc>
      </w:tr>
      <w:tr w:rsidR="00A84678" w:rsidRPr="00A84678" w:rsidTr="00576DE6">
        <w:trPr>
          <w:trHeight w:val="315"/>
          <w:jc w:val="center"/>
        </w:trPr>
        <w:tc>
          <w:tcPr>
            <w:tcW w:w="9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FL</w:t>
            </w:r>
          </w:p>
        </w:tc>
        <w:tc>
          <w:tcPr>
            <w:tcW w:w="12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Coastal</w:t>
            </w:r>
          </w:p>
        </w:tc>
        <w:tc>
          <w:tcPr>
            <w:tcW w:w="14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Matched</w:t>
            </w:r>
          </w:p>
        </w:tc>
        <w:tc>
          <w:tcPr>
            <w:tcW w:w="14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737,818</w:t>
            </w:r>
          </w:p>
        </w:tc>
        <w:tc>
          <w:tcPr>
            <w:tcW w:w="11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1,325</w:t>
            </w:r>
          </w:p>
        </w:tc>
        <w:tc>
          <w:tcPr>
            <w:tcW w:w="12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1,32</w:t>
            </w:r>
            <w:r w:rsidR="006B7606">
              <w:rPr>
                <w:rFonts w:ascii="Calibri" w:hAnsi="Calibri"/>
                <w:color w:val="000000"/>
                <w:sz w:val="22"/>
                <w:szCs w:val="22"/>
              </w:rPr>
              <w:t>5</w:t>
            </w:r>
          </w:p>
        </w:tc>
        <w:tc>
          <w:tcPr>
            <w:tcW w:w="11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57%</w:t>
            </w:r>
          </w:p>
        </w:tc>
        <w:tc>
          <w:tcPr>
            <w:tcW w:w="11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759</w:t>
            </w:r>
          </w:p>
        </w:tc>
      </w:tr>
      <w:tr w:rsidR="00A84678" w:rsidRPr="00A84678" w:rsidTr="00576DE6">
        <w:trPr>
          <w:trHeight w:val="300"/>
          <w:jc w:val="center"/>
        </w:trPr>
        <w:tc>
          <w:tcPr>
            <w:tcW w:w="9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FL</w:t>
            </w:r>
          </w:p>
        </w:tc>
        <w:tc>
          <w:tcPr>
            <w:tcW w:w="12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Coastal</w:t>
            </w:r>
          </w:p>
        </w:tc>
        <w:tc>
          <w:tcPr>
            <w:tcW w:w="14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Unmatched</w:t>
            </w:r>
          </w:p>
        </w:tc>
        <w:tc>
          <w:tcPr>
            <w:tcW w:w="14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6,754,869</w:t>
            </w:r>
          </w:p>
        </w:tc>
        <w:tc>
          <w:tcPr>
            <w:tcW w:w="11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12,131</w:t>
            </w:r>
          </w:p>
        </w:tc>
        <w:tc>
          <w:tcPr>
            <w:tcW w:w="12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2,930</w:t>
            </w:r>
          </w:p>
        </w:tc>
        <w:tc>
          <w:tcPr>
            <w:tcW w:w="11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43%</w:t>
            </w:r>
          </w:p>
        </w:tc>
        <w:tc>
          <w:tcPr>
            <w:tcW w:w="11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1,270</w:t>
            </w:r>
          </w:p>
        </w:tc>
      </w:tr>
      <w:tr w:rsidR="00A84678" w:rsidRPr="00A84678" w:rsidTr="00576DE6">
        <w:trPr>
          <w:trHeight w:val="300"/>
          <w:jc w:val="center"/>
        </w:trPr>
        <w:tc>
          <w:tcPr>
            <w:tcW w:w="9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MA</w:t>
            </w:r>
          </w:p>
        </w:tc>
        <w:tc>
          <w:tcPr>
            <w:tcW w:w="12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Coastal</w:t>
            </w:r>
          </w:p>
        </w:tc>
        <w:tc>
          <w:tcPr>
            <w:tcW w:w="14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Matched</w:t>
            </w:r>
          </w:p>
        </w:tc>
        <w:tc>
          <w:tcPr>
            <w:tcW w:w="14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53,612</w:t>
            </w:r>
          </w:p>
        </w:tc>
        <w:tc>
          <w:tcPr>
            <w:tcW w:w="11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1,290</w:t>
            </w:r>
          </w:p>
        </w:tc>
        <w:tc>
          <w:tcPr>
            <w:tcW w:w="12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1,290</w:t>
            </w:r>
          </w:p>
        </w:tc>
        <w:tc>
          <w:tcPr>
            <w:tcW w:w="11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57%</w:t>
            </w:r>
          </w:p>
        </w:tc>
        <w:tc>
          <w:tcPr>
            <w:tcW w:w="11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665</w:t>
            </w:r>
          </w:p>
        </w:tc>
      </w:tr>
      <w:tr w:rsidR="00A84678" w:rsidRPr="00A84678" w:rsidTr="00576DE6">
        <w:trPr>
          <w:trHeight w:val="300"/>
          <w:jc w:val="center"/>
        </w:trPr>
        <w:tc>
          <w:tcPr>
            <w:tcW w:w="9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MA</w:t>
            </w:r>
          </w:p>
        </w:tc>
        <w:tc>
          <w:tcPr>
            <w:tcW w:w="12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Coastal</w:t>
            </w:r>
          </w:p>
        </w:tc>
        <w:tc>
          <w:tcPr>
            <w:tcW w:w="14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Unmatched</w:t>
            </w:r>
          </w:p>
        </w:tc>
        <w:tc>
          <w:tcPr>
            <w:tcW w:w="14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1,856,226</w:t>
            </w:r>
          </w:p>
        </w:tc>
        <w:tc>
          <w:tcPr>
            <w:tcW w:w="11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44,664</w:t>
            </w:r>
          </w:p>
        </w:tc>
        <w:tc>
          <w:tcPr>
            <w:tcW w:w="12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2,262</w:t>
            </w:r>
          </w:p>
        </w:tc>
        <w:tc>
          <w:tcPr>
            <w:tcW w:w="11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43%</w:t>
            </w:r>
          </w:p>
        </w:tc>
        <w:tc>
          <w:tcPr>
            <w:tcW w:w="11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882</w:t>
            </w:r>
          </w:p>
        </w:tc>
      </w:tr>
      <w:tr w:rsidR="00A84678" w:rsidRPr="00A84678" w:rsidTr="00576DE6">
        <w:trPr>
          <w:trHeight w:val="300"/>
          <w:jc w:val="center"/>
        </w:trPr>
        <w:tc>
          <w:tcPr>
            <w:tcW w:w="9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MA</w:t>
            </w:r>
          </w:p>
        </w:tc>
        <w:tc>
          <w:tcPr>
            <w:tcW w:w="12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Noncoastal</w:t>
            </w:r>
          </w:p>
        </w:tc>
        <w:tc>
          <w:tcPr>
            <w:tcW w:w="14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Matched</w:t>
            </w:r>
          </w:p>
        </w:tc>
        <w:tc>
          <w:tcPr>
            <w:tcW w:w="14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43,023</w:t>
            </w:r>
          </w:p>
        </w:tc>
        <w:tc>
          <w:tcPr>
            <w:tcW w:w="11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198</w:t>
            </w:r>
          </w:p>
        </w:tc>
        <w:tc>
          <w:tcPr>
            <w:tcW w:w="12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198</w:t>
            </w:r>
          </w:p>
        </w:tc>
        <w:tc>
          <w:tcPr>
            <w:tcW w:w="11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53%</w:t>
            </w:r>
          </w:p>
        </w:tc>
        <w:tc>
          <w:tcPr>
            <w:tcW w:w="11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94</w:t>
            </w:r>
          </w:p>
        </w:tc>
      </w:tr>
      <w:tr w:rsidR="00A84678" w:rsidRPr="00A84678" w:rsidTr="00576DE6">
        <w:trPr>
          <w:trHeight w:val="300"/>
          <w:jc w:val="center"/>
        </w:trPr>
        <w:tc>
          <w:tcPr>
            <w:tcW w:w="9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MA</w:t>
            </w:r>
          </w:p>
        </w:tc>
        <w:tc>
          <w:tcPr>
            <w:tcW w:w="12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Noncoastal</w:t>
            </w:r>
          </w:p>
        </w:tc>
        <w:tc>
          <w:tcPr>
            <w:tcW w:w="14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Unmatched</w:t>
            </w:r>
          </w:p>
        </w:tc>
        <w:tc>
          <w:tcPr>
            <w:tcW w:w="14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585,613</w:t>
            </w:r>
          </w:p>
        </w:tc>
        <w:tc>
          <w:tcPr>
            <w:tcW w:w="11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2,695</w:t>
            </w:r>
          </w:p>
        </w:tc>
        <w:tc>
          <w:tcPr>
            <w:tcW w:w="12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1,055</w:t>
            </w:r>
          </w:p>
        </w:tc>
        <w:tc>
          <w:tcPr>
            <w:tcW w:w="11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41%</w:t>
            </w:r>
          </w:p>
        </w:tc>
        <w:tc>
          <w:tcPr>
            <w:tcW w:w="11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388</w:t>
            </w:r>
          </w:p>
        </w:tc>
      </w:tr>
      <w:tr w:rsidR="00A84678" w:rsidRPr="00A84678" w:rsidTr="00576DE6">
        <w:trPr>
          <w:trHeight w:val="300"/>
          <w:jc w:val="center"/>
        </w:trPr>
        <w:tc>
          <w:tcPr>
            <w:tcW w:w="9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NC</w:t>
            </w:r>
          </w:p>
        </w:tc>
        <w:tc>
          <w:tcPr>
            <w:tcW w:w="12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Coastal</w:t>
            </w:r>
          </w:p>
        </w:tc>
        <w:tc>
          <w:tcPr>
            <w:tcW w:w="14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Matched</w:t>
            </w:r>
          </w:p>
        </w:tc>
        <w:tc>
          <w:tcPr>
            <w:tcW w:w="14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199,839</w:t>
            </w:r>
          </w:p>
        </w:tc>
        <w:tc>
          <w:tcPr>
            <w:tcW w:w="11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1,290</w:t>
            </w:r>
          </w:p>
        </w:tc>
        <w:tc>
          <w:tcPr>
            <w:tcW w:w="12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1,290</w:t>
            </w:r>
          </w:p>
        </w:tc>
        <w:tc>
          <w:tcPr>
            <w:tcW w:w="11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57%</w:t>
            </w:r>
          </w:p>
        </w:tc>
        <w:tc>
          <w:tcPr>
            <w:tcW w:w="11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665</w:t>
            </w:r>
          </w:p>
        </w:tc>
      </w:tr>
      <w:tr w:rsidR="00A84678" w:rsidRPr="00A84678" w:rsidTr="00576DE6">
        <w:trPr>
          <w:trHeight w:val="300"/>
          <w:jc w:val="center"/>
        </w:trPr>
        <w:tc>
          <w:tcPr>
            <w:tcW w:w="9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NC</w:t>
            </w:r>
          </w:p>
        </w:tc>
        <w:tc>
          <w:tcPr>
            <w:tcW w:w="12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Coastal</w:t>
            </w:r>
          </w:p>
        </w:tc>
        <w:tc>
          <w:tcPr>
            <w:tcW w:w="14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Unmatched</w:t>
            </w:r>
          </w:p>
        </w:tc>
        <w:tc>
          <w:tcPr>
            <w:tcW w:w="14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557,660</w:t>
            </w:r>
          </w:p>
        </w:tc>
        <w:tc>
          <w:tcPr>
            <w:tcW w:w="11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3,600</w:t>
            </w:r>
          </w:p>
        </w:tc>
        <w:tc>
          <w:tcPr>
            <w:tcW w:w="12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2,262</w:t>
            </w:r>
          </w:p>
        </w:tc>
        <w:tc>
          <w:tcPr>
            <w:tcW w:w="11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43%</w:t>
            </w:r>
          </w:p>
        </w:tc>
        <w:tc>
          <w:tcPr>
            <w:tcW w:w="11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882</w:t>
            </w:r>
          </w:p>
        </w:tc>
      </w:tr>
      <w:tr w:rsidR="00A84678" w:rsidRPr="00A84678" w:rsidTr="00576DE6">
        <w:trPr>
          <w:trHeight w:val="300"/>
          <w:jc w:val="center"/>
        </w:trPr>
        <w:tc>
          <w:tcPr>
            <w:tcW w:w="9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NC</w:t>
            </w:r>
          </w:p>
        </w:tc>
        <w:tc>
          <w:tcPr>
            <w:tcW w:w="12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Noncoastal</w:t>
            </w:r>
          </w:p>
        </w:tc>
        <w:tc>
          <w:tcPr>
            <w:tcW w:w="14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Matched</w:t>
            </w:r>
          </w:p>
        </w:tc>
        <w:tc>
          <w:tcPr>
            <w:tcW w:w="14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222,650</w:t>
            </w:r>
          </w:p>
        </w:tc>
        <w:tc>
          <w:tcPr>
            <w:tcW w:w="11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198</w:t>
            </w:r>
          </w:p>
        </w:tc>
        <w:tc>
          <w:tcPr>
            <w:tcW w:w="12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198</w:t>
            </w:r>
          </w:p>
        </w:tc>
        <w:tc>
          <w:tcPr>
            <w:tcW w:w="11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53%</w:t>
            </w:r>
          </w:p>
        </w:tc>
        <w:tc>
          <w:tcPr>
            <w:tcW w:w="11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94</w:t>
            </w:r>
          </w:p>
        </w:tc>
      </w:tr>
      <w:tr w:rsidR="00A84678" w:rsidRPr="00A84678" w:rsidTr="00576DE6">
        <w:trPr>
          <w:trHeight w:val="300"/>
          <w:jc w:val="center"/>
        </w:trPr>
        <w:tc>
          <w:tcPr>
            <w:tcW w:w="9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NC</w:t>
            </w:r>
          </w:p>
        </w:tc>
        <w:tc>
          <w:tcPr>
            <w:tcW w:w="12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Noncoastal</w:t>
            </w:r>
          </w:p>
        </w:tc>
        <w:tc>
          <w:tcPr>
            <w:tcW w:w="14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Unmatched</w:t>
            </w:r>
          </w:p>
        </w:tc>
        <w:tc>
          <w:tcPr>
            <w:tcW w:w="14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2,812,924</w:t>
            </w:r>
          </w:p>
        </w:tc>
        <w:tc>
          <w:tcPr>
            <w:tcW w:w="11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2,502</w:t>
            </w:r>
          </w:p>
        </w:tc>
        <w:tc>
          <w:tcPr>
            <w:tcW w:w="12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1,055</w:t>
            </w:r>
          </w:p>
        </w:tc>
        <w:tc>
          <w:tcPr>
            <w:tcW w:w="11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41%</w:t>
            </w:r>
          </w:p>
        </w:tc>
        <w:tc>
          <w:tcPr>
            <w:tcW w:w="11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388</w:t>
            </w:r>
          </w:p>
        </w:tc>
      </w:tr>
      <w:tr w:rsidR="00A84678" w:rsidRPr="00A84678" w:rsidTr="00576DE6">
        <w:trPr>
          <w:trHeight w:val="300"/>
          <w:jc w:val="center"/>
        </w:trPr>
        <w:tc>
          <w:tcPr>
            <w:tcW w:w="9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NY</w:t>
            </w:r>
          </w:p>
        </w:tc>
        <w:tc>
          <w:tcPr>
            <w:tcW w:w="12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Coastal</w:t>
            </w:r>
          </w:p>
        </w:tc>
        <w:tc>
          <w:tcPr>
            <w:tcW w:w="14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Matched</w:t>
            </w:r>
          </w:p>
        </w:tc>
        <w:tc>
          <w:tcPr>
            <w:tcW w:w="14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75,957</w:t>
            </w:r>
          </w:p>
        </w:tc>
        <w:tc>
          <w:tcPr>
            <w:tcW w:w="11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1,290</w:t>
            </w:r>
          </w:p>
        </w:tc>
        <w:tc>
          <w:tcPr>
            <w:tcW w:w="12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1,290</w:t>
            </w:r>
          </w:p>
        </w:tc>
        <w:tc>
          <w:tcPr>
            <w:tcW w:w="11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57%</w:t>
            </w:r>
          </w:p>
        </w:tc>
        <w:tc>
          <w:tcPr>
            <w:tcW w:w="11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665</w:t>
            </w:r>
          </w:p>
        </w:tc>
      </w:tr>
      <w:tr w:rsidR="00A84678" w:rsidRPr="00A84678" w:rsidTr="00576DE6">
        <w:trPr>
          <w:trHeight w:val="300"/>
          <w:jc w:val="center"/>
        </w:trPr>
        <w:tc>
          <w:tcPr>
            <w:tcW w:w="9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NY</w:t>
            </w:r>
          </w:p>
        </w:tc>
        <w:tc>
          <w:tcPr>
            <w:tcW w:w="12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Coastal</w:t>
            </w:r>
          </w:p>
        </w:tc>
        <w:tc>
          <w:tcPr>
            <w:tcW w:w="14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Unmatched</w:t>
            </w:r>
          </w:p>
        </w:tc>
        <w:tc>
          <w:tcPr>
            <w:tcW w:w="14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4,434,800</w:t>
            </w:r>
          </w:p>
        </w:tc>
        <w:tc>
          <w:tcPr>
            <w:tcW w:w="11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75,318</w:t>
            </w:r>
          </w:p>
        </w:tc>
        <w:tc>
          <w:tcPr>
            <w:tcW w:w="12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2,262</w:t>
            </w:r>
          </w:p>
        </w:tc>
        <w:tc>
          <w:tcPr>
            <w:tcW w:w="11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43%</w:t>
            </w:r>
          </w:p>
        </w:tc>
        <w:tc>
          <w:tcPr>
            <w:tcW w:w="11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882</w:t>
            </w:r>
          </w:p>
        </w:tc>
      </w:tr>
      <w:tr w:rsidR="00A84678" w:rsidRPr="00A84678" w:rsidTr="00576DE6">
        <w:trPr>
          <w:trHeight w:val="300"/>
          <w:jc w:val="center"/>
        </w:trPr>
        <w:tc>
          <w:tcPr>
            <w:tcW w:w="9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NY</w:t>
            </w:r>
          </w:p>
        </w:tc>
        <w:tc>
          <w:tcPr>
            <w:tcW w:w="12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Noncoastal</w:t>
            </w:r>
          </w:p>
        </w:tc>
        <w:tc>
          <w:tcPr>
            <w:tcW w:w="14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Matched</w:t>
            </w:r>
          </w:p>
        </w:tc>
        <w:tc>
          <w:tcPr>
            <w:tcW w:w="14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35,537</w:t>
            </w:r>
          </w:p>
        </w:tc>
        <w:tc>
          <w:tcPr>
            <w:tcW w:w="11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198</w:t>
            </w:r>
          </w:p>
        </w:tc>
        <w:tc>
          <w:tcPr>
            <w:tcW w:w="12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198</w:t>
            </w:r>
          </w:p>
        </w:tc>
        <w:tc>
          <w:tcPr>
            <w:tcW w:w="11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53%</w:t>
            </w:r>
          </w:p>
        </w:tc>
        <w:tc>
          <w:tcPr>
            <w:tcW w:w="11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94</w:t>
            </w:r>
          </w:p>
        </w:tc>
      </w:tr>
      <w:tr w:rsidR="00A84678" w:rsidRPr="00A84678" w:rsidTr="00576DE6">
        <w:trPr>
          <w:trHeight w:val="300"/>
          <w:jc w:val="center"/>
        </w:trPr>
        <w:tc>
          <w:tcPr>
            <w:tcW w:w="9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NY</w:t>
            </w:r>
          </w:p>
        </w:tc>
        <w:tc>
          <w:tcPr>
            <w:tcW w:w="12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Noncoastal</w:t>
            </w:r>
          </w:p>
        </w:tc>
        <w:tc>
          <w:tcPr>
            <w:tcW w:w="14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Unmatched</w:t>
            </w:r>
          </w:p>
        </w:tc>
        <w:tc>
          <w:tcPr>
            <w:tcW w:w="14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2,650,522</w:t>
            </w:r>
          </w:p>
        </w:tc>
        <w:tc>
          <w:tcPr>
            <w:tcW w:w="118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14,768</w:t>
            </w:r>
          </w:p>
        </w:tc>
        <w:tc>
          <w:tcPr>
            <w:tcW w:w="120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1,055</w:t>
            </w:r>
          </w:p>
        </w:tc>
        <w:tc>
          <w:tcPr>
            <w:tcW w:w="112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41%</w:t>
            </w:r>
          </w:p>
        </w:tc>
        <w:tc>
          <w:tcPr>
            <w:tcW w:w="1160" w:type="dxa"/>
            <w:tcBorders>
              <w:top w:val="nil"/>
              <w:left w:val="nil"/>
              <w:bottom w:val="nil"/>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388</w:t>
            </w:r>
          </w:p>
        </w:tc>
      </w:tr>
      <w:tr w:rsidR="00A84678" w:rsidRPr="00A84678" w:rsidTr="00576DE6">
        <w:trPr>
          <w:trHeight w:val="315"/>
          <w:jc w:val="center"/>
        </w:trPr>
        <w:tc>
          <w:tcPr>
            <w:tcW w:w="900" w:type="dxa"/>
            <w:tcBorders>
              <w:top w:val="nil"/>
              <w:left w:val="nil"/>
              <w:bottom w:val="single" w:sz="12" w:space="0" w:color="auto"/>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Total</w:t>
            </w:r>
          </w:p>
        </w:tc>
        <w:tc>
          <w:tcPr>
            <w:tcW w:w="1280" w:type="dxa"/>
            <w:tcBorders>
              <w:top w:val="nil"/>
              <w:left w:val="nil"/>
              <w:bottom w:val="single" w:sz="12" w:space="0" w:color="auto"/>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 </w:t>
            </w:r>
          </w:p>
        </w:tc>
        <w:tc>
          <w:tcPr>
            <w:tcW w:w="1420" w:type="dxa"/>
            <w:tcBorders>
              <w:top w:val="nil"/>
              <w:left w:val="nil"/>
              <w:bottom w:val="single" w:sz="12" w:space="0" w:color="auto"/>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 </w:t>
            </w:r>
          </w:p>
        </w:tc>
        <w:tc>
          <w:tcPr>
            <w:tcW w:w="1460" w:type="dxa"/>
            <w:tcBorders>
              <w:top w:val="nil"/>
              <w:left w:val="nil"/>
              <w:bottom w:val="single" w:sz="12" w:space="0" w:color="auto"/>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21,021,050</w:t>
            </w:r>
          </w:p>
        </w:tc>
        <w:tc>
          <w:tcPr>
            <w:tcW w:w="1180" w:type="dxa"/>
            <w:tcBorders>
              <w:top w:val="nil"/>
              <w:left w:val="nil"/>
              <w:bottom w:val="single" w:sz="12" w:space="0" w:color="auto"/>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161,467</w:t>
            </w:r>
          </w:p>
        </w:tc>
        <w:tc>
          <w:tcPr>
            <w:tcW w:w="1200" w:type="dxa"/>
            <w:tcBorders>
              <w:top w:val="nil"/>
              <w:left w:val="nil"/>
              <w:bottom w:val="single" w:sz="12" w:space="0" w:color="auto"/>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18,671</w:t>
            </w:r>
          </w:p>
        </w:tc>
        <w:tc>
          <w:tcPr>
            <w:tcW w:w="1120" w:type="dxa"/>
            <w:tcBorders>
              <w:top w:val="nil"/>
              <w:left w:val="nil"/>
              <w:bottom w:val="single" w:sz="12" w:space="0" w:color="auto"/>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48%</w:t>
            </w:r>
          </w:p>
        </w:tc>
        <w:tc>
          <w:tcPr>
            <w:tcW w:w="1160" w:type="dxa"/>
            <w:tcBorders>
              <w:top w:val="nil"/>
              <w:left w:val="nil"/>
              <w:bottom w:val="single" w:sz="12" w:space="0" w:color="auto"/>
              <w:right w:val="nil"/>
            </w:tcBorders>
            <w:shd w:val="clear" w:color="auto" w:fill="auto"/>
            <w:noWrap/>
            <w:vAlign w:val="bottom"/>
            <w:hideMark/>
          </w:tcPr>
          <w:p w:rsidR="00A84678" w:rsidRPr="00A84678" w:rsidRDefault="00A84678" w:rsidP="00A84678">
            <w:pPr>
              <w:spacing w:line="240" w:lineRule="auto"/>
              <w:jc w:val="center"/>
              <w:rPr>
                <w:rFonts w:ascii="Calibri" w:hAnsi="Calibri"/>
                <w:color w:val="000000"/>
              </w:rPr>
            </w:pPr>
            <w:r w:rsidRPr="00A84678">
              <w:rPr>
                <w:rFonts w:ascii="Calibri" w:hAnsi="Calibri"/>
                <w:color w:val="000000"/>
                <w:sz w:val="22"/>
                <w:szCs w:val="22"/>
              </w:rPr>
              <w:t>8,116</w:t>
            </w:r>
          </w:p>
        </w:tc>
      </w:tr>
    </w:tbl>
    <w:p w:rsidR="00A84678" w:rsidRDefault="00A84678" w:rsidP="00B503CD">
      <w:pPr>
        <w:pStyle w:val="Default"/>
      </w:pPr>
    </w:p>
    <w:p w:rsidR="00AD4443" w:rsidRDefault="00875824" w:rsidP="00B503CD">
      <w:pPr>
        <w:pStyle w:val="Default"/>
      </w:pPr>
      <w:r>
        <w:t>1.3. Nonresident Angler Survey</w:t>
      </w:r>
    </w:p>
    <w:p w:rsidR="00875824" w:rsidRDefault="00875824" w:rsidP="00B503CD">
      <w:pPr>
        <w:pStyle w:val="CM23"/>
        <w:spacing w:after="0"/>
        <w:rPr>
          <w:b/>
          <w:bCs/>
          <w:color w:val="000000"/>
        </w:rPr>
      </w:pPr>
    </w:p>
    <w:p w:rsidR="00E17A0A" w:rsidRDefault="00875824" w:rsidP="00E17A0A">
      <w:pPr>
        <w:pStyle w:val="Default"/>
      </w:pPr>
      <w:r w:rsidRPr="00A87E5F">
        <w:t xml:space="preserve">Non-resident anglers are sampled from </w:t>
      </w:r>
      <w:r w:rsidR="00305643">
        <w:t xml:space="preserve">lists of individuals </w:t>
      </w:r>
      <w:r w:rsidR="00EE629B">
        <w:t xml:space="preserve">who are </w:t>
      </w:r>
      <w:r w:rsidR="00305643">
        <w:t xml:space="preserve">licensed to participate in saltwater fishing in </w:t>
      </w:r>
      <w:r w:rsidR="00AF7CA4">
        <w:t>each study state</w:t>
      </w:r>
      <w:r w:rsidRPr="00A87E5F">
        <w:t xml:space="preserve">.  The sample frame for each state consists of anglers who were licensed to fish in </w:t>
      </w:r>
      <w:r>
        <w:t>the</w:t>
      </w:r>
      <w:r w:rsidRPr="00A87E5F">
        <w:t xml:space="preserve"> state (license state) during the wave but reside in another state.</w:t>
      </w:r>
      <w:r w:rsidR="00584E96">
        <w:t xml:space="preserve">  Databases of licensed anglers are provided to NMFS by state natural resource agencies approximately one month prior to the beginning of data collection for each wave.  </w:t>
      </w:r>
      <w:r w:rsidR="00E17A0A">
        <w:t xml:space="preserve">Prior to sampling, addresses within the license databases are formatted to conform to USPS postal addressing standards, and duplicate angler records, as well as records for individuals less than18 years of age are identified and removed.  </w:t>
      </w:r>
    </w:p>
    <w:p w:rsidR="00E17A0A" w:rsidRDefault="00E17A0A" w:rsidP="00E17A0A">
      <w:pPr>
        <w:pStyle w:val="Default"/>
      </w:pPr>
    </w:p>
    <w:p w:rsidR="00875824" w:rsidRDefault="00584E96" w:rsidP="00E17A0A">
      <w:pPr>
        <w:pStyle w:val="Default"/>
      </w:pPr>
      <w:r>
        <w:t xml:space="preserve">Each wave, a simple random sample of licensed anglers is selected from each state’s license </w:t>
      </w:r>
      <w:r w:rsidR="00E17A0A">
        <w:t>frame</w:t>
      </w:r>
      <w:r>
        <w:t xml:space="preserve">.  </w:t>
      </w:r>
      <w:r w:rsidR="00934AC1">
        <w:t xml:space="preserve">The survey instrument collects information about recent saltwater fishing activity for the sampled angler, as well as any </w:t>
      </w:r>
      <w:r w:rsidR="00A938C7">
        <w:t>other individuals</w:t>
      </w:r>
      <w:r w:rsidR="00861A53">
        <w:t xml:space="preserve"> </w:t>
      </w:r>
      <w:r w:rsidR="00934AC1">
        <w:t>who reside at the same address a</w:t>
      </w:r>
      <w:r w:rsidR="00A938C7">
        <w:t>s the sampled angler</w:t>
      </w:r>
      <w:r w:rsidR="00EE629B">
        <w:t>; each sampled angler represents a cluster of anglers who reside at the same address</w:t>
      </w:r>
      <w:r w:rsidR="00934AC1">
        <w:t>.</w:t>
      </w:r>
      <w:r w:rsidR="00EE629B">
        <w:t xml:space="preserve">  </w:t>
      </w:r>
      <w:r>
        <w:t xml:space="preserve">Table 2 provides the sample universe, sample size, expected response rates and estimated number of completed </w:t>
      </w:r>
      <w:r w:rsidR="00A136B2">
        <w:t>surveys</w:t>
      </w:r>
      <w:r>
        <w:t xml:space="preserve"> for each state within a given reference wave.</w:t>
      </w:r>
    </w:p>
    <w:p w:rsidR="008016DE" w:rsidRDefault="008016DE" w:rsidP="00556ACD">
      <w:pPr>
        <w:pStyle w:val="Default"/>
      </w:pPr>
    </w:p>
    <w:p w:rsidR="00556ACD" w:rsidRDefault="00556ACD" w:rsidP="00556ACD">
      <w:pPr>
        <w:pStyle w:val="Default"/>
      </w:pPr>
      <w:proofErr w:type="gramStart"/>
      <w:r>
        <w:t>Table 2.</w:t>
      </w:r>
      <w:proofErr w:type="gramEnd"/>
      <w:r>
        <w:t xml:space="preserve"> Estimated size of the sample universe, initial and final sample sizes, expected response rates and estimated number of completed interviews per wave for t</w:t>
      </w:r>
      <w:r w:rsidR="00576DE6">
        <w:t>he nonresident angler survey.</w:t>
      </w:r>
    </w:p>
    <w:p w:rsidR="00556ACD" w:rsidRDefault="00556ACD" w:rsidP="00556ACD">
      <w:pPr>
        <w:pStyle w:val="Default"/>
      </w:pPr>
    </w:p>
    <w:tbl>
      <w:tblPr>
        <w:tblW w:w="7420" w:type="dxa"/>
        <w:jc w:val="center"/>
        <w:tblLook w:val="04A0" w:firstRow="1" w:lastRow="0" w:firstColumn="1" w:lastColumn="0" w:noHBand="0" w:noVBand="1"/>
      </w:tblPr>
      <w:tblGrid>
        <w:gridCol w:w="960"/>
        <w:gridCol w:w="1720"/>
        <w:gridCol w:w="1480"/>
        <w:gridCol w:w="1540"/>
        <w:gridCol w:w="1720"/>
      </w:tblGrid>
      <w:tr w:rsidR="00556ACD" w:rsidRPr="00556ACD" w:rsidTr="00576DE6">
        <w:trPr>
          <w:trHeight w:val="1230"/>
          <w:jc w:val="center"/>
        </w:trPr>
        <w:tc>
          <w:tcPr>
            <w:tcW w:w="960" w:type="dxa"/>
            <w:tcBorders>
              <w:top w:val="single" w:sz="12" w:space="0" w:color="auto"/>
              <w:left w:val="nil"/>
              <w:bottom w:val="single" w:sz="12" w:space="0" w:color="auto"/>
              <w:right w:val="nil"/>
            </w:tcBorders>
            <w:shd w:val="clear" w:color="auto" w:fill="auto"/>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State</w:t>
            </w:r>
          </w:p>
        </w:tc>
        <w:tc>
          <w:tcPr>
            <w:tcW w:w="1720" w:type="dxa"/>
            <w:tcBorders>
              <w:top w:val="single" w:sz="12" w:space="0" w:color="auto"/>
              <w:left w:val="nil"/>
              <w:bottom w:val="single" w:sz="12" w:space="0" w:color="auto"/>
              <w:right w:val="nil"/>
            </w:tcBorders>
            <w:shd w:val="clear" w:color="auto" w:fill="auto"/>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Estimated Number of Nonresident Anglers</w:t>
            </w:r>
            <w:r>
              <w:rPr>
                <w:rStyle w:val="FootnoteReference"/>
                <w:rFonts w:ascii="Calibri" w:hAnsi="Calibri"/>
                <w:color w:val="000000"/>
                <w:sz w:val="22"/>
                <w:szCs w:val="22"/>
              </w:rPr>
              <w:footnoteReference w:id="8"/>
            </w:r>
          </w:p>
        </w:tc>
        <w:tc>
          <w:tcPr>
            <w:tcW w:w="1480" w:type="dxa"/>
            <w:tcBorders>
              <w:top w:val="single" w:sz="12" w:space="0" w:color="auto"/>
              <w:left w:val="nil"/>
              <w:bottom w:val="single" w:sz="12" w:space="0" w:color="auto"/>
              <w:right w:val="nil"/>
            </w:tcBorders>
            <w:shd w:val="clear" w:color="auto" w:fill="auto"/>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Sample Size</w:t>
            </w:r>
          </w:p>
        </w:tc>
        <w:tc>
          <w:tcPr>
            <w:tcW w:w="1540" w:type="dxa"/>
            <w:tcBorders>
              <w:top w:val="single" w:sz="12" w:space="0" w:color="auto"/>
              <w:left w:val="nil"/>
              <w:bottom w:val="single" w:sz="12" w:space="0" w:color="auto"/>
              <w:right w:val="nil"/>
            </w:tcBorders>
            <w:shd w:val="clear" w:color="auto" w:fill="auto"/>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Expected Response Rate</w:t>
            </w:r>
            <w:r>
              <w:rPr>
                <w:rStyle w:val="FootnoteReference"/>
                <w:rFonts w:ascii="Calibri" w:hAnsi="Calibri"/>
                <w:color w:val="000000"/>
                <w:sz w:val="22"/>
                <w:szCs w:val="22"/>
              </w:rPr>
              <w:footnoteReference w:id="9"/>
            </w:r>
          </w:p>
        </w:tc>
        <w:tc>
          <w:tcPr>
            <w:tcW w:w="1720" w:type="dxa"/>
            <w:tcBorders>
              <w:top w:val="single" w:sz="12" w:space="0" w:color="auto"/>
              <w:left w:val="nil"/>
              <w:bottom w:val="single" w:sz="12" w:space="0" w:color="auto"/>
              <w:right w:val="nil"/>
            </w:tcBorders>
            <w:shd w:val="clear" w:color="auto" w:fill="auto"/>
            <w:vAlign w:val="bottom"/>
            <w:hideMark/>
          </w:tcPr>
          <w:p w:rsidR="00556ACD" w:rsidRPr="00556ACD" w:rsidRDefault="00556ACD" w:rsidP="00A136B2">
            <w:pPr>
              <w:spacing w:line="240" w:lineRule="auto"/>
              <w:jc w:val="center"/>
              <w:rPr>
                <w:rFonts w:ascii="Calibri" w:hAnsi="Calibri"/>
                <w:color w:val="000000"/>
              </w:rPr>
            </w:pPr>
            <w:r w:rsidRPr="00556ACD">
              <w:rPr>
                <w:rFonts w:ascii="Calibri" w:hAnsi="Calibri"/>
                <w:color w:val="000000"/>
                <w:sz w:val="22"/>
                <w:szCs w:val="22"/>
              </w:rPr>
              <w:t xml:space="preserve">Estimated Completed </w:t>
            </w:r>
            <w:r w:rsidR="00A136B2">
              <w:rPr>
                <w:rFonts w:ascii="Calibri" w:hAnsi="Calibri"/>
                <w:color w:val="000000"/>
                <w:sz w:val="22"/>
                <w:szCs w:val="22"/>
              </w:rPr>
              <w:t>Surveys</w:t>
            </w:r>
          </w:p>
        </w:tc>
      </w:tr>
      <w:tr w:rsidR="00556ACD" w:rsidRPr="00556ACD" w:rsidTr="00576DE6">
        <w:trPr>
          <w:trHeight w:val="315"/>
          <w:jc w:val="center"/>
        </w:trPr>
        <w:tc>
          <w:tcPr>
            <w:tcW w:w="960" w:type="dxa"/>
            <w:tcBorders>
              <w:top w:val="nil"/>
              <w:left w:val="nil"/>
              <w:bottom w:val="nil"/>
              <w:right w:val="nil"/>
            </w:tcBorders>
            <w:shd w:val="clear" w:color="auto" w:fill="auto"/>
            <w:noWrap/>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FL</w:t>
            </w:r>
          </w:p>
        </w:tc>
        <w:tc>
          <w:tcPr>
            <w:tcW w:w="1720" w:type="dxa"/>
            <w:tcBorders>
              <w:top w:val="nil"/>
              <w:left w:val="nil"/>
              <w:bottom w:val="nil"/>
              <w:right w:val="nil"/>
            </w:tcBorders>
            <w:shd w:val="clear" w:color="auto" w:fill="auto"/>
            <w:noWrap/>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443,711</w:t>
            </w:r>
          </w:p>
        </w:tc>
        <w:tc>
          <w:tcPr>
            <w:tcW w:w="1480" w:type="dxa"/>
            <w:tcBorders>
              <w:top w:val="nil"/>
              <w:left w:val="nil"/>
              <w:bottom w:val="nil"/>
              <w:right w:val="nil"/>
            </w:tcBorders>
            <w:shd w:val="clear" w:color="auto" w:fill="auto"/>
            <w:noWrap/>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285</w:t>
            </w:r>
          </w:p>
        </w:tc>
        <w:tc>
          <w:tcPr>
            <w:tcW w:w="1540" w:type="dxa"/>
            <w:tcBorders>
              <w:top w:val="nil"/>
              <w:left w:val="nil"/>
              <w:bottom w:val="nil"/>
              <w:right w:val="nil"/>
            </w:tcBorders>
            <w:shd w:val="clear" w:color="auto" w:fill="auto"/>
            <w:noWrap/>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60%</w:t>
            </w:r>
          </w:p>
        </w:tc>
        <w:tc>
          <w:tcPr>
            <w:tcW w:w="1720" w:type="dxa"/>
            <w:tcBorders>
              <w:top w:val="nil"/>
              <w:left w:val="nil"/>
              <w:bottom w:val="nil"/>
              <w:right w:val="nil"/>
            </w:tcBorders>
            <w:shd w:val="clear" w:color="auto" w:fill="auto"/>
            <w:noWrap/>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171</w:t>
            </w:r>
          </w:p>
        </w:tc>
      </w:tr>
      <w:tr w:rsidR="00556ACD" w:rsidRPr="00556ACD" w:rsidTr="00576DE6">
        <w:trPr>
          <w:trHeight w:val="300"/>
          <w:jc w:val="center"/>
        </w:trPr>
        <w:tc>
          <w:tcPr>
            <w:tcW w:w="960" w:type="dxa"/>
            <w:tcBorders>
              <w:top w:val="nil"/>
              <w:left w:val="nil"/>
              <w:bottom w:val="nil"/>
              <w:right w:val="nil"/>
            </w:tcBorders>
            <w:shd w:val="clear" w:color="auto" w:fill="auto"/>
            <w:noWrap/>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MA</w:t>
            </w:r>
          </w:p>
        </w:tc>
        <w:tc>
          <w:tcPr>
            <w:tcW w:w="1720" w:type="dxa"/>
            <w:tcBorders>
              <w:top w:val="nil"/>
              <w:left w:val="nil"/>
              <w:bottom w:val="nil"/>
              <w:right w:val="nil"/>
            </w:tcBorders>
            <w:shd w:val="clear" w:color="auto" w:fill="auto"/>
            <w:noWrap/>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73,195</w:t>
            </w:r>
          </w:p>
        </w:tc>
        <w:tc>
          <w:tcPr>
            <w:tcW w:w="1480" w:type="dxa"/>
            <w:tcBorders>
              <w:top w:val="nil"/>
              <w:left w:val="nil"/>
              <w:bottom w:val="nil"/>
              <w:right w:val="nil"/>
            </w:tcBorders>
            <w:shd w:val="clear" w:color="auto" w:fill="auto"/>
            <w:noWrap/>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285</w:t>
            </w:r>
          </w:p>
        </w:tc>
        <w:tc>
          <w:tcPr>
            <w:tcW w:w="1540" w:type="dxa"/>
            <w:tcBorders>
              <w:top w:val="nil"/>
              <w:left w:val="nil"/>
              <w:bottom w:val="nil"/>
              <w:right w:val="nil"/>
            </w:tcBorders>
            <w:shd w:val="clear" w:color="auto" w:fill="auto"/>
            <w:noWrap/>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60%</w:t>
            </w:r>
          </w:p>
        </w:tc>
        <w:tc>
          <w:tcPr>
            <w:tcW w:w="1720" w:type="dxa"/>
            <w:tcBorders>
              <w:top w:val="nil"/>
              <w:left w:val="nil"/>
              <w:bottom w:val="nil"/>
              <w:right w:val="nil"/>
            </w:tcBorders>
            <w:shd w:val="clear" w:color="auto" w:fill="auto"/>
            <w:noWrap/>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171</w:t>
            </w:r>
          </w:p>
        </w:tc>
      </w:tr>
      <w:tr w:rsidR="00556ACD" w:rsidRPr="00556ACD" w:rsidTr="00576DE6">
        <w:trPr>
          <w:trHeight w:val="300"/>
          <w:jc w:val="center"/>
        </w:trPr>
        <w:tc>
          <w:tcPr>
            <w:tcW w:w="960" w:type="dxa"/>
            <w:tcBorders>
              <w:top w:val="nil"/>
              <w:left w:val="nil"/>
              <w:bottom w:val="nil"/>
              <w:right w:val="nil"/>
            </w:tcBorders>
            <w:shd w:val="clear" w:color="auto" w:fill="auto"/>
            <w:noWrap/>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NC</w:t>
            </w:r>
          </w:p>
        </w:tc>
        <w:tc>
          <w:tcPr>
            <w:tcW w:w="1720" w:type="dxa"/>
            <w:tcBorders>
              <w:top w:val="nil"/>
              <w:left w:val="nil"/>
              <w:bottom w:val="nil"/>
              <w:right w:val="nil"/>
            </w:tcBorders>
            <w:shd w:val="clear" w:color="auto" w:fill="auto"/>
            <w:noWrap/>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159,743</w:t>
            </w:r>
          </w:p>
        </w:tc>
        <w:tc>
          <w:tcPr>
            <w:tcW w:w="1480" w:type="dxa"/>
            <w:tcBorders>
              <w:top w:val="nil"/>
              <w:left w:val="nil"/>
              <w:bottom w:val="nil"/>
              <w:right w:val="nil"/>
            </w:tcBorders>
            <w:shd w:val="clear" w:color="auto" w:fill="auto"/>
            <w:noWrap/>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285</w:t>
            </w:r>
          </w:p>
        </w:tc>
        <w:tc>
          <w:tcPr>
            <w:tcW w:w="1540" w:type="dxa"/>
            <w:tcBorders>
              <w:top w:val="nil"/>
              <w:left w:val="nil"/>
              <w:bottom w:val="nil"/>
              <w:right w:val="nil"/>
            </w:tcBorders>
            <w:shd w:val="clear" w:color="auto" w:fill="auto"/>
            <w:noWrap/>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60%</w:t>
            </w:r>
          </w:p>
        </w:tc>
        <w:tc>
          <w:tcPr>
            <w:tcW w:w="1720" w:type="dxa"/>
            <w:tcBorders>
              <w:top w:val="nil"/>
              <w:left w:val="nil"/>
              <w:bottom w:val="nil"/>
              <w:right w:val="nil"/>
            </w:tcBorders>
            <w:shd w:val="clear" w:color="auto" w:fill="auto"/>
            <w:noWrap/>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171</w:t>
            </w:r>
          </w:p>
        </w:tc>
      </w:tr>
      <w:tr w:rsidR="00556ACD" w:rsidRPr="00556ACD" w:rsidTr="00576DE6">
        <w:trPr>
          <w:trHeight w:val="300"/>
          <w:jc w:val="center"/>
        </w:trPr>
        <w:tc>
          <w:tcPr>
            <w:tcW w:w="960" w:type="dxa"/>
            <w:tcBorders>
              <w:top w:val="nil"/>
              <w:left w:val="nil"/>
              <w:bottom w:val="nil"/>
              <w:right w:val="nil"/>
            </w:tcBorders>
            <w:shd w:val="clear" w:color="auto" w:fill="auto"/>
            <w:noWrap/>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NY</w:t>
            </w:r>
          </w:p>
        </w:tc>
        <w:tc>
          <w:tcPr>
            <w:tcW w:w="1720" w:type="dxa"/>
            <w:tcBorders>
              <w:top w:val="nil"/>
              <w:left w:val="nil"/>
              <w:bottom w:val="nil"/>
              <w:right w:val="nil"/>
            </w:tcBorders>
            <w:shd w:val="clear" w:color="auto" w:fill="auto"/>
            <w:noWrap/>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14,555</w:t>
            </w:r>
          </w:p>
        </w:tc>
        <w:tc>
          <w:tcPr>
            <w:tcW w:w="1480" w:type="dxa"/>
            <w:tcBorders>
              <w:top w:val="nil"/>
              <w:left w:val="nil"/>
              <w:bottom w:val="nil"/>
              <w:right w:val="nil"/>
            </w:tcBorders>
            <w:shd w:val="clear" w:color="auto" w:fill="auto"/>
            <w:noWrap/>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285</w:t>
            </w:r>
          </w:p>
        </w:tc>
        <w:tc>
          <w:tcPr>
            <w:tcW w:w="1540" w:type="dxa"/>
            <w:tcBorders>
              <w:top w:val="nil"/>
              <w:left w:val="nil"/>
              <w:bottom w:val="nil"/>
              <w:right w:val="nil"/>
            </w:tcBorders>
            <w:shd w:val="clear" w:color="auto" w:fill="auto"/>
            <w:noWrap/>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60%</w:t>
            </w:r>
          </w:p>
        </w:tc>
        <w:tc>
          <w:tcPr>
            <w:tcW w:w="1720" w:type="dxa"/>
            <w:tcBorders>
              <w:top w:val="nil"/>
              <w:left w:val="nil"/>
              <w:bottom w:val="nil"/>
              <w:right w:val="nil"/>
            </w:tcBorders>
            <w:shd w:val="clear" w:color="auto" w:fill="auto"/>
            <w:noWrap/>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171</w:t>
            </w:r>
          </w:p>
        </w:tc>
      </w:tr>
      <w:tr w:rsidR="00556ACD" w:rsidRPr="00556ACD" w:rsidTr="00576DE6">
        <w:trPr>
          <w:trHeight w:val="315"/>
          <w:jc w:val="center"/>
        </w:trPr>
        <w:tc>
          <w:tcPr>
            <w:tcW w:w="960" w:type="dxa"/>
            <w:tcBorders>
              <w:top w:val="nil"/>
              <w:left w:val="nil"/>
              <w:bottom w:val="single" w:sz="12" w:space="0" w:color="auto"/>
              <w:right w:val="nil"/>
            </w:tcBorders>
            <w:shd w:val="clear" w:color="auto" w:fill="auto"/>
            <w:noWrap/>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Total</w:t>
            </w:r>
          </w:p>
        </w:tc>
        <w:tc>
          <w:tcPr>
            <w:tcW w:w="1720" w:type="dxa"/>
            <w:tcBorders>
              <w:top w:val="nil"/>
              <w:left w:val="nil"/>
              <w:bottom w:val="single" w:sz="12" w:space="0" w:color="auto"/>
              <w:right w:val="nil"/>
            </w:tcBorders>
            <w:shd w:val="clear" w:color="auto" w:fill="auto"/>
            <w:noWrap/>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691,204</w:t>
            </w:r>
          </w:p>
        </w:tc>
        <w:tc>
          <w:tcPr>
            <w:tcW w:w="1480" w:type="dxa"/>
            <w:tcBorders>
              <w:top w:val="nil"/>
              <w:left w:val="nil"/>
              <w:bottom w:val="single" w:sz="12" w:space="0" w:color="auto"/>
              <w:right w:val="nil"/>
            </w:tcBorders>
            <w:shd w:val="clear" w:color="auto" w:fill="auto"/>
            <w:noWrap/>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1,140</w:t>
            </w:r>
          </w:p>
        </w:tc>
        <w:tc>
          <w:tcPr>
            <w:tcW w:w="1540" w:type="dxa"/>
            <w:tcBorders>
              <w:top w:val="nil"/>
              <w:left w:val="nil"/>
              <w:bottom w:val="single" w:sz="12" w:space="0" w:color="auto"/>
              <w:right w:val="nil"/>
            </w:tcBorders>
            <w:shd w:val="clear" w:color="auto" w:fill="auto"/>
            <w:noWrap/>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60%</w:t>
            </w:r>
          </w:p>
        </w:tc>
        <w:tc>
          <w:tcPr>
            <w:tcW w:w="1720" w:type="dxa"/>
            <w:tcBorders>
              <w:top w:val="nil"/>
              <w:left w:val="nil"/>
              <w:bottom w:val="single" w:sz="12" w:space="0" w:color="auto"/>
              <w:right w:val="nil"/>
            </w:tcBorders>
            <w:shd w:val="clear" w:color="auto" w:fill="auto"/>
            <w:noWrap/>
            <w:vAlign w:val="bottom"/>
            <w:hideMark/>
          </w:tcPr>
          <w:p w:rsidR="00556ACD" w:rsidRPr="00556ACD" w:rsidRDefault="00556ACD" w:rsidP="00556ACD">
            <w:pPr>
              <w:spacing w:line="240" w:lineRule="auto"/>
              <w:jc w:val="center"/>
              <w:rPr>
                <w:rFonts w:ascii="Calibri" w:hAnsi="Calibri"/>
                <w:color w:val="000000"/>
              </w:rPr>
            </w:pPr>
            <w:r w:rsidRPr="00556ACD">
              <w:rPr>
                <w:rFonts w:ascii="Calibri" w:hAnsi="Calibri"/>
                <w:color w:val="000000"/>
                <w:sz w:val="22"/>
                <w:szCs w:val="22"/>
              </w:rPr>
              <w:t>684</w:t>
            </w:r>
          </w:p>
        </w:tc>
      </w:tr>
    </w:tbl>
    <w:p w:rsidR="00556ACD" w:rsidRPr="00556ACD" w:rsidRDefault="00556ACD" w:rsidP="00556ACD">
      <w:pPr>
        <w:pStyle w:val="Default"/>
      </w:pPr>
    </w:p>
    <w:p w:rsidR="006A73AD" w:rsidRDefault="006A73AD" w:rsidP="00156FA8">
      <w:pPr>
        <w:pStyle w:val="Default"/>
      </w:pPr>
      <w:r>
        <w:t>A resident of a study state who is also licensed to fish in one of the other study states could be sampled for both the RAS and the NAS.</w:t>
      </w:r>
      <w:r w:rsidR="008016DE">
        <w:t xml:space="preserve">  However, given the sampling rates, it is extremely unlikely (less than 1/10 of 1%) that </w:t>
      </w:r>
      <w:r w:rsidR="004D59BD">
        <w:t>the same</w:t>
      </w:r>
      <w:r w:rsidR="008016DE">
        <w:t xml:space="preserve"> individual would be sampled from both frames.  Each wave, sample from each frame will be cross-checked against the other sample to identify any duplicates.  If this situation were to occur, the NAS sample will be withheld and treated as a special case of nonresponse.</w:t>
      </w:r>
    </w:p>
    <w:p w:rsidR="006A73AD" w:rsidRDefault="006A73AD" w:rsidP="00156FA8">
      <w:pPr>
        <w:pStyle w:val="Default"/>
      </w:pPr>
    </w:p>
    <w:p w:rsidR="00156FA8" w:rsidRDefault="000B6A0F" w:rsidP="00156FA8">
      <w:pPr>
        <w:pStyle w:val="Default"/>
      </w:pPr>
      <w:r>
        <w:t>1.4. Experimental Tests</w:t>
      </w:r>
    </w:p>
    <w:p w:rsidR="000B6A0F" w:rsidRDefault="000B6A0F" w:rsidP="00156FA8">
      <w:pPr>
        <w:pStyle w:val="Default"/>
      </w:pPr>
    </w:p>
    <w:p w:rsidR="00B03931" w:rsidRDefault="000B6A0F" w:rsidP="00156FA8">
      <w:pPr>
        <w:pStyle w:val="Default"/>
      </w:pPr>
      <w:r>
        <w:t>Previous MRIP pilot studies (Andrews et al. 2010, Brick et al. 2012</w:t>
      </w:r>
      <w:r w:rsidR="000C7703">
        <w:t>a</w:t>
      </w:r>
      <w:r>
        <w:t xml:space="preserve">) demonstrated that addresses that match to angler license databases respond to fishing surveys at a higher rate and are more likely to have participated in saltwater fishing than unmatched addresses.  </w:t>
      </w:r>
      <w:r w:rsidR="007320E9">
        <w:t>These studies accounted for this differential nonresponse through nonresponse weighting adjustment.</w:t>
      </w:r>
      <w:r w:rsidR="00847178">
        <w:t xml:space="preserve">  </w:t>
      </w:r>
    </w:p>
    <w:p w:rsidR="00B03931" w:rsidRDefault="00B03931" w:rsidP="00156FA8">
      <w:pPr>
        <w:pStyle w:val="Default"/>
      </w:pPr>
    </w:p>
    <w:p w:rsidR="00F226E1" w:rsidRDefault="00B03931" w:rsidP="00156FA8">
      <w:pPr>
        <w:pStyle w:val="Default"/>
      </w:pPr>
      <w:r>
        <w:t>This study will include an experiment to test two versions of the RAS questionnaire</w:t>
      </w:r>
      <w:r w:rsidR="003A3ECB">
        <w:t xml:space="preserve">.  The two versions will be evaluated in terms of </w:t>
      </w:r>
      <w:r w:rsidR="002247D7">
        <w:t xml:space="preserve">overall </w:t>
      </w:r>
      <w:r w:rsidR="003A3ECB">
        <w:t xml:space="preserve">response rates and </w:t>
      </w:r>
      <w:r w:rsidR="002247D7">
        <w:t xml:space="preserve">the degree of </w:t>
      </w:r>
      <w:r w:rsidR="003A3ECB">
        <w:t xml:space="preserve">differential nonresponse </w:t>
      </w:r>
      <w:r w:rsidR="007F1085">
        <w:t xml:space="preserve">and reported fishing activity </w:t>
      </w:r>
      <w:r w:rsidR="003A3ECB">
        <w:t>between anglers</w:t>
      </w:r>
      <w:r w:rsidR="000C18DA">
        <w:t xml:space="preserve"> (matched addresses)</w:t>
      </w:r>
      <w:r w:rsidR="003A3ECB">
        <w:t xml:space="preserve"> and </w:t>
      </w:r>
      <w:proofErr w:type="spellStart"/>
      <w:r w:rsidR="003A3ECB">
        <w:t>nonanglers</w:t>
      </w:r>
      <w:proofErr w:type="spellEnd"/>
      <w:r w:rsidR="000C18DA">
        <w:t xml:space="preserve"> (unmatched addresses)</w:t>
      </w:r>
      <w:r>
        <w:t>.</w:t>
      </w:r>
      <w:r w:rsidR="003A3ECB">
        <w:t xml:space="preserve">  One version of the questionnaire (Version 1) utilizes a “screen out”</w:t>
      </w:r>
      <w:r w:rsidR="000C18DA">
        <w:t xml:space="preserve"> approach that quickly identifies anglers (and non-anglers) and encourages participation by minimizing the number of questions, particularly for non-anglers.  The second version (Version 2) utilizes an “engaging” approach that encourages response by broadening the scope of the </w:t>
      </w:r>
      <w:r w:rsidR="000C18DA">
        <w:lastRenderedPageBreak/>
        <w:t xml:space="preserve">questions to include both fishing and non-fishing questions. </w:t>
      </w:r>
    </w:p>
    <w:p w:rsidR="000B6A0F" w:rsidRDefault="00F226E1" w:rsidP="00156FA8">
      <w:pPr>
        <w:pStyle w:val="Default"/>
      </w:pPr>
      <w:r>
        <w:t>During the first two waves of data collection, sampled addresses within each stratum will be randomly allocated into treatments defined by the questionnaire.  Table</w:t>
      </w:r>
      <w:r w:rsidR="006E1D63">
        <w:t>s</w:t>
      </w:r>
      <w:r>
        <w:t xml:space="preserve"> 3 </w:t>
      </w:r>
      <w:r w:rsidR="008020D7">
        <w:t xml:space="preserve">and 4 provide the sample sizes for each treatment group, as well as the expected detectable differences in response rates and fishing incidence rates, respectively, between experimental treatments.  The version that minimizes differential nonresponse </w:t>
      </w:r>
      <w:r w:rsidR="00861A53">
        <w:t xml:space="preserve">between </w:t>
      </w:r>
      <w:r w:rsidR="00455068">
        <w:t>matched and unmatched addresses</w:t>
      </w:r>
      <w:r w:rsidR="00861A53">
        <w:t xml:space="preserve"> </w:t>
      </w:r>
      <w:r w:rsidR="008020D7">
        <w:t>will be utilized for the subsequent six waves.</w:t>
      </w:r>
      <w:r w:rsidR="000C18DA">
        <w:t xml:space="preserve"> </w:t>
      </w:r>
      <w:r w:rsidR="00B03931">
        <w:t xml:space="preserve">  </w:t>
      </w:r>
    </w:p>
    <w:p w:rsidR="006E1D63" w:rsidRDefault="006E1D63" w:rsidP="00156FA8">
      <w:pPr>
        <w:pStyle w:val="Default"/>
      </w:pPr>
    </w:p>
    <w:p w:rsidR="006E1D63" w:rsidRDefault="006E1D63" w:rsidP="00156FA8">
      <w:pPr>
        <w:pStyle w:val="Default"/>
      </w:pPr>
      <w:proofErr w:type="gramStart"/>
      <w:r>
        <w:t>Table 3.</w:t>
      </w:r>
      <w:proofErr w:type="gramEnd"/>
      <w:r>
        <w:t xml:space="preserve">  Expected </w:t>
      </w:r>
      <w:r w:rsidRPr="006E1D63">
        <w:t xml:space="preserve">detectable differences in response rates for </w:t>
      </w:r>
      <w:r>
        <w:t>questionnaire</w:t>
      </w:r>
      <w:r w:rsidRPr="006E1D63">
        <w:t xml:space="preserve"> experiment</w:t>
      </w:r>
    </w:p>
    <w:p w:rsidR="006E1D63" w:rsidRDefault="006E1D63" w:rsidP="00156FA8">
      <w:pPr>
        <w:pStyle w:val="Default"/>
      </w:pPr>
    </w:p>
    <w:tbl>
      <w:tblPr>
        <w:tblW w:w="7000" w:type="dxa"/>
        <w:tblInd w:w="93" w:type="dxa"/>
        <w:tblLook w:val="04A0" w:firstRow="1" w:lastRow="0" w:firstColumn="1" w:lastColumn="0" w:noHBand="0" w:noVBand="1"/>
      </w:tblPr>
      <w:tblGrid>
        <w:gridCol w:w="2400"/>
        <w:gridCol w:w="1560"/>
        <w:gridCol w:w="1220"/>
        <w:gridCol w:w="1820"/>
      </w:tblGrid>
      <w:tr w:rsidR="006E1D63" w:rsidRPr="006E1D63" w:rsidTr="006E1D63">
        <w:trPr>
          <w:trHeight w:val="1485"/>
        </w:trPr>
        <w:tc>
          <w:tcPr>
            <w:tcW w:w="2400" w:type="dxa"/>
            <w:tcBorders>
              <w:top w:val="single" w:sz="12" w:space="0" w:color="auto"/>
              <w:left w:val="nil"/>
              <w:bottom w:val="single" w:sz="12" w:space="0" w:color="auto"/>
              <w:right w:val="nil"/>
            </w:tcBorders>
            <w:shd w:val="clear" w:color="auto" w:fill="auto"/>
            <w:vAlign w:val="bottom"/>
            <w:hideMark/>
          </w:tcPr>
          <w:p w:rsidR="006E1D63" w:rsidRPr="006E1D63" w:rsidRDefault="002E0939" w:rsidP="006E1D63">
            <w:pPr>
              <w:spacing w:line="240" w:lineRule="auto"/>
              <w:jc w:val="center"/>
              <w:rPr>
                <w:rFonts w:ascii="Calibri" w:hAnsi="Calibri"/>
                <w:color w:val="000000"/>
              </w:rPr>
            </w:pPr>
            <w:r>
              <w:rPr>
                <w:rFonts w:ascii="Calibri" w:hAnsi="Calibri"/>
                <w:color w:val="000000"/>
                <w:sz w:val="22"/>
                <w:szCs w:val="22"/>
              </w:rPr>
              <w:t xml:space="preserve">RAS </w:t>
            </w:r>
            <w:r w:rsidR="006E1D63" w:rsidRPr="006E1D63">
              <w:rPr>
                <w:rFonts w:ascii="Calibri" w:hAnsi="Calibri"/>
                <w:color w:val="000000"/>
                <w:sz w:val="22"/>
                <w:szCs w:val="22"/>
              </w:rPr>
              <w:t>Questionnaire</w:t>
            </w:r>
          </w:p>
        </w:tc>
        <w:tc>
          <w:tcPr>
            <w:tcW w:w="1560" w:type="dxa"/>
            <w:tcBorders>
              <w:top w:val="single" w:sz="12" w:space="0" w:color="auto"/>
              <w:left w:val="nil"/>
              <w:bottom w:val="single" w:sz="12" w:space="0" w:color="auto"/>
              <w:right w:val="nil"/>
            </w:tcBorders>
            <w:shd w:val="clear" w:color="auto" w:fill="auto"/>
            <w:vAlign w:val="bottom"/>
            <w:hideMark/>
          </w:tcPr>
          <w:p w:rsidR="006E1D63" w:rsidRPr="006E1D63" w:rsidRDefault="006E1D63" w:rsidP="006E1D63">
            <w:pPr>
              <w:spacing w:line="240" w:lineRule="auto"/>
              <w:jc w:val="center"/>
              <w:rPr>
                <w:rFonts w:ascii="Calibri" w:hAnsi="Calibri"/>
                <w:color w:val="000000"/>
              </w:rPr>
            </w:pPr>
            <w:r w:rsidRPr="006E1D63">
              <w:rPr>
                <w:rFonts w:ascii="Calibri" w:hAnsi="Calibri"/>
                <w:color w:val="000000"/>
                <w:sz w:val="22"/>
                <w:szCs w:val="22"/>
              </w:rPr>
              <w:t>Sample Size</w:t>
            </w:r>
            <w:r>
              <w:rPr>
                <w:rStyle w:val="FootnoteReference"/>
                <w:rFonts w:ascii="Calibri" w:hAnsi="Calibri"/>
                <w:color w:val="000000"/>
                <w:sz w:val="22"/>
                <w:szCs w:val="22"/>
              </w:rPr>
              <w:footnoteReference w:id="10"/>
            </w:r>
          </w:p>
        </w:tc>
        <w:tc>
          <w:tcPr>
            <w:tcW w:w="1220" w:type="dxa"/>
            <w:tcBorders>
              <w:top w:val="single" w:sz="12" w:space="0" w:color="auto"/>
              <w:left w:val="nil"/>
              <w:bottom w:val="single" w:sz="12" w:space="0" w:color="auto"/>
              <w:right w:val="nil"/>
            </w:tcBorders>
            <w:shd w:val="clear" w:color="auto" w:fill="auto"/>
            <w:vAlign w:val="bottom"/>
            <w:hideMark/>
          </w:tcPr>
          <w:p w:rsidR="006E1D63" w:rsidRPr="006E1D63" w:rsidRDefault="006E1D63" w:rsidP="006E1D63">
            <w:pPr>
              <w:spacing w:line="240" w:lineRule="auto"/>
              <w:jc w:val="center"/>
              <w:rPr>
                <w:rFonts w:ascii="Calibri" w:hAnsi="Calibri"/>
                <w:color w:val="000000"/>
              </w:rPr>
            </w:pPr>
            <w:r w:rsidRPr="006E1D63">
              <w:rPr>
                <w:rFonts w:ascii="Calibri" w:hAnsi="Calibri"/>
                <w:color w:val="000000"/>
                <w:sz w:val="22"/>
                <w:szCs w:val="22"/>
              </w:rPr>
              <w:t xml:space="preserve">Expected Response Rate </w:t>
            </w:r>
          </w:p>
        </w:tc>
        <w:tc>
          <w:tcPr>
            <w:tcW w:w="1820" w:type="dxa"/>
            <w:tcBorders>
              <w:top w:val="single" w:sz="12" w:space="0" w:color="auto"/>
              <w:left w:val="nil"/>
              <w:bottom w:val="single" w:sz="12" w:space="0" w:color="auto"/>
              <w:right w:val="nil"/>
            </w:tcBorders>
            <w:shd w:val="clear" w:color="auto" w:fill="auto"/>
            <w:vAlign w:val="bottom"/>
            <w:hideMark/>
          </w:tcPr>
          <w:p w:rsidR="006E1D63" w:rsidRPr="006E1D63" w:rsidRDefault="006E1D63" w:rsidP="006E1D63">
            <w:pPr>
              <w:spacing w:line="240" w:lineRule="auto"/>
              <w:jc w:val="center"/>
              <w:rPr>
                <w:rFonts w:ascii="Calibri" w:hAnsi="Calibri"/>
                <w:color w:val="000000"/>
              </w:rPr>
            </w:pPr>
            <w:r w:rsidRPr="006E1D63">
              <w:rPr>
                <w:rFonts w:ascii="Calibri" w:hAnsi="Calibri"/>
                <w:color w:val="000000"/>
                <w:sz w:val="22"/>
                <w:szCs w:val="22"/>
              </w:rPr>
              <w:t>Expected Detectable Difference in Response Rates</w:t>
            </w:r>
            <w:r>
              <w:rPr>
                <w:rStyle w:val="FootnoteReference"/>
                <w:rFonts w:ascii="Calibri" w:hAnsi="Calibri"/>
                <w:color w:val="000000"/>
                <w:sz w:val="22"/>
                <w:szCs w:val="22"/>
              </w:rPr>
              <w:footnoteReference w:id="11"/>
            </w:r>
          </w:p>
        </w:tc>
      </w:tr>
      <w:tr w:rsidR="006E1D63" w:rsidRPr="006E1D63" w:rsidTr="006E1D63">
        <w:trPr>
          <w:trHeight w:val="315"/>
        </w:trPr>
        <w:tc>
          <w:tcPr>
            <w:tcW w:w="2400" w:type="dxa"/>
            <w:tcBorders>
              <w:top w:val="nil"/>
              <w:left w:val="nil"/>
              <w:bottom w:val="nil"/>
              <w:right w:val="nil"/>
            </w:tcBorders>
            <w:shd w:val="clear" w:color="auto" w:fill="auto"/>
            <w:noWrap/>
            <w:vAlign w:val="bottom"/>
            <w:hideMark/>
          </w:tcPr>
          <w:p w:rsidR="006E1D63" w:rsidRPr="006E1D63" w:rsidRDefault="006E1D63" w:rsidP="006E1D63">
            <w:pPr>
              <w:spacing w:line="240" w:lineRule="auto"/>
              <w:jc w:val="center"/>
              <w:rPr>
                <w:rFonts w:ascii="Calibri" w:hAnsi="Calibri"/>
                <w:color w:val="000000"/>
              </w:rPr>
            </w:pPr>
            <w:r w:rsidRPr="006E1D63">
              <w:rPr>
                <w:rFonts w:ascii="Calibri" w:hAnsi="Calibri"/>
                <w:color w:val="000000"/>
                <w:sz w:val="22"/>
                <w:szCs w:val="22"/>
              </w:rPr>
              <w:t>Version 1 (Screen Out)</w:t>
            </w:r>
          </w:p>
        </w:tc>
        <w:tc>
          <w:tcPr>
            <w:tcW w:w="1560" w:type="dxa"/>
            <w:tcBorders>
              <w:top w:val="nil"/>
              <w:left w:val="nil"/>
              <w:bottom w:val="nil"/>
              <w:right w:val="nil"/>
            </w:tcBorders>
            <w:shd w:val="clear" w:color="auto" w:fill="auto"/>
            <w:noWrap/>
            <w:vAlign w:val="bottom"/>
            <w:hideMark/>
          </w:tcPr>
          <w:p w:rsidR="006E1D63" w:rsidRPr="006E1D63" w:rsidRDefault="006E1D63" w:rsidP="006E1D63">
            <w:pPr>
              <w:spacing w:line="240" w:lineRule="auto"/>
              <w:jc w:val="center"/>
              <w:rPr>
                <w:rFonts w:ascii="Calibri" w:hAnsi="Calibri"/>
                <w:color w:val="000000"/>
              </w:rPr>
            </w:pPr>
            <w:r w:rsidRPr="006E1D63">
              <w:rPr>
                <w:rFonts w:ascii="Calibri" w:hAnsi="Calibri"/>
                <w:color w:val="000000"/>
                <w:sz w:val="22"/>
                <w:szCs w:val="22"/>
              </w:rPr>
              <w:t>16,</w:t>
            </w:r>
            <w:r w:rsidR="00296F21">
              <w:rPr>
                <w:rFonts w:ascii="Calibri" w:hAnsi="Calibri"/>
                <w:color w:val="000000"/>
                <w:sz w:val="22"/>
                <w:szCs w:val="22"/>
              </w:rPr>
              <w:t>804</w:t>
            </w:r>
          </w:p>
        </w:tc>
        <w:tc>
          <w:tcPr>
            <w:tcW w:w="1220" w:type="dxa"/>
            <w:tcBorders>
              <w:top w:val="nil"/>
              <w:left w:val="nil"/>
              <w:bottom w:val="nil"/>
              <w:right w:val="nil"/>
            </w:tcBorders>
            <w:shd w:val="clear" w:color="auto" w:fill="auto"/>
            <w:noWrap/>
            <w:vAlign w:val="bottom"/>
            <w:hideMark/>
          </w:tcPr>
          <w:p w:rsidR="006E1D63" w:rsidRPr="006E1D63" w:rsidRDefault="006E1D63" w:rsidP="006E1D63">
            <w:pPr>
              <w:spacing w:line="240" w:lineRule="auto"/>
              <w:jc w:val="center"/>
              <w:rPr>
                <w:rFonts w:ascii="Calibri" w:hAnsi="Calibri"/>
                <w:color w:val="000000"/>
              </w:rPr>
            </w:pPr>
            <w:r w:rsidRPr="006E1D63">
              <w:rPr>
                <w:rFonts w:ascii="Calibri" w:hAnsi="Calibri"/>
                <w:color w:val="000000"/>
                <w:sz w:val="22"/>
                <w:szCs w:val="22"/>
              </w:rPr>
              <w:t>48%</w:t>
            </w:r>
          </w:p>
        </w:tc>
        <w:tc>
          <w:tcPr>
            <w:tcW w:w="1820" w:type="dxa"/>
            <w:tcBorders>
              <w:top w:val="nil"/>
              <w:left w:val="nil"/>
              <w:bottom w:val="nil"/>
              <w:right w:val="nil"/>
            </w:tcBorders>
            <w:shd w:val="clear" w:color="auto" w:fill="auto"/>
            <w:noWrap/>
            <w:vAlign w:val="bottom"/>
            <w:hideMark/>
          </w:tcPr>
          <w:p w:rsidR="006E1D63" w:rsidRPr="006E1D63" w:rsidRDefault="006E1D63" w:rsidP="006E1D63">
            <w:pPr>
              <w:spacing w:line="240" w:lineRule="auto"/>
              <w:jc w:val="center"/>
              <w:rPr>
                <w:rFonts w:ascii="Calibri" w:hAnsi="Calibri"/>
                <w:color w:val="000000"/>
              </w:rPr>
            </w:pPr>
          </w:p>
        </w:tc>
      </w:tr>
      <w:tr w:rsidR="006E1D63" w:rsidRPr="006E1D63" w:rsidTr="006E1D63">
        <w:trPr>
          <w:trHeight w:val="315"/>
        </w:trPr>
        <w:tc>
          <w:tcPr>
            <w:tcW w:w="2400" w:type="dxa"/>
            <w:tcBorders>
              <w:top w:val="nil"/>
              <w:left w:val="nil"/>
              <w:bottom w:val="single" w:sz="12" w:space="0" w:color="auto"/>
              <w:right w:val="nil"/>
            </w:tcBorders>
            <w:shd w:val="clear" w:color="auto" w:fill="auto"/>
            <w:noWrap/>
            <w:vAlign w:val="bottom"/>
            <w:hideMark/>
          </w:tcPr>
          <w:p w:rsidR="006E1D63" w:rsidRPr="006E1D63" w:rsidRDefault="006E1D63" w:rsidP="006E1D63">
            <w:pPr>
              <w:spacing w:line="240" w:lineRule="auto"/>
              <w:jc w:val="center"/>
              <w:rPr>
                <w:rFonts w:ascii="Calibri" w:hAnsi="Calibri"/>
                <w:color w:val="000000"/>
              </w:rPr>
            </w:pPr>
            <w:r w:rsidRPr="006E1D63">
              <w:rPr>
                <w:rFonts w:ascii="Calibri" w:hAnsi="Calibri"/>
                <w:color w:val="000000"/>
                <w:sz w:val="22"/>
                <w:szCs w:val="22"/>
              </w:rPr>
              <w:t>Version 2 (Engaging)</w:t>
            </w:r>
          </w:p>
        </w:tc>
        <w:tc>
          <w:tcPr>
            <w:tcW w:w="1560" w:type="dxa"/>
            <w:tcBorders>
              <w:top w:val="nil"/>
              <w:left w:val="nil"/>
              <w:bottom w:val="single" w:sz="12" w:space="0" w:color="auto"/>
              <w:right w:val="nil"/>
            </w:tcBorders>
            <w:shd w:val="clear" w:color="auto" w:fill="auto"/>
            <w:noWrap/>
            <w:vAlign w:val="bottom"/>
            <w:hideMark/>
          </w:tcPr>
          <w:p w:rsidR="006E1D63" w:rsidRPr="006E1D63" w:rsidRDefault="006E1D63" w:rsidP="006E1D63">
            <w:pPr>
              <w:spacing w:line="240" w:lineRule="auto"/>
              <w:jc w:val="center"/>
              <w:rPr>
                <w:rFonts w:ascii="Calibri" w:hAnsi="Calibri"/>
                <w:color w:val="000000"/>
              </w:rPr>
            </w:pPr>
            <w:r w:rsidRPr="006E1D63">
              <w:rPr>
                <w:rFonts w:ascii="Calibri" w:hAnsi="Calibri"/>
                <w:color w:val="000000"/>
                <w:sz w:val="22"/>
                <w:szCs w:val="22"/>
              </w:rPr>
              <w:t>16,</w:t>
            </w:r>
            <w:r w:rsidR="00296F21">
              <w:rPr>
                <w:rFonts w:ascii="Calibri" w:hAnsi="Calibri"/>
                <w:color w:val="000000"/>
                <w:sz w:val="22"/>
                <w:szCs w:val="22"/>
              </w:rPr>
              <w:t>804</w:t>
            </w:r>
          </w:p>
        </w:tc>
        <w:tc>
          <w:tcPr>
            <w:tcW w:w="1220" w:type="dxa"/>
            <w:tcBorders>
              <w:top w:val="nil"/>
              <w:left w:val="nil"/>
              <w:bottom w:val="single" w:sz="12" w:space="0" w:color="auto"/>
              <w:right w:val="nil"/>
            </w:tcBorders>
            <w:shd w:val="clear" w:color="auto" w:fill="auto"/>
            <w:noWrap/>
            <w:vAlign w:val="bottom"/>
            <w:hideMark/>
          </w:tcPr>
          <w:p w:rsidR="006E1D63" w:rsidRPr="006E1D63" w:rsidRDefault="006E1D63" w:rsidP="006E1D63">
            <w:pPr>
              <w:spacing w:line="240" w:lineRule="auto"/>
              <w:jc w:val="center"/>
              <w:rPr>
                <w:rFonts w:ascii="Calibri" w:hAnsi="Calibri"/>
                <w:color w:val="000000"/>
              </w:rPr>
            </w:pPr>
            <w:r w:rsidRPr="006E1D63">
              <w:rPr>
                <w:rFonts w:ascii="Calibri" w:hAnsi="Calibri"/>
                <w:color w:val="000000"/>
                <w:sz w:val="22"/>
                <w:szCs w:val="22"/>
              </w:rPr>
              <w:t> </w:t>
            </w:r>
          </w:p>
        </w:tc>
        <w:tc>
          <w:tcPr>
            <w:tcW w:w="1820" w:type="dxa"/>
            <w:tcBorders>
              <w:top w:val="nil"/>
              <w:left w:val="nil"/>
              <w:bottom w:val="single" w:sz="12" w:space="0" w:color="auto"/>
              <w:right w:val="nil"/>
            </w:tcBorders>
            <w:shd w:val="clear" w:color="auto" w:fill="auto"/>
            <w:noWrap/>
            <w:vAlign w:val="bottom"/>
            <w:hideMark/>
          </w:tcPr>
          <w:p w:rsidR="006E1D63" w:rsidRPr="006E1D63" w:rsidRDefault="006E1D63" w:rsidP="006E1D63">
            <w:pPr>
              <w:spacing w:line="240" w:lineRule="auto"/>
              <w:jc w:val="center"/>
              <w:rPr>
                <w:rFonts w:ascii="Calibri" w:hAnsi="Calibri"/>
                <w:color w:val="000000"/>
              </w:rPr>
            </w:pPr>
            <w:r w:rsidRPr="006E1D63">
              <w:rPr>
                <w:rFonts w:ascii="Calibri" w:hAnsi="Calibri"/>
                <w:color w:val="000000"/>
                <w:sz w:val="22"/>
                <w:szCs w:val="22"/>
              </w:rPr>
              <w:t>1.55%</w:t>
            </w:r>
          </w:p>
        </w:tc>
      </w:tr>
    </w:tbl>
    <w:p w:rsidR="006E1D63" w:rsidRDefault="006E1D63" w:rsidP="00156FA8">
      <w:pPr>
        <w:pStyle w:val="Default"/>
      </w:pPr>
    </w:p>
    <w:p w:rsidR="006E1D63" w:rsidRPr="006E1D63" w:rsidRDefault="006E1D63" w:rsidP="006E1D63">
      <w:pPr>
        <w:pStyle w:val="Default"/>
      </w:pPr>
      <w:proofErr w:type="gramStart"/>
      <w:r w:rsidRPr="006E1D63">
        <w:t>Table 4.</w:t>
      </w:r>
      <w:proofErr w:type="gramEnd"/>
      <w:r w:rsidRPr="006E1D63">
        <w:t xml:space="preserve"> Expected detectable differences in fishing incidence for </w:t>
      </w:r>
      <w:r w:rsidR="00296F21">
        <w:t>questionnaire</w:t>
      </w:r>
      <w:r w:rsidRPr="006E1D63">
        <w:t xml:space="preserve"> experiment</w:t>
      </w:r>
    </w:p>
    <w:p w:rsidR="006E1D63" w:rsidRPr="00156FA8" w:rsidRDefault="006E1D63" w:rsidP="00156FA8">
      <w:pPr>
        <w:pStyle w:val="Default"/>
      </w:pPr>
    </w:p>
    <w:tbl>
      <w:tblPr>
        <w:tblW w:w="7000" w:type="dxa"/>
        <w:tblInd w:w="93" w:type="dxa"/>
        <w:tblLook w:val="04A0" w:firstRow="1" w:lastRow="0" w:firstColumn="1" w:lastColumn="0" w:noHBand="0" w:noVBand="1"/>
      </w:tblPr>
      <w:tblGrid>
        <w:gridCol w:w="2400"/>
        <w:gridCol w:w="1560"/>
        <w:gridCol w:w="1220"/>
        <w:gridCol w:w="1820"/>
      </w:tblGrid>
      <w:tr w:rsidR="002E0939" w:rsidRPr="002E0939" w:rsidTr="002E0939">
        <w:trPr>
          <w:trHeight w:val="1230"/>
        </w:trPr>
        <w:tc>
          <w:tcPr>
            <w:tcW w:w="2400" w:type="dxa"/>
            <w:tcBorders>
              <w:top w:val="single" w:sz="12" w:space="0" w:color="auto"/>
              <w:left w:val="nil"/>
              <w:bottom w:val="single" w:sz="12" w:space="0" w:color="auto"/>
              <w:right w:val="nil"/>
            </w:tcBorders>
            <w:shd w:val="clear" w:color="auto" w:fill="auto"/>
            <w:vAlign w:val="bottom"/>
            <w:hideMark/>
          </w:tcPr>
          <w:p w:rsidR="002E0939" w:rsidRPr="002E0939" w:rsidRDefault="002E0939" w:rsidP="002E0939">
            <w:pPr>
              <w:spacing w:line="240" w:lineRule="auto"/>
              <w:jc w:val="center"/>
              <w:rPr>
                <w:rFonts w:ascii="Calibri" w:hAnsi="Calibri"/>
                <w:color w:val="000000"/>
              </w:rPr>
            </w:pPr>
            <w:r w:rsidRPr="002E0939">
              <w:rPr>
                <w:rFonts w:ascii="Calibri" w:hAnsi="Calibri"/>
                <w:color w:val="000000"/>
                <w:sz w:val="22"/>
                <w:szCs w:val="22"/>
              </w:rPr>
              <w:t>RAS Questionnaire</w:t>
            </w:r>
          </w:p>
        </w:tc>
        <w:tc>
          <w:tcPr>
            <w:tcW w:w="1560" w:type="dxa"/>
            <w:tcBorders>
              <w:top w:val="single" w:sz="12" w:space="0" w:color="auto"/>
              <w:left w:val="nil"/>
              <w:bottom w:val="single" w:sz="12" w:space="0" w:color="auto"/>
              <w:right w:val="nil"/>
            </w:tcBorders>
            <w:shd w:val="clear" w:color="auto" w:fill="auto"/>
            <w:vAlign w:val="bottom"/>
            <w:hideMark/>
          </w:tcPr>
          <w:p w:rsidR="002E0939" w:rsidRPr="002E0939" w:rsidRDefault="002E0939" w:rsidP="002E0939">
            <w:pPr>
              <w:spacing w:line="240" w:lineRule="auto"/>
              <w:jc w:val="center"/>
              <w:rPr>
                <w:rFonts w:ascii="Calibri" w:hAnsi="Calibri"/>
                <w:color w:val="000000"/>
              </w:rPr>
            </w:pPr>
            <w:r w:rsidRPr="002E0939">
              <w:rPr>
                <w:rFonts w:ascii="Calibri" w:hAnsi="Calibri"/>
                <w:color w:val="000000"/>
                <w:sz w:val="22"/>
                <w:szCs w:val="22"/>
              </w:rPr>
              <w:t>Expected Responses</w:t>
            </w:r>
          </w:p>
        </w:tc>
        <w:tc>
          <w:tcPr>
            <w:tcW w:w="1220" w:type="dxa"/>
            <w:tcBorders>
              <w:top w:val="single" w:sz="12" w:space="0" w:color="auto"/>
              <w:left w:val="nil"/>
              <w:bottom w:val="single" w:sz="12" w:space="0" w:color="auto"/>
              <w:right w:val="nil"/>
            </w:tcBorders>
            <w:shd w:val="clear" w:color="auto" w:fill="auto"/>
            <w:vAlign w:val="bottom"/>
            <w:hideMark/>
          </w:tcPr>
          <w:p w:rsidR="002E0939" w:rsidRPr="002E0939" w:rsidRDefault="002E0939" w:rsidP="007B7BDD">
            <w:pPr>
              <w:spacing w:line="240" w:lineRule="auto"/>
              <w:jc w:val="center"/>
              <w:rPr>
                <w:rFonts w:ascii="Calibri" w:hAnsi="Calibri"/>
                <w:color w:val="000000"/>
              </w:rPr>
            </w:pPr>
            <w:r w:rsidRPr="002E0939">
              <w:rPr>
                <w:rFonts w:ascii="Calibri" w:hAnsi="Calibri"/>
                <w:color w:val="000000"/>
                <w:sz w:val="22"/>
                <w:szCs w:val="22"/>
              </w:rPr>
              <w:t xml:space="preserve">Expected </w:t>
            </w:r>
            <w:r w:rsidR="007B7BDD">
              <w:rPr>
                <w:rFonts w:ascii="Calibri" w:hAnsi="Calibri"/>
                <w:color w:val="000000"/>
                <w:sz w:val="22"/>
                <w:szCs w:val="22"/>
              </w:rPr>
              <w:t>Fishing Incidence</w:t>
            </w:r>
            <w:r w:rsidRPr="002E0939">
              <w:rPr>
                <w:rFonts w:ascii="Calibri" w:hAnsi="Calibri"/>
                <w:color w:val="000000"/>
                <w:sz w:val="22"/>
                <w:szCs w:val="22"/>
              </w:rPr>
              <w:t xml:space="preserve"> </w:t>
            </w:r>
          </w:p>
        </w:tc>
        <w:tc>
          <w:tcPr>
            <w:tcW w:w="1820" w:type="dxa"/>
            <w:tcBorders>
              <w:top w:val="single" w:sz="12" w:space="0" w:color="auto"/>
              <w:left w:val="nil"/>
              <w:bottom w:val="single" w:sz="12" w:space="0" w:color="auto"/>
              <w:right w:val="nil"/>
            </w:tcBorders>
            <w:shd w:val="clear" w:color="auto" w:fill="auto"/>
            <w:vAlign w:val="bottom"/>
            <w:hideMark/>
          </w:tcPr>
          <w:p w:rsidR="002E0939" w:rsidRPr="002E0939" w:rsidRDefault="002E0939" w:rsidP="002E0939">
            <w:pPr>
              <w:spacing w:line="240" w:lineRule="auto"/>
              <w:jc w:val="center"/>
              <w:rPr>
                <w:rFonts w:ascii="Calibri" w:hAnsi="Calibri"/>
                <w:color w:val="000000"/>
                <w:vertAlign w:val="superscript"/>
              </w:rPr>
            </w:pPr>
            <w:r w:rsidRPr="002E0939">
              <w:rPr>
                <w:rFonts w:ascii="Calibri" w:hAnsi="Calibri"/>
                <w:color w:val="000000"/>
                <w:sz w:val="22"/>
                <w:szCs w:val="22"/>
              </w:rPr>
              <w:t>Expected Detectable Difference in Fishing Incidence</w:t>
            </w:r>
            <w:r>
              <w:rPr>
                <w:rFonts w:ascii="Calibri" w:hAnsi="Calibri"/>
                <w:color w:val="000000"/>
                <w:sz w:val="22"/>
                <w:szCs w:val="22"/>
                <w:vertAlign w:val="superscript"/>
              </w:rPr>
              <w:t>11</w:t>
            </w:r>
          </w:p>
        </w:tc>
      </w:tr>
      <w:tr w:rsidR="002E0939" w:rsidRPr="002E0939" w:rsidTr="002E0939">
        <w:trPr>
          <w:trHeight w:val="315"/>
        </w:trPr>
        <w:tc>
          <w:tcPr>
            <w:tcW w:w="2400" w:type="dxa"/>
            <w:tcBorders>
              <w:top w:val="nil"/>
              <w:left w:val="nil"/>
              <w:bottom w:val="nil"/>
              <w:right w:val="nil"/>
            </w:tcBorders>
            <w:shd w:val="clear" w:color="auto" w:fill="auto"/>
            <w:noWrap/>
            <w:vAlign w:val="bottom"/>
            <w:hideMark/>
          </w:tcPr>
          <w:p w:rsidR="002E0939" w:rsidRPr="002E0939" w:rsidRDefault="002E0939" w:rsidP="002E0939">
            <w:pPr>
              <w:spacing w:line="240" w:lineRule="auto"/>
              <w:jc w:val="center"/>
              <w:rPr>
                <w:rFonts w:ascii="Calibri" w:hAnsi="Calibri"/>
                <w:color w:val="000000"/>
              </w:rPr>
            </w:pPr>
            <w:r w:rsidRPr="002E0939">
              <w:rPr>
                <w:rFonts w:ascii="Calibri" w:hAnsi="Calibri"/>
                <w:color w:val="000000"/>
                <w:sz w:val="22"/>
                <w:szCs w:val="22"/>
              </w:rPr>
              <w:t>Version 1 (Screen Out)</w:t>
            </w:r>
          </w:p>
        </w:tc>
        <w:tc>
          <w:tcPr>
            <w:tcW w:w="1560" w:type="dxa"/>
            <w:tcBorders>
              <w:top w:val="nil"/>
              <w:left w:val="nil"/>
              <w:bottom w:val="nil"/>
              <w:right w:val="nil"/>
            </w:tcBorders>
            <w:shd w:val="clear" w:color="auto" w:fill="auto"/>
            <w:noWrap/>
            <w:vAlign w:val="bottom"/>
            <w:hideMark/>
          </w:tcPr>
          <w:p w:rsidR="002E0939" w:rsidRPr="002E0939" w:rsidRDefault="002E0939" w:rsidP="002E0939">
            <w:pPr>
              <w:spacing w:line="240" w:lineRule="auto"/>
              <w:jc w:val="center"/>
              <w:rPr>
                <w:rFonts w:ascii="Calibri" w:hAnsi="Calibri"/>
                <w:color w:val="000000"/>
              </w:rPr>
            </w:pPr>
            <w:r w:rsidRPr="002E0939">
              <w:rPr>
                <w:rFonts w:ascii="Calibri" w:hAnsi="Calibri"/>
                <w:color w:val="000000"/>
                <w:sz w:val="22"/>
                <w:szCs w:val="22"/>
              </w:rPr>
              <w:t>8,066</w:t>
            </w:r>
          </w:p>
        </w:tc>
        <w:tc>
          <w:tcPr>
            <w:tcW w:w="1220" w:type="dxa"/>
            <w:tcBorders>
              <w:top w:val="nil"/>
              <w:left w:val="nil"/>
              <w:bottom w:val="nil"/>
              <w:right w:val="nil"/>
            </w:tcBorders>
            <w:shd w:val="clear" w:color="auto" w:fill="auto"/>
            <w:noWrap/>
            <w:vAlign w:val="bottom"/>
            <w:hideMark/>
          </w:tcPr>
          <w:p w:rsidR="002E0939" w:rsidRPr="002E0939" w:rsidRDefault="002E0939" w:rsidP="002E0939">
            <w:pPr>
              <w:spacing w:line="240" w:lineRule="auto"/>
              <w:jc w:val="center"/>
              <w:rPr>
                <w:rFonts w:ascii="Calibri" w:hAnsi="Calibri"/>
                <w:color w:val="000000"/>
              </w:rPr>
            </w:pPr>
            <w:r w:rsidRPr="002E0939">
              <w:rPr>
                <w:rFonts w:ascii="Calibri" w:hAnsi="Calibri"/>
                <w:color w:val="000000"/>
                <w:sz w:val="22"/>
                <w:szCs w:val="22"/>
              </w:rPr>
              <w:t>22%</w:t>
            </w:r>
          </w:p>
        </w:tc>
        <w:tc>
          <w:tcPr>
            <w:tcW w:w="1820" w:type="dxa"/>
            <w:tcBorders>
              <w:top w:val="nil"/>
              <w:left w:val="nil"/>
              <w:bottom w:val="nil"/>
              <w:right w:val="nil"/>
            </w:tcBorders>
            <w:shd w:val="clear" w:color="auto" w:fill="auto"/>
            <w:noWrap/>
            <w:vAlign w:val="bottom"/>
            <w:hideMark/>
          </w:tcPr>
          <w:p w:rsidR="002E0939" w:rsidRPr="002E0939" w:rsidRDefault="002E0939" w:rsidP="002E0939">
            <w:pPr>
              <w:spacing w:line="240" w:lineRule="auto"/>
              <w:jc w:val="center"/>
              <w:rPr>
                <w:rFonts w:ascii="Calibri" w:hAnsi="Calibri"/>
                <w:color w:val="000000"/>
              </w:rPr>
            </w:pPr>
          </w:p>
        </w:tc>
      </w:tr>
      <w:tr w:rsidR="002E0939" w:rsidRPr="002E0939" w:rsidTr="002E0939">
        <w:trPr>
          <w:trHeight w:val="315"/>
        </w:trPr>
        <w:tc>
          <w:tcPr>
            <w:tcW w:w="2400" w:type="dxa"/>
            <w:tcBorders>
              <w:top w:val="nil"/>
              <w:left w:val="nil"/>
              <w:bottom w:val="single" w:sz="12" w:space="0" w:color="auto"/>
              <w:right w:val="nil"/>
            </w:tcBorders>
            <w:shd w:val="clear" w:color="auto" w:fill="auto"/>
            <w:noWrap/>
            <w:vAlign w:val="bottom"/>
            <w:hideMark/>
          </w:tcPr>
          <w:p w:rsidR="002E0939" w:rsidRPr="002E0939" w:rsidRDefault="002E0939" w:rsidP="002E0939">
            <w:pPr>
              <w:spacing w:line="240" w:lineRule="auto"/>
              <w:jc w:val="center"/>
              <w:rPr>
                <w:rFonts w:ascii="Calibri" w:hAnsi="Calibri"/>
                <w:color w:val="000000"/>
              </w:rPr>
            </w:pPr>
            <w:r w:rsidRPr="002E0939">
              <w:rPr>
                <w:rFonts w:ascii="Calibri" w:hAnsi="Calibri"/>
                <w:color w:val="000000"/>
                <w:sz w:val="22"/>
                <w:szCs w:val="22"/>
              </w:rPr>
              <w:t>Version 2 (Engaging)</w:t>
            </w:r>
          </w:p>
        </w:tc>
        <w:tc>
          <w:tcPr>
            <w:tcW w:w="1560" w:type="dxa"/>
            <w:tcBorders>
              <w:top w:val="nil"/>
              <w:left w:val="nil"/>
              <w:bottom w:val="single" w:sz="12" w:space="0" w:color="auto"/>
              <w:right w:val="nil"/>
            </w:tcBorders>
            <w:shd w:val="clear" w:color="auto" w:fill="auto"/>
            <w:noWrap/>
            <w:vAlign w:val="bottom"/>
            <w:hideMark/>
          </w:tcPr>
          <w:p w:rsidR="002E0939" w:rsidRPr="002E0939" w:rsidRDefault="002E0939" w:rsidP="002E0939">
            <w:pPr>
              <w:spacing w:line="240" w:lineRule="auto"/>
              <w:jc w:val="center"/>
              <w:rPr>
                <w:rFonts w:ascii="Calibri" w:hAnsi="Calibri"/>
                <w:color w:val="000000"/>
              </w:rPr>
            </w:pPr>
            <w:r w:rsidRPr="002E0939">
              <w:rPr>
                <w:rFonts w:ascii="Calibri" w:hAnsi="Calibri"/>
                <w:color w:val="000000"/>
                <w:sz w:val="22"/>
                <w:szCs w:val="22"/>
              </w:rPr>
              <w:t>8,066</w:t>
            </w:r>
          </w:p>
        </w:tc>
        <w:tc>
          <w:tcPr>
            <w:tcW w:w="1220" w:type="dxa"/>
            <w:tcBorders>
              <w:top w:val="nil"/>
              <w:left w:val="nil"/>
              <w:bottom w:val="single" w:sz="12" w:space="0" w:color="auto"/>
              <w:right w:val="nil"/>
            </w:tcBorders>
            <w:shd w:val="clear" w:color="auto" w:fill="auto"/>
            <w:noWrap/>
            <w:vAlign w:val="bottom"/>
            <w:hideMark/>
          </w:tcPr>
          <w:p w:rsidR="002E0939" w:rsidRPr="002E0939" w:rsidRDefault="002E0939" w:rsidP="002E0939">
            <w:pPr>
              <w:spacing w:line="240" w:lineRule="auto"/>
              <w:jc w:val="center"/>
              <w:rPr>
                <w:rFonts w:ascii="Calibri" w:hAnsi="Calibri"/>
                <w:color w:val="000000"/>
              </w:rPr>
            </w:pPr>
            <w:r w:rsidRPr="002E0939">
              <w:rPr>
                <w:rFonts w:ascii="Calibri" w:hAnsi="Calibri"/>
                <w:color w:val="000000"/>
                <w:sz w:val="22"/>
                <w:szCs w:val="22"/>
              </w:rPr>
              <w:t> </w:t>
            </w:r>
          </w:p>
        </w:tc>
        <w:tc>
          <w:tcPr>
            <w:tcW w:w="1820" w:type="dxa"/>
            <w:tcBorders>
              <w:top w:val="nil"/>
              <w:left w:val="nil"/>
              <w:bottom w:val="single" w:sz="12" w:space="0" w:color="auto"/>
              <w:right w:val="nil"/>
            </w:tcBorders>
            <w:shd w:val="clear" w:color="auto" w:fill="auto"/>
            <w:noWrap/>
            <w:vAlign w:val="bottom"/>
            <w:hideMark/>
          </w:tcPr>
          <w:p w:rsidR="002E0939" w:rsidRPr="002E0939" w:rsidRDefault="002E0939" w:rsidP="002E0939">
            <w:pPr>
              <w:spacing w:line="240" w:lineRule="auto"/>
              <w:jc w:val="center"/>
              <w:rPr>
                <w:rFonts w:ascii="Calibri" w:hAnsi="Calibri"/>
                <w:color w:val="000000"/>
              </w:rPr>
            </w:pPr>
            <w:r w:rsidRPr="002E0939">
              <w:rPr>
                <w:rFonts w:ascii="Calibri" w:hAnsi="Calibri"/>
                <w:color w:val="000000"/>
                <w:sz w:val="22"/>
                <w:szCs w:val="22"/>
              </w:rPr>
              <w:t>1.86%</w:t>
            </w:r>
          </w:p>
        </w:tc>
      </w:tr>
    </w:tbl>
    <w:p w:rsidR="00584E96" w:rsidRPr="00584E96" w:rsidRDefault="00584E96" w:rsidP="00584E96">
      <w:pPr>
        <w:pStyle w:val="Default"/>
      </w:pPr>
    </w:p>
    <w:p w:rsidR="00B503CD" w:rsidRDefault="00B503CD" w:rsidP="00B503CD">
      <w:pPr>
        <w:pStyle w:val="CM23"/>
        <w:spacing w:after="0"/>
        <w:rPr>
          <w:b/>
          <w:bCs/>
          <w:color w:val="000000"/>
        </w:rPr>
      </w:pPr>
      <w:r>
        <w:rPr>
          <w:b/>
          <w:bCs/>
          <w:color w:val="000000"/>
        </w:rPr>
        <w:t xml:space="preserve">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p>
    <w:p w:rsidR="00B503CD" w:rsidRDefault="00B503CD" w:rsidP="00B503CD">
      <w:pPr>
        <w:pStyle w:val="Default"/>
      </w:pPr>
    </w:p>
    <w:p w:rsidR="00C85D52" w:rsidRDefault="00C85D52" w:rsidP="00B503CD">
      <w:pPr>
        <w:pStyle w:val="Default"/>
      </w:pPr>
      <w:r>
        <w:t>2.1. Data Collection Procedures</w:t>
      </w:r>
    </w:p>
    <w:p w:rsidR="00C85D52" w:rsidRPr="00690C39" w:rsidRDefault="00C85D52" w:rsidP="00B503CD">
      <w:pPr>
        <w:pStyle w:val="Default"/>
      </w:pPr>
    </w:p>
    <w:p w:rsidR="00CA561A" w:rsidRDefault="00F476AD" w:rsidP="00C85D52">
      <w:pPr>
        <w:spacing w:line="240" w:lineRule="auto"/>
      </w:pPr>
      <w:r>
        <w:t xml:space="preserve">The RAS and NAS are both single-phase, self-administered mail surveys, and data collection procedures for the two survey components are identical.  </w:t>
      </w:r>
      <w:r w:rsidR="000C7703">
        <w:t>These data collection procedures</w:t>
      </w:r>
      <w:r>
        <w:t xml:space="preserve"> have been extensively tested through previous MRIP pilot studies (Andrews et al. 2010, Brick et al. 2012</w:t>
      </w:r>
      <w:r w:rsidR="000C7703">
        <w:t>a</w:t>
      </w:r>
      <w:r>
        <w:t xml:space="preserve">).  The surveys are administered for eight independent, two-month reference waves.  The </w:t>
      </w:r>
      <w:r>
        <w:lastRenderedPageBreak/>
        <w:t>data collection period for each wave begins one week prior to the end of the wave with an initial survey mailing.  The timing of the initial mailing is such that materials are received prior to the end of the reference wave.  The initial mailing</w:t>
      </w:r>
      <w:r w:rsidR="0099674F">
        <w:t xml:space="preserve"> is delive</w:t>
      </w:r>
      <w:r w:rsidR="002F305A">
        <w:t>red by regular first class mail and</w:t>
      </w:r>
      <w:r>
        <w:t xml:space="preserve"> includes a cover letter stating the purpose of the survey, a survey questionnaire, a post-paid return envelope and a prepaid cash incentive (as described in section A.9).</w:t>
      </w:r>
    </w:p>
    <w:p w:rsidR="00CA561A" w:rsidRDefault="00CA561A" w:rsidP="00C85D52">
      <w:pPr>
        <w:spacing w:line="240" w:lineRule="auto"/>
      </w:pPr>
    </w:p>
    <w:p w:rsidR="0099674F" w:rsidRDefault="0099674F" w:rsidP="00C85D52">
      <w:pPr>
        <w:spacing w:line="240" w:lineRule="auto"/>
      </w:pPr>
      <w:r>
        <w:t xml:space="preserve">One week following the initial mailing, a follow-up thank you/reminder contact is initiated.  For sample units with an attached landline telephone number (sample units for which a landline telephone number can be found through a lookup service), an automated voice message is delivered to remind sample units to complete and return the questionnaire. </w:t>
      </w:r>
      <w:r w:rsidR="00CA561A">
        <w:t xml:space="preserve">Previous studies </w:t>
      </w:r>
      <w:r>
        <w:t>have demonstrated that varying the delivery mechanism, for example, switching from regular first class mail to telephone or special mail, may improve re</w:t>
      </w:r>
      <w:r w:rsidR="000C7703">
        <w:t xml:space="preserve">sponse rates in mail surveys </w:t>
      </w:r>
      <w:r>
        <w:t>(</w:t>
      </w:r>
      <w:r w:rsidR="000C7703">
        <w:t xml:space="preserve">Brick et al., 2012b).  </w:t>
      </w:r>
      <w:r>
        <w:t>For sample with no associated landline telephone number, a thank you/reminder postcard is sent via regular fist class mail.</w:t>
      </w:r>
      <w:r w:rsidR="000E1758">
        <w:t xml:space="preserve">  We expect to identify landline telephone numbers for approximately 50% of sampled addresses.</w:t>
      </w:r>
      <w:r>
        <w:t xml:space="preserve">  </w:t>
      </w:r>
    </w:p>
    <w:p w:rsidR="0099674F" w:rsidRDefault="0099674F" w:rsidP="00C85D52">
      <w:pPr>
        <w:spacing w:line="240" w:lineRule="auto"/>
      </w:pPr>
    </w:p>
    <w:p w:rsidR="00C85D52" w:rsidRDefault="0099674F" w:rsidP="00C85D52">
      <w:pPr>
        <w:spacing w:line="240" w:lineRule="auto"/>
      </w:pPr>
      <w:r>
        <w:t xml:space="preserve">Three weeks after the initial survey mailing, a follow-up mailing is delivered to all sample units that have not responded to the survey.  The follow-up mailing is delivered via first class mail and includes a nonresponse conversion letter, a second questionnaire and a post-paid return envelope.    </w:t>
      </w:r>
      <w:r w:rsidR="00F476AD">
        <w:t xml:space="preserve">   </w:t>
      </w:r>
    </w:p>
    <w:p w:rsidR="00C85D52" w:rsidRDefault="00C85D52" w:rsidP="00C85D52">
      <w:pPr>
        <w:spacing w:line="240" w:lineRule="auto"/>
      </w:pPr>
    </w:p>
    <w:p w:rsidR="00C678FB" w:rsidRDefault="00C85D52" w:rsidP="00C85D52">
      <w:pPr>
        <w:spacing w:line="240" w:lineRule="auto"/>
      </w:pPr>
      <w:r>
        <w:t>2.2. Estimation</w:t>
      </w:r>
      <w:r w:rsidR="00C678FB">
        <w:t xml:space="preserve"> Procedures</w:t>
      </w:r>
    </w:p>
    <w:p w:rsidR="000005A2" w:rsidRDefault="000005A2" w:rsidP="00C85D52">
      <w:pPr>
        <w:spacing w:line="240" w:lineRule="auto"/>
      </w:pPr>
    </w:p>
    <w:p w:rsidR="000005A2" w:rsidRDefault="000005A2" w:rsidP="00C85D52">
      <w:pPr>
        <w:spacing w:line="240" w:lineRule="auto"/>
      </w:pPr>
      <w:r>
        <w:t xml:space="preserve">Final sample weights for both the RAS and the NAS are calculated in stages.  </w:t>
      </w:r>
      <w:r w:rsidR="00B17B12">
        <w:t xml:space="preserve">In the </w:t>
      </w:r>
      <w:r w:rsidR="0074744D">
        <w:t>first stage</w:t>
      </w:r>
      <w:r>
        <w:t xml:space="preserve">, base sample weights </w:t>
      </w:r>
      <w:r w:rsidR="00B17B12">
        <w:t xml:space="preserve">within each stratum </w:t>
      </w:r>
      <w:r>
        <w:t>are calculated as the inverse of the selection probability</w:t>
      </w:r>
      <w:r w:rsidR="00CC5D6E">
        <w:t xml:space="preserve"> (</w:t>
      </w:r>
      <m:oMath>
        <m:sSub>
          <m:sSubPr>
            <m:ctrlPr>
              <w:rPr>
                <w:rFonts w:ascii="Cambria Math" w:hAnsi="Cambria Math"/>
                <w:i/>
              </w:rPr>
            </m:ctrlPr>
          </m:sSubPr>
          <m:e>
            <m:r>
              <w:rPr>
                <w:rFonts w:ascii="Cambria Math" w:hAnsi="Cambria Math"/>
              </w:rPr>
              <m:t>ω</m:t>
            </m:r>
          </m:e>
          <m:sub>
            <m:r>
              <w:rPr>
                <w:rFonts w:ascii="Cambria Math" w:hAnsi="Cambria Math"/>
              </w:rPr>
              <m:t>i</m:t>
            </m:r>
          </m:sub>
        </m:sSub>
        <m:r>
          <w:rPr>
            <w:rFonts w:ascii="Cambria Math"/>
          </w:rPr>
          <m:t xml:space="preserve">= </m:t>
        </m:r>
        <m:sSubSup>
          <m:sSubSupPr>
            <m:ctrlPr>
              <w:rPr>
                <w:rFonts w:ascii="Cambria Math" w:hAnsi="Cambria Math"/>
                <w:i/>
              </w:rPr>
            </m:ctrlPr>
          </m:sSubSupPr>
          <m:e>
            <m:r>
              <w:rPr>
                <w:rFonts w:ascii="Cambria Math" w:hAnsi="Cambria Math"/>
              </w:rPr>
              <m:t>π</m:t>
            </m:r>
          </m:e>
          <m:sub>
            <m:r>
              <w:rPr>
                <w:rFonts w:ascii="Cambria Math" w:hAnsi="Cambria Math"/>
              </w:rPr>
              <m:t>i</m:t>
            </m:r>
          </m:sub>
          <m:sup>
            <m:r>
              <w:rPr>
                <w:rFonts w:ascii="Cambria Math" w:hAnsi="Cambria Math"/>
              </w:rPr>
              <m:t>-</m:t>
            </m:r>
            <m:r>
              <w:rPr>
                <w:rFonts w:ascii="Cambria Math"/>
              </w:rPr>
              <m:t>1</m:t>
            </m:r>
          </m:sup>
        </m:sSubSup>
      </m:oMath>
      <w:r w:rsidR="00B17B12">
        <w:t>,</w:t>
      </w:r>
      <w:r w:rsidR="00CC5D6E">
        <w:t xml:space="preserve"> where π</w:t>
      </w:r>
      <w:proofErr w:type="spellStart"/>
      <w:r w:rsidR="00CC5D6E">
        <w:rPr>
          <w:vertAlign w:val="subscript"/>
        </w:rPr>
        <w:t>i</w:t>
      </w:r>
      <w:proofErr w:type="spellEnd"/>
      <w:r w:rsidR="00CC5D6E">
        <w:rPr>
          <w:vertAlign w:val="subscript"/>
        </w:rPr>
        <w:t xml:space="preserve"> </w:t>
      </w:r>
      <w:r w:rsidR="00CC5D6E">
        <w:t xml:space="preserve">is the probability of selecting unit </w:t>
      </w:r>
      <w:proofErr w:type="spellStart"/>
      <w:r w:rsidR="00CC5D6E" w:rsidRPr="00CC5D6E">
        <w:rPr>
          <w:rFonts w:ascii="Cambria Math" w:hAnsi="Cambria Math"/>
        </w:rPr>
        <w:t>i</w:t>
      </w:r>
      <w:proofErr w:type="spellEnd"/>
      <w:r w:rsidR="00CC5D6E">
        <w:t xml:space="preserve"> for the sample).</w:t>
      </w:r>
      <w:r w:rsidR="00B17B12">
        <w:t xml:space="preserve"> </w:t>
      </w:r>
      <w:r w:rsidR="0074744D">
        <w:t xml:space="preserve">In the RAS, base weights for </w:t>
      </w:r>
      <w:r w:rsidR="00B17B12">
        <w:t>addresses</w:t>
      </w:r>
      <w:r w:rsidR="00077AA7">
        <w:t xml:space="preserve"> that cannot be matched to </w:t>
      </w:r>
      <w:r w:rsidR="00DD18AF">
        <w:t xml:space="preserve">an </w:t>
      </w:r>
      <w:r w:rsidR="00077AA7">
        <w:t>angler license database</w:t>
      </w:r>
      <w:r w:rsidR="00DD18AF">
        <w:t xml:space="preserve"> (sample units in the unmatched strata)</w:t>
      </w:r>
      <w:r w:rsidR="00077AA7">
        <w:t xml:space="preserve">, are adjusted </w:t>
      </w:r>
      <w:r w:rsidR="00DD18AF">
        <w:t xml:space="preserve">to account for subsampling by multiplying the base weight by the inverse of the subsampling rate.  </w:t>
      </w:r>
    </w:p>
    <w:p w:rsidR="005D7E56" w:rsidRDefault="005D7E56" w:rsidP="00C85D52">
      <w:pPr>
        <w:spacing w:line="240" w:lineRule="auto"/>
      </w:pPr>
    </w:p>
    <w:p w:rsidR="00965C0A" w:rsidRDefault="005D7E56" w:rsidP="00C85D52">
      <w:pPr>
        <w:spacing w:line="240" w:lineRule="auto"/>
      </w:pPr>
      <w:r>
        <w:t xml:space="preserve">In the second stage, base weights </w:t>
      </w:r>
      <w:r w:rsidR="005C725D">
        <w:t xml:space="preserve">(or adjusted base weights in unmatched </w:t>
      </w:r>
      <w:r w:rsidR="00061530">
        <w:t xml:space="preserve">RAS </w:t>
      </w:r>
      <w:r w:rsidR="005C725D">
        <w:t xml:space="preserve">strata) </w:t>
      </w:r>
      <w:r>
        <w:t xml:space="preserve">are adjusted to account for nonresponse.  Specifically, the weights of </w:t>
      </w:r>
      <w:proofErr w:type="spellStart"/>
      <w:r>
        <w:t>nonresponding</w:t>
      </w:r>
      <w:proofErr w:type="spellEnd"/>
      <w:r>
        <w:t xml:space="preserve"> </w:t>
      </w:r>
      <w:r w:rsidR="00717AEE">
        <w:t xml:space="preserve">units are increased by the inverse of the </w:t>
      </w:r>
      <w:r w:rsidR="00173A63">
        <w:t xml:space="preserve">weighted </w:t>
      </w:r>
      <w:r w:rsidR="00717AEE">
        <w:t xml:space="preserve">response </w:t>
      </w:r>
      <w:r w:rsidR="00173A63">
        <w:t>rate</w:t>
      </w:r>
      <w:r>
        <w:t xml:space="preserve"> with</w:t>
      </w:r>
      <w:r w:rsidR="00357483">
        <w:t>in nonresponse adjustment cells</w:t>
      </w:r>
    </w:p>
    <w:p w:rsidR="00357483" w:rsidRDefault="00357483" w:rsidP="00C85D52">
      <w:pPr>
        <w:spacing w:line="240" w:lineRule="auto"/>
      </w:pPr>
    </w:p>
    <w:p w:rsidR="00357483" w:rsidRDefault="00576DE6" w:rsidP="00C85D52">
      <w:pPr>
        <w:spacing w:line="240" w:lineRule="auto"/>
      </w:pPr>
      <m:oMathPara>
        <m:oMath>
          <m:sSubSup>
            <m:sSubSupPr>
              <m:ctrlPr>
                <w:rPr>
                  <w:rFonts w:ascii="Cambria Math" w:hAnsi="Cambria Math"/>
                  <w:i/>
                </w:rPr>
              </m:ctrlPr>
            </m:sSubSupPr>
            <m:e>
              <m:r>
                <w:rPr>
                  <w:rFonts w:ascii="Cambria Math" w:hAnsi="Cambria Math"/>
                </w:rPr>
                <m:t>ω</m:t>
              </m:r>
            </m:e>
            <m:sub>
              <m:r>
                <w:rPr>
                  <w:rFonts w:ascii="Cambria Math" w:hAnsi="Cambria Math"/>
                </w:rPr>
                <m:t>ci</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ci</m:t>
              </m:r>
            </m:sub>
          </m:sSub>
          <m:sSubSup>
            <m:sSubSupPr>
              <m:ctrlPr>
                <w:rPr>
                  <w:rFonts w:ascii="Cambria Math" w:hAnsi="Cambria Math"/>
                  <w:i/>
                </w:rPr>
              </m:ctrlPr>
            </m:sSubSupPr>
            <m:e>
              <m:acc>
                <m:accPr>
                  <m:ctrlPr>
                    <w:rPr>
                      <w:rFonts w:ascii="Cambria Math" w:hAnsi="Cambria Math"/>
                      <w:i/>
                    </w:rPr>
                  </m:ctrlPr>
                </m:accPr>
                <m:e>
                  <m:r>
                    <w:rPr>
                      <w:rFonts w:ascii="Cambria Math" w:hAnsi="Cambria Math"/>
                    </w:rPr>
                    <m:t>∅</m:t>
                  </m:r>
                </m:e>
              </m:acc>
            </m:e>
            <m:sub>
              <m:r>
                <w:rPr>
                  <w:rFonts w:ascii="Cambria Math" w:hAnsi="Cambria Math"/>
                </w:rPr>
                <m:t>c</m:t>
              </m:r>
            </m:sub>
            <m:sup>
              <m:r>
                <w:rPr>
                  <w:rFonts w:ascii="Cambria Math" w:hAnsi="Cambria Math"/>
                </w:rPr>
                <m:t>-1</m:t>
              </m:r>
            </m:sup>
          </m:sSubSup>
        </m:oMath>
      </m:oMathPara>
    </w:p>
    <w:p w:rsidR="00357483" w:rsidRDefault="00357483" w:rsidP="00C85D52">
      <w:pPr>
        <w:spacing w:line="240" w:lineRule="auto"/>
      </w:pPr>
    </w:p>
    <w:p w:rsidR="00357483" w:rsidRDefault="00357483" w:rsidP="00C85D52">
      <w:pPr>
        <w:spacing w:line="240" w:lineRule="auto"/>
      </w:pPr>
      <w:proofErr w:type="gramStart"/>
      <w:r>
        <w:t>where</w:t>
      </w:r>
      <w:proofErr w:type="gramEnd"/>
    </w:p>
    <w:p w:rsidR="00357483" w:rsidRDefault="00357483" w:rsidP="00C85D52">
      <w:pPr>
        <w:spacing w:line="240" w:lineRule="auto"/>
      </w:pPr>
    </w:p>
    <w:p w:rsidR="00357483" w:rsidRDefault="00576DE6" w:rsidP="00C85D52">
      <w:pPr>
        <w:spacing w:line="240" w:lineRule="auto"/>
      </w:pPr>
      <m:oMathPara>
        <m:oMath>
          <m:sSub>
            <m:sSubPr>
              <m:ctrlPr>
                <w:rPr>
                  <w:rFonts w:ascii="Cambria Math" w:hAnsi="Cambria Math"/>
                  <w:i/>
                </w:rPr>
              </m:ctrlPr>
            </m:sSubPr>
            <m:e>
              <m:acc>
                <m:accPr>
                  <m:ctrlPr>
                    <w:rPr>
                      <w:rFonts w:ascii="Cambria Math" w:hAnsi="Cambria Math"/>
                      <w:i/>
                    </w:rPr>
                  </m:ctrlPr>
                </m:accPr>
                <m:e>
                  <m:r>
                    <w:rPr>
                      <w:rFonts w:ascii="Cambria Math" w:hAnsi="Cambria Math"/>
                    </w:rPr>
                    <m:t>∅</m:t>
                  </m:r>
                </m:e>
              </m:acc>
            </m:e>
            <m:sub>
              <m:r>
                <w:rPr>
                  <w:rFonts w:ascii="Cambria Math" w:hAnsi="Cambria Math"/>
                </w:rPr>
                <m:t>c</m:t>
              </m:r>
            </m:sub>
          </m:sSub>
          <m:r>
            <w:rPr>
              <w:rFonts w:ascii="Cambria Math" w:hAnsi="Cambria Math"/>
            </w:rPr>
            <m:t>=</m:t>
          </m:r>
          <m:nary>
            <m:naryPr>
              <m:chr m:val="∑"/>
              <m:limLoc m:val="subSup"/>
              <m:subHide m:val="1"/>
              <m:ctrlPr>
                <w:rPr>
                  <w:rFonts w:ascii="Cambria Math" w:hAnsi="Cambria Math"/>
                  <w:i/>
                </w:rPr>
              </m:ctrlPr>
            </m:naryPr>
            <m:sub/>
            <m:sup>
              <m:r>
                <w:rPr>
                  <w:rFonts w:ascii="Cambria Math" w:hAnsi="Cambria Math"/>
                </w:rPr>
                <m:t>r</m:t>
              </m:r>
            </m:sup>
            <m:e>
              <m:sSub>
                <m:sSubPr>
                  <m:ctrlPr>
                    <w:rPr>
                      <w:rFonts w:ascii="Cambria Math" w:hAnsi="Cambria Math"/>
                      <w:i/>
                    </w:rPr>
                  </m:ctrlPr>
                </m:sSubPr>
                <m:e>
                  <m:r>
                    <w:rPr>
                      <w:rFonts w:ascii="Cambria Math" w:hAnsi="Cambria Math"/>
                    </w:rPr>
                    <m:t>ω</m:t>
                  </m:r>
                </m:e>
                <m:sub>
                  <m:r>
                    <w:rPr>
                      <w:rFonts w:ascii="Cambria Math" w:hAnsi="Cambria Math"/>
                    </w:rPr>
                    <m:t>ci</m:t>
                  </m:r>
                </m:sub>
              </m:sSub>
              <m:r>
                <w:rPr>
                  <w:rFonts w:ascii="Cambria Math" w:hAnsi="Cambria Math"/>
                </w:rPr>
                <m:t>/(</m:t>
              </m:r>
            </m:e>
          </m:nary>
          <m:nary>
            <m:naryPr>
              <m:chr m:val="∑"/>
              <m:limLoc m:val="subSup"/>
              <m:subHide m:val="1"/>
              <m:ctrlPr>
                <w:rPr>
                  <w:rFonts w:ascii="Cambria Math" w:hAnsi="Cambria Math"/>
                  <w:i/>
                </w:rPr>
              </m:ctrlPr>
            </m:naryPr>
            <m:sub/>
            <m:sup>
              <m:r>
                <w:rPr>
                  <w:rFonts w:ascii="Cambria Math" w:hAnsi="Cambria Math"/>
                </w:rPr>
                <m:t>r</m:t>
              </m:r>
            </m:sup>
            <m:e>
              <m:sSub>
                <m:sSubPr>
                  <m:ctrlPr>
                    <w:rPr>
                      <w:rFonts w:ascii="Cambria Math" w:hAnsi="Cambria Math"/>
                      <w:i/>
                    </w:rPr>
                  </m:ctrlPr>
                </m:sSubPr>
                <m:e>
                  <m:r>
                    <w:rPr>
                      <w:rFonts w:ascii="Cambria Math" w:hAnsi="Cambria Math"/>
                    </w:rPr>
                    <m:t>ω</m:t>
                  </m:r>
                </m:e>
                <m:sub>
                  <m:r>
                    <w:rPr>
                      <w:rFonts w:ascii="Cambria Math" w:hAnsi="Cambria Math"/>
                    </w:rPr>
                    <m:t>ci</m:t>
                  </m:r>
                </m:sub>
              </m:sSub>
              <m:r>
                <w:rPr>
                  <w:rFonts w:ascii="Cambria Math" w:hAnsi="Cambria Math"/>
                </w:rPr>
                <m:t>+</m:t>
              </m:r>
              <m:nary>
                <m:naryPr>
                  <m:chr m:val="∑"/>
                  <m:limLoc m:val="subSup"/>
                  <m:subHide m:val="1"/>
                  <m:ctrlPr>
                    <w:rPr>
                      <w:rFonts w:ascii="Cambria Math" w:hAnsi="Cambria Math"/>
                      <w:i/>
                    </w:rPr>
                  </m:ctrlPr>
                </m:naryPr>
                <m:sub/>
                <m:sup>
                  <m:r>
                    <w:rPr>
                      <w:rFonts w:ascii="Cambria Math" w:hAnsi="Cambria Math"/>
                    </w:rPr>
                    <m:t>m</m:t>
                  </m:r>
                </m:sup>
                <m:e>
                  <m:sSub>
                    <m:sSubPr>
                      <m:ctrlPr>
                        <w:rPr>
                          <w:rFonts w:ascii="Cambria Math" w:hAnsi="Cambria Math"/>
                          <w:i/>
                        </w:rPr>
                      </m:ctrlPr>
                    </m:sSubPr>
                    <m:e>
                      <m:r>
                        <w:rPr>
                          <w:rFonts w:ascii="Cambria Math" w:hAnsi="Cambria Math"/>
                        </w:rPr>
                        <m:t>ω</m:t>
                      </m:r>
                    </m:e>
                    <m:sub>
                      <m:r>
                        <w:rPr>
                          <w:rFonts w:ascii="Cambria Math" w:hAnsi="Cambria Math"/>
                        </w:rPr>
                        <m:t>ci</m:t>
                      </m:r>
                    </m:sub>
                  </m:sSub>
                </m:e>
              </m:nary>
            </m:e>
          </m:nary>
          <m:r>
            <w:rPr>
              <w:rFonts w:ascii="Cambria Math" w:hAnsi="Cambria Math"/>
            </w:rPr>
            <m:t>)</m:t>
          </m:r>
        </m:oMath>
      </m:oMathPara>
    </w:p>
    <w:p w:rsidR="00965C0A" w:rsidRDefault="00965C0A" w:rsidP="00C85D52">
      <w:pPr>
        <w:spacing w:line="240" w:lineRule="auto"/>
      </w:pPr>
    </w:p>
    <w:p w:rsidR="00965C0A" w:rsidRDefault="006D37E0" w:rsidP="00C85D52">
      <w:pPr>
        <w:spacing w:line="240" w:lineRule="auto"/>
      </w:pPr>
      <w:proofErr w:type="gramStart"/>
      <w:r>
        <w:t>and</w:t>
      </w:r>
      <w:proofErr w:type="gramEnd"/>
      <w:r>
        <w:t xml:space="preserve"> </w:t>
      </w:r>
      <m:oMath>
        <m:nary>
          <m:naryPr>
            <m:chr m:val="∑"/>
            <m:limLoc m:val="undOvr"/>
            <m:subHide m:val="1"/>
            <m:ctrlPr>
              <w:rPr>
                <w:rFonts w:ascii="Cambria Math" w:hAnsi="Cambria Math"/>
                <w:i/>
              </w:rPr>
            </m:ctrlPr>
          </m:naryPr>
          <m:sub/>
          <m:sup>
            <m:r>
              <w:rPr>
                <w:rFonts w:ascii="Cambria Math" w:hAnsi="Cambria Math"/>
              </w:rPr>
              <m:t>r</m:t>
            </m:r>
          </m:sup>
          <m:e>
            <m:sSub>
              <m:sSubPr>
                <m:ctrlPr>
                  <w:rPr>
                    <w:rFonts w:ascii="Cambria Math" w:hAnsi="Cambria Math"/>
                    <w:i/>
                  </w:rPr>
                </m:ctrlPr>
              </m:sSubPr>
              <m:e>
                <m:r>
                  <w:rPr>
                    <w:rFonts w:ascii="Cambria Math" w:hAnsi="Cambria Math"/>
                  </w:rPr>
                  <m:t>ω</m:t>
                </m:r>
              </m:e>
              <m:sub>
                <m:r>
                  <w:rPr>
                    <w:rFonts w:ascii="Cambria Math" w:hAnsi="Cambria Math"/>
                  </w:rPr>
                  <m:t>ci</m:t>
                </m:r>
              </m:sub>
            </m:sSub>
          </m:e>
        </m:nary>
      </m:oMath>
      <w:r>
        <w:t xml:space="preserve"> and </w:t>
      </w:r>
      <m:oMath>
        <m:nary>
          <m:naryPr>
            <m:chr m:val="∑"/>
            <m:limLoc m:val="undOvr"/>
            <m:subHide m:val="1"/>
            <m:ctrlPr>
              <w:rPr>
                <w:rFonts w:ascii="Cambria Math" w:hAnsi="Cambria Math"/>
                <w:i/>
              </w:rPr>
            </m:ctrlPr>
          </m:naryPr>
          <m:sub/>
          <m:sup>
            <m:r>
              <w:rPr>
                <w:rFonts w:ascii="Cambria Math" w:hAnsi="Cambria Math"/>
              </w:rPr>
              <m:t>m</m:t>
            </m:r>
          </m:sup>
          <m:e>
            <m:sSub>
              <m:sSubPr>
                <m:ctrlPr>
                  <w:rPr>
                    <w:rFonts w:ascii="Cambria Math" w:hAnsi="Cambria Math"/>
                    <w:i/>
                  </w:rPr>
                </m:ctrlPr>
              </m:sSubPr>
              <m:e>
                <m:r>
                  <w:rPr>
                    <w:rFonts w:ascii="Cambria Math" w:hAnsi="Cambria Math"/>
                  </w:rPr>
                  <m:t>ω</m:t>
                </m:r>
              </m:e>
              <m:sub>
                <m:r>
                  <w:rPr>
                    <w:rFonts w:ascii="Cambria Math" w:hAnsi="Cambria Math"/>
                  </w:rPr>
                  <m:t>ci</m:t>
                </m:r>
              </m:sub>
            </m:sSub>
          </m:e>
        </m:nary>
      </m:oMath>
      <w:r>
        <w:t xml:space="preserve"> are the sums of base weights </w:t>
      </w:r>
      <w:r w:rsidR="000D03CB">
        <w:t xml:space="preserve">in cell </w:t>
      </w:r>
      <w:r w:rsidR="000D03CB" w:rsidRPr="000D03CB">
        <w:rPr>
          <w:i/>
        </w:rPr>
        <w:t>c</w:t>
      </w:r>
      <w:r w:rsidR="000D03CB">
        <w:t xml:space="preserve"> </w:t>
      </w:r>
      <w:r>
        <w:t xml:space="preserve">for respondents and </w:t>
      </w:r>
      <w:proofErr w:type="spellStart"/>
      <w:r>
        <w:t>nonrespondent</w:t>
      </w:r>
      <w:r w:rsidR="000D03CB">
        <w:t>s</w:t>
      </w:r>
      <w:proofErr w:type="spellEnd"/>
      <w:r w:rsidR="000D03CB">
        <w:t>, respectively.</w:t>
      </w:r>
      <w:r w:rsidR="00BD14BD">
        <w:t xml:space="preserve">  </w:t>
      </w:r>
      <w:r w:rsidR="000604CE">
        <w:t xml:space="preserve">Weights for </w:t>
      </w:r>
      <w:r w:rsidR="00921B32">
        <w:t xml:space="preserve">all </w:t>
      </w:r>
      <w:r w:rsidR="000604CE">
        <w:t xml:space="preserve">individuals who reside at </w:t>
      </w:r>
      <w:r w:rsidR="00873A30">
        <w:t xml:space="preserve">a </w:t>
      </w:r>
      <w:r w:rsidR="000604CE">
        <w:t>sampled address are equal to the final sample weight for the address.</w:t>
      </w:r>
    </w:p>
    <w:p w:rsidR="00965C0A" w:rsidRDefault="00965C0A" w:rsidP="00C85D52">
      <w:pPr>
        <w:spacing w:line="240" w:lineRule="auto"/>
      </w:pPr>
    </w:p>
    <w:p w:rsidR="00742991" w:rsidRDefault="000B5636" w:rsidP="00C85D52">
      <w:pPr>
        <w:spacing w:line="240" w:lineRule="auto"/>
      </w:pPr>
      <w:r>
        <w:t>In the RAS,</w:t>
      </w:r>
      <w:r w:rsidR="005D7E56">
        <w:t xml:space="preserve"> </w:t>
      </w:r>
      <w:r w:rsidR="0091634E">
        <w:t xml:space="preserve">nonresponse </w:t>
      </w:r>
      <w:r w:rsidR="005D7E56">
        <w:t>adjustment cells will be defined by state</w:t>
      </w:r>
      <w:r w:rsidR="00173A63">
        <w:t xml:space="preserve"> or residence</w:t>
      </w:r>
      <w:r w:rsidR="005D7E56">
        <w:t xml:space="preserve">, </w:t>
      </w:r>
      <w:proofErr w:type="gramStart"/>
      <w:r w:rsidR="005D7E56">
        <w:t xml:space="preserve">coastal/non-coastal </w:t>
      </w:r>
      <w:r w:rsidR="008A191B">
        <w:t>county</w:t>
      </w:r>
      <w:proofErr w:type="gramEnd"/>
      <w:r w:rsidR="005D7E56">
        <w:t xml:space="preserve">, </w:t>
      </w:r>
      <w:r w:rsidR="008A191B">
        <w:t xml:space="preserve">matched/unmatched designation, </w:t>
      </w:r>
      <w:r w:rsidR="005D7E56">
        <w:t>and whether or not the address was successfully matched to a landline telephone number.</w:t>
      </w:r>
      <w:r w:rsidR="008A191B">
        <w:t xml:space="preserve">  </w:t>
      </w:r>
      <w:r w:rsidR="00061530">
        <w:t>In the NAS, adjustme</w:t>
      </w:r>
      <w:r w:rsidR="009364D7">
        <w:t>nt cells will be at the stratum level (license state)</w:t>
      </w:r>
      <w:r w:rsidR="00061530">
        <w:t xml:space="preserve">.  </w:t>
      </w:r>
      <w:r w:rsidR="008A191B">
        <w:t xml:space="preserve">Other potential criteria for defining nonresponse adjustment cells </w:t>
      </w:r>
      <w:r w:rsidR="0074744D">
        <w:t xml:space="preserve">will </w:t>
      </w:r>
      <w:r w:rsidR="008A191B">
        <w:t>be examined aft</w:t>
      </w:r>
      <w:r w:rsidR="00061530">
        <w:t>er each wave of data collection and may include demographic information and type of recreational fishing license.</w:t>
      </w:r>
    </w:p>
    <w:p w:rsidR="0074744D" w:rsidRDefault="0074744D" w:rsidP="00C85D52">
      <w:pPr>
        <w:spacing w:line="240" w:lineRule="auto"/>
      </w:pPr>
    </w:p>
    <w:p w:rsidR="00EA74D4" w:rsidRDefault="00742991" w:rsidP="00C85D52">
      <w:pPr>
        <w:spacing w:line="240" w:lineRule="auto"/>
      </w:pPr>
      <w:r>
        <w:t>Estimates of total fishing</w:t>
      </w:r>
      <w:r w:rsidR="00541CDB">
        <w:t xml:space="preserve"> effort</w:t>
      </w:r>
      <w:r w:rsidR="00EA74D4">
        <w:t xml:space="preserve">, </w:t>
      </w:r>
      <w:r w:rsidR="00541CDB">
        <w:t>as well as associated estimates of variance,</w:t>
      </w:r>
      <w:r>
        <w:t xml:space="preserve"> are calculated in SAS Version 9.3 using the </w:t>
      </w:r>
      <w:proofErr w:type="spellStart"/>
      <w:r>
        <w:t>surveymeans</w:t>
      </w:r>
      <w:proofErr w:type="spellEnd"/>
      <w:r>
        <w:t xml:space="preserve"> procedure.</w:t>
      </w:r>
      <w:r w:rsidR="00BB2AC4">
        <w:t xml:space="preserve">  </w:t>
      </w:r>
      <w:r w:rsidR="000005A2">
        <w:t xml:space="preserve">For a given </w:t>
      </w:r>
      <w:r w:rsidR="002E026A">
        <w:t xml:space="preserve">coastal </w:t>
      </w:r>
      <w:r w:rsidR="000005A2">
        <w:t xml:space="preserve">state and wave, total effort is the sum of resident angler effort </w:t>
      </w:r>
      <w:r w:rsidR="00AD140C">
        <w:t xml:space="preserve">(from RAS) </w:t>
      </w:r>
      <w:r w:rsidR="000005A2">
        <w:t>and nonresident angler effort</w:t>
      </w:r>
      <w:r w:rsidR="00AD140C">
        <w:t xml:space="preserve"> (from NAS)</w:t>
      </w:r>
      <w:r w:rsidR="000005A2">
        <w:t xml:space="preserve">, both of which </w:t>
      </w:r>
      <w:r w:rsidR="00AD140C">
        <w:t>are calculated as weighted sums</w:t>
      </w:r>
      <w:r w:rsidR="00EA74D4">
        <w:t xml:space="preserve"> </w:t>
      </w:r>
    </w:p>
    <w:p w:rsidR="00753798" w:rsidRDefault="00753798" w:rsidP="00C85D52">
      <w:pPr>
        <w:spacing w:line="240" w:lineRule="auto"/>
      </w:pPr>
    </w:p>
    <w:p w:rsidR="00BB2AC4" w:rsidRDefault="00576DE6" w:rsidP="00C85D52">
      <w:pPr>
        <w:spacing w:line="240" w:lineRule="auto"/>
        <w:rPr>
          <w:vertAlign w:val="subscript"/>
        </w:rPr>
      </w:pPr>
      <m:oMathPara>
        <m:oMath>
          <m:acc>
            <m:accPr>
              <m:ctrlPr>
                <w:rPr>
                  <w:rFonts w:ascii="Cambria Math" w:hAnsi="Cambria Math"/>
                  <w:i/>
                  <w:vertAlign w:val="subscript"/>
                </w:rPr>
              </m:ctrlPr>
            </m:accPr>
            <m:e>
              <m:r>
                <w:rPr>
                  <w:rFonts w:ascii="Cambria Math" w:hAnsi="Cambria Math"/>
                  <w:vertAlign w:val="subscript"/>
                </w:rPr>
                <m:t>Y</m:t>
              </m:r>
            </m:e>
          </m:acc>
          <m:r>
            <w:rPr>
              <w:rFonts w:ascii="Cambria Math" w:hAnsi="Cambria Math"/>
              <w:vertAlign w:val="subscript"/>
            </w:rPr>
            <m:t xml:space="preserve">= </m:t>
          </m:r>
          <m:nary>
            <m:naryPr>
              <m:chr m:val="∑"/>
              <m:limLoc m:val="undOvr"/>
              <m:ctrlPr>
                <w:rPr>
                  <w:rFonts w:ascii="Cambria Math" w:hAnsi="Cambria Math"/>
                  <w:i/>
                  <w:vertAlign w:val="subscript"/>
                </w:rPr>
              </m:ctrlPr>
            </m:naryPr>
            <m:sub>
              <m:r>
                <w:rPr>
                  <w:rFonts w:ascii="Cambria Math" w:hAnsi="Cambria Math"/>
                  <w:vertAlign w:val="subscript"/>
                </w:rPr>
                <m:t>h=</m:t>
              </m:r>
              <m:r>
                <w:rPr>
                  <w:rFonts w:ascii="Cambria Math" w:hAnsi="Cambria Math"/>
                  <w:vertAlign w:val="subscript"/>
                </w:rPr>
                <m:t>1</m:t>
              </m:r>
            </m:sub>
            <m:sup>
              <m:r>
                <w:rPr>
                  <w:rFonts w:ascii="Cambria Math" w:hAnsi="Cambria Math"/>
                  <w:vertAlign w:val="subscript"/>
                </w:rPr>
                <m:t>H</m:t>
              </m:r>
            </m:sup>
            <m:e>
              <m:nary>
                <m:naryPr>
                  <m:chr m:val="∑"/>
                  <m:limLoc m:val="undOvr"/>
                  <m:ctrlPr>
                    <w:rPr>
                      <w:rFonts w:ascii="Cambria Math" w:hAnsi="Cambria Math"/>
                      <w:i/>
                      <w:vertAlign w:val="subscript"/>
                    </w:rPr>
                  </m:ctrlPr>
                </m:naryPr>
                <m:sub>
                  <m:r>
                    <w:rPr>
                      <w:rFonts w:ascii="Cambria Math" w:hAnsi="Cambria Math"/>
                      <w:vertAlign w:val="subscript"/>
                    </w:rPr>
                    <m:t>i=1</m:t>
                  </m:r>
                </m:sub>
                <m:sup>
                  <m:sSub>
                    <m:sSubPr>
                      <m:ctrlPr>
                        <w:rPr>
                          <w:rFonts w:ascii="Cambria Math" w:hAnsi="Cambria Math"/>
                          <w:i/>
                          <w:vertAlign w:val="subscript"/>
                        </w:rPr>
                      </m:ctrlPr>
                    </m:sSubPr>
                    <m:e>
                      <m:r>
                        <w:rPr>
                          <w:rFonts w:ascii="Cambria Math" w:hAnsi="Cambria Math"/>
                          <w:vertAlign w:val="subscript"/>
                        </w:rPr>
                        <m:t>n</m:t>
                      </m:r>
                    </m:e>
                    <m:sub>
                      <m:r>
                        <w:rPr>
                          <w:rFonts w:ascii="Cambria Math" w:hAnsi="Cambria Math"/>
                          <w:vertAlign w:val="subscript"/>
                        </w:rPr>
                        <m:t>h</m:t>
                      </m:r>
                    </m:sub>
                  </m:sSub>
                </m:sup>
                <m:e>
                  <m:nary>
                    <m:naryPr>
                      <m:chr m:val="∑"/>
                      <m:limLoc m:val="undOvr"/>
                      <m:ctrlPr>
                        <w:rPr>
                          <w:rFonts w:ascii="Cambria Math" w:hAnsi="Cambria Math"/>
                          <w:i/>
                          <w:vertAlign w:val="subscript"/>
                        </w:rPr>
                      </m:ctrlPr>
                    </m:naryPr>
                    <m:sub>
                      <m:r>
                        <w:rPr>
                          <w:rFonts w:ascii="Cambria Math" w:hAnsi="Cambria Math"/>
                          <w:vertAlign w:val="subscript"/>
                        </w:rPr>
                        <m:t>j=1</m:t>
                      </m:r>
                    </m:sub>
                    <m:sup>
                      <m:sSub>
                        <m:sSubPr>
                          <m:ctrlPr>
                            <w:rPr>
                              <w:rFonts w:ascii="Cambria Math" w:hAnsi="Cambria Math"/>
                              <w:i/>
                              <w:vertAlign w:val="subscript"/>
                            </w:rPr>
                          </m:ctrlPr>
                        </m:sSubPr>
                        <m:e>
                          <m:r>
                            <w:rPr>
                              <w:rFonts w:ascii="Cambria Math" w:hAnsi="Cambria Math"/>
                              <w:vertAlign w:val="subscript"/>
                            </w:rPr>
                            <m:t>m</m:t>
                          </m:r>
                        </m:e>
                        <m:sub>
                          <m:r>
                            <w:rPr>
                              <w:rFonts w:ascii="Cambria Math" w:hAnsi="Cambria Math"/>
                              <w:vertAlign w:val="subscript"/>
                            </w:rPr>
                            <m:t>hi</m:t>
                          </m:r>
                        </m:sub>
                      </m:sSub>
                    </m:sup>
                    <m:e>
                      <m:sSubSup>
                        <m:sSubSupPr>
                          <m:ctrlPr>
                            <w:rPr>
                              <w:rFonts w:ascii="Cambria Math" w:hAnsi="Cambria Math"/>
                              <w:i/>
                              <w:vertAlign w:val="subscript"/>
                            </w:rPr>
                          </m:ctrlPr>
                        </m:sSubSupPr>
                        <m:e>
                          <m:r>
                            <w:rPr>
                              <w:rFonts w:ascii="Cambria Math" w:hAnsi="Cambria Math"/>
                              <w:vertAlign w:val="subscript"/>
                            </w:rPr>
                            <m:t>ω</m:t>
                          </m:r>
                        </m:e>
                        <m:sub>
                          <m:r>
                            <w:rPr>
                              <w:rFonts w:ascii="Cambria Math" w:hAnsi="Cambria Math"/>
                              <w:vertAlign w:val="subscript"/>
                            </w:rPr>
                            <m:t>hij</m:t>
                          </m:r>
                        </m:sub>
                        <m:sup>
                          <m:r>
                            <w:rPr>
                              <w:rFonts w:ascii="Cambria Math" w:hAnsi="Cambria Math"/>
                              <w:vertAlign w:val="subscript"/>
                            </w:rPr>
                            <m:t>*</m:t>
                          </m:r>
                        </m:sup>
                      </m:sSubSup>
                      <m:sSub>
                        <m:sSubPr>
                          <m:ctrlPr>
                            <w:rPr>
                              <w:rFonts w:ascii="Cambria Math" w:hAnsi="Cambria Math"/>
                              <w:i/>
                              <w:vertAlign w:val="subscript"/>
                            </w:rPr>
                          </m:ctrlPr>
                        </m:sSubPr>
                        <m:e>
                          <m:r>
                            <w:rPr>
                              <w:rFonts w:ascii="Cambria Math" w:hAnsi="Cambria Math"/>
                              <w:vertAlign w:val="subscript"/>
                            </w:rPr>
                            <m:t>y</m:t>
                          </m:r>
                        </m:e>
                        <m:sub>
                          <m:r>
                            <w:rPr>
                              <w:rFonts w:ascii="Cambria Math" w:hAnsi="Cambria Math"/>
                              <w:vertAlign w:val="subscript"/>
                            </w:rPr>
                            <m:t>hij</m:t>
                          </m:r>
                        </m:sub>
                      </m:sSub>
                    </m:e>
                  </m:nary>
                </m:e>
              </m:nary>
            </m:e>
          </m:nary>
          <m:r>
            <w:rPr>
              <w:rFonts w:ascii="Cambria Math" w:hAnsi="Cambria Math"/>
              <w:vertAlign w:val="subscript"/>
            </w:rPr>
            <m:t xml:space="preserve"> </m:t>
          </m:r>
          <m:r>
            <m:rPr>
              <m:sty m:val="p"/>
            </m:rPr>
            <w:rPr>
              <w:vertAlign w:val="subscript"/>
            </w:rPr>
            <w:br/>
          </m:r>
        </m:oMath>
      </m:oMathPara>
    </w:p>
    <w:p w:rsidR="005908B6" w:rsidRPr="005908B6" w:rsidRDefault="005908B6" w:rsidP="005908B6">
      <w:pPr>
        <w:spacing w:line="240" w:lineRule="auto"/>
      </w:pPr>
      <w:proofErr w:type="gramStart"/>
      <w:r>
        <w:t>where</w:t>
      </w:r>
      <w:proofErr w:type="gramEnd"/>
      <w:r>
        <w:t xml:space="preserve"> </w:t>
      </w:r>
      <m:oMath>
        <m:sSubSup>
          <m:sSubSupPr>
            <m:ctrlPr>
              <w:rPr>
                <w:rFonts w:ascii="Cambria Math" w:hAnsi="Cambria Math"/>
                <w:i/>
                <w:vertAlign w:val="subscript"/>
              </w:rPr>
            </m:ctrlPr>
          </m:sSubSupPr>
          <m:e>
            <m:r>
              <w:rPr>
                <w:rFonts w:ascii="Cambria Math" w:hAnsi="Cambria Math"/>
                <w:vertAlign w:val="subscript"/>
              </w:rPr>
              <m:t>ω</m:t>
            </m:r>
          </m:e>
          <m:sub>
            <m:r>
              <w:rPr>
                <w:rFonts w:ascii="Cambria Math" w:hAnsi="Cambria Math"/>
                <w:vertAlign w:val="subscript"/>
              </w:rPr>
              <m:t>hij</m:t>
            </m:r>
          </m:sub>
          <m:sup>
            <m:r>
              <w:rPr>
                <w:rFonts w:ascii="Cambria Math" w:hAnsi="Cambria Math"/>
                <w:vertAlign w:val="subscript"/>
              </w:rPr>
              <m:t>*</m:t>
            </m:r>
          </m:sup>
        </m:sSubSup>
      </m:oMath>
      <w:r>
        <w:rPr>
          <w:vertAlign w:val="subscript"/>
        </w:rPr>
        <w:t xml:space="preserve"> </w:t>
      </w:r>
      <w:r>
        <w:t xml:space="preserve">and </w:t>
      </w:r>
      <m:oMath>
        <m:sSub>
          <m:sSubPr>
            <m:ctrlPr>
              <w:rPr>
                <w:rFonts w:ascii="Cambria Math" w:hAnsi="Cambria Math"/>
                <w:i/>
                <w:vertAlign w:val="subscript"/>
              </w:rPr>
            </m:ctrlPr>
          </m:sSubPr>
          <m:e>
            <m:r>
              <w:rPr>
                <w:rFonts w:ascii="Cambria Math" w:hAnsi="Cambria Math"/>
                <w:vertAlign w:val="subscript"/>
              </w:rPr>
              <m:t>y</m:t>
            </m:r>
          </m:e>
          <m:sub>
            <m:r>
              <w:rPr>
                <w:rFonts w:ascii="Cambria Math" w:hAnsi="Cambria Math"/>
                <w:vertAlign w:val="subscript"/>
              </w:rPr>
              <m:t>hij</m:t>
            </m:r>
          </m:sub>
        </m:sSub>
      </m:oMath>
      <w:r>
        <w:rPr>
          <w:vertAlign w:val="subscript"/>
        </w:rPr>
        <w:t xml:space="preserve"> </w:t>
      </w:r>
      <w:r>
        <w:t>are the final weight and reported number of recreational fishing trips</w:t>
      </w:r>
      <w:r w:rsidR="007B7976">
        <w:t>, respectfully,</w:t>
      </w:r>
      <w:r>
        <w:t xml:space="preserve"> for unit </w:t>
      </w:r>
      <w:r w:rsidRPr="007B7976">
        <w:rPr>
          <w:i/>
        </w:rPr>
        <w:t>j</w:t>
      </w:r>
      <w:r>
        <w:t xml:space="preserve"> </w:t>
      </w:r>
      <w:r w:rsidR="002E026A">
        <w:t>at address</w:t>
      </w:r>
      <w:r>
        <w:t xml:space="preserve"> </w:t>
      </w:r>
      <w:proofErr w:type="spellStart"/>
      <w:r w:rsidRPr="007B7976">
        <w:rPr>
          <w:i/>
        </w:rPr>
        <w:t>i</w:t>
      </w:r>
      <w:proofErr w:type="spellEnd"/>
      <w:r>
        <w:t xml:space="preserve"> of stratum </w:t>
      </w:r>
      <w:r w:rsidRPr="007B7976">
        <w:rPr>
          <w:i/>
        </w:rPr>
        <w:t>h</w:t>
      </w:r>
      <w:r>
        <w:t>.</w:t>
      </w:r>
    </w:p>
    <w:p w:rsidR="005908B6" w:rsidRDefault="005908B6" w:rsidP="00C85D52">
      <w:pPr>
        <w:spacing w:line="240" w:lineRule="auto"/>
        <w:rPr>
          <w:vertAlign w:val="subscript"/>
        </w:rPr>
      </w:pPr>
    </w:p>
    <w:p w:rsidR="009A2775" w:rsidRDefault="00EA74D4" w:rsidP="00C85D52">
      <w:pPr>
        <w:spacing w:line="240" w:lineRule="auto"/>
      </w:pPr>
      <w:r>
        <w:t xml:space="preserve">Variance of the total </w:t>
      </w:r>
      <w:r w:rsidR="00992E02">
        <w:t xml:space="preserve">effort estimate </w:t>
      </w:r>
      <w:r>
        <w:t xml:space="preserve">is estimated using the Taylor </w:t>
      </w:r>
      <w:r w:rsidR="00992E02">
        <w:t>s</w:t>
      </w:r>
      <w:r>
        <w:t xml:space="preserve">eries </w:t>
      </w:r>
      <w:r w:rsidR="00992E02">
        <w:t>m</w:t>
      </w:r>
      <w:r>
        <w:t xml:space="preserve">ethod </w:t>
      </w:r>
    </w:p>
    <w:p w:rsidR="00125816" w:rsidRDefault="00125816" w:rsidP="00C85D52">
      <w:pPr>
        <w:spacing w:line="240" w:lineRule="auto"/>
      </w:pPr>
    </w:p>
    <w:p w:rsidR="00125816" w:rsidRDefault="00576DE6" w:rsidP="00C85D52">
      <w:pPr>
        <w:spacing w:line="240" w:lineRule="auto"/>
      </w:pPr>
      <m:oMathPara>
        <m:oMath>
          <m:acc>
            <m:accPr>
              <m:ctrlPr>
                <w:rPr>
                  <w:rFonts w:ascii="Cambria Math" w:hAnsi="Cambria Math"/>
                  <w:i/>
                </w:rPr>
              </m:ctrlPr>
            </m:accPr>
            <m:e>
              <m:r>
                <w:rPr>
                  <w:rFonts w:ascii="Cambria Math" w:hAnsi="Cambria Math"/>
                </w:rPr>
                <m:t>V</m:t>
              </m:r>
            </m:e>
          </m:acc>
          <m:d>
            <m:dPr>
              <m:ctrlPr>
                <w:rPr>
                  <w:rFonts w:ascii="Cambria Math" w:hAnsi="Cambria Math"/>
                  <w:i/>
                </w:rPr>
              </m:ctrlPr>
            </m:dPr>
            <m:e>
              <m:acc>
                <m:accPr>
                  <m:ctrlPr>
                    <w:rPr>
                      <w:rFonts w:ascii="Cambria Math" w:hAnsi="Cambria Math"/>
                      <w:i/>
                    </w:rPr>
                  </m:ctrlPr>
                </m:accPr>
                <m:e>
                  <m:r>
                    <w:rPr>
                      <w:rFonts w:ascii="Cambria Math" w:hAnsi="Cambria Math"/>
                    </w:rPr>
                    <m:t>Y</m:t>
                  </m:r>
                </m:e>
              </m:acc>
            </m:e>
          </m:d>
          <m:r>
            <w:rPr>
              <w:rFonts w:ascii="Cambria Math" w:hAnsi="Cambria Math"/>
            </w:rPr>
            <m:t>=</m:t>
          </m:r>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H</m:t>
              </m:r>
            </m:sup>
            <m:e>
              <m:sSub>
                <m:sSubPr>
                  <m:ctrlPr>
                    <w:rPr>
                      <w:rFonts w:ascii="Cambria Math" w:hAnsi="Cambria Math"/>
                      <w:i/>
                    </w:rPr>
                  </m:ctrlPr>
                </m:sSubPr>
                <m:e>
                  <m:acc>
                    <m:accPr>
                      <m:ctrlPr>
                        <w:rPr>
                          <w:rFonts w:ascii="Cambria Math" w:hAnsi="Cambria Math"/>
                          <w:i/>
                        </w:rPr>
                      </m:ctrlPr>
                    </m:accPr>
                    <m:e>
                      <m:r>
                        <w:rPr>
                          <w:rFonts w:ascii="Cambria Math" w:hAnsi="Cambria Math"/>
                        </w:rPr>
                        <m:t>V</m:t>
                      </m:r>
                    </m:e>
                  </m:acc>
                </m:e>
                <m:sub>
                  <m:r>
                    <w:rPr>
                      <w:rFonts w:ascii="Cambria Math" w:hAnsi="Cambria Math"/>
                    </w:rPr>
                    <m:t>h</m:t>
                  </m:r>
                </m:sub>
              </m:sSub>
              <m:r>
                <w:rPr>
                  <w:rFonts w:ascii="Cambria Math" w:hAnsi="Cambria Math"/>
                </w:rPr>
                <m:t>(</m:t>
              </m:r>
              <m:acc>
                <m:accPr>
                  <m:ctrlPr>
                    <w:rPr>
                      <w:rFonts w:ascii="Cambria Math" w:hAnsi="Cambria Math"/>
                      <w:i/>
                    </w:rPr>
                  </m:ctrlPr>
                </m:accPr>
                <m:e>
                  <m:r>
                    <w:rPr>
                      <w:rFonts w:ascii="Cambria Math" w:hAnsi="Cambria Math"/>
                    </w:rPr>
                    <m:t>Y</m:t>
                  </m:r>
                </m:e>
              </m:acc>
              <m:r>
                <w:rPr>
                  <w:rFonts w:ascii="Cambria Math" w:hAnsi="Cambria Math"/>
                </w:rPr>
                <m:t>)</m:t>
              </m:r>
            </m:e>
          </m:nary>
        </m:oMath>
      </m:oMathPara>
    </w:p>
    <w:p w:rsidR="00125816" w:rsidRDefault="00125816" w:rsidP="00C85D52">
      <w:pPr>
        <w:spacing w:line="240" w:lineRule="auto"/>
      </w:pPr>
    </w:p>
    <w:p w:rsidR="00125816" w:rsidRDefault="00125816" w:rsidP="00C85D52">
      <w:pPr>
        <w:spacing w:line="240" w:lineRule="auto"/>
      </w:pPr>
      <w:proofErr w:type="gramStart"/>
      <w:r>
        <w:t>where</w:t>
      </w:r>
      <w:proofErr w:type="gramEnd"/>
    </w:p>
    <w:p w:rsidR="00125816" w:rsidRDefault="00125816" w:rsidP="00C85D52">
      <w:pPr>
        <w:spacing w:line="240" w:lineRule="auto"/>
      </w:pPr>
    </w:p>
    <w:p w:rsidR="00125816" w:rsidRDefault="00576DE6" w:rsidP="00C85D52">
      <w:pPr>
        <w:spacing w:line="240" w:lineRule="auto"/>
      </w:pPr>
      <m:oMathPara>
        <m:oMath>
          <m:sSub>
            <m:sSubPr>
              <m:ctrlPr>
                <w:rPr>
                  <w:rFonts w:ascii="Cambria Math" w:hAnsi="Cambria Math"/>
                  <w:i/>
                </w:rPr>
              </m:ctrlPr>
            </m:sSubPr>
            <m:e>
              <m:acc>
                <m:accPr>
                  <m:ctrlPr>
                    <w:rPr>
                      <w:rFonts w:ascii="Cambria Math" w:hAnsi="Cambria Math"/>
                      <w:i/>
                    </w:rPr>
                  </m:ctrlPr>
                </m:accPr>
                <m:e>
                  <m:r>
                    <w:rPr>
                      <w:rFonts w:ascii="Cambria Math" w:hAnsi="Cambria Math"/>
                    </w:rPr>
                    <m:t>V</m:t>
                  </m:r>
                </m:e>
              </m:acc>
            </m:e>
            <m:sub>
              <m:r>
                <w:rPr>
                  <w:rFonts w:ascii="Cambria Math" w:hAnsi="Cambria Math"/>
                </w:rPr>
                <m:t>h</m:t>
              </m:r>
            </m:sub>
          </m:sSub>
          <m:d>
            <m:dPr>
              <m:ctrlPr>
                <w:rPr>
                  <w:rFonts w:ascii="Cambria Math" w:hAnsi="Cambria Math"/>
                  <w:i/>
                </w:rPr>
              </m:ctrlPr>
            </m:dPr>
            <m:e>
              <m:acc>
                <m:accPr>
                  <m:ctrlPr>
                    <w:rPr>
                      <w:rFonts w:ascii="Cambria Math" w:hAnsi="Cambria Math"/>
                      <w:i/>
                    </w:rPr>
                  </m:ctrlPr>
                </m:accPr>
                <m:e>
                  <m:r>
                    <w:rPr>
                      <w:rFonts w:ascii="Cambria Math" w:hAnsi="Cambria Math"/>
                    </w:rPr>
                    <m:t>Y</m:t>
                  </m:r>
                </m:e>
              </m:acc>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h</m:t>
                  </m:r>
                </m:sub>
              </m:sSub>
              <m:r>
                <w:rPr>
                  <w:rFonts w:ascii="Cambria Math" w:hAnsi="Cambria Math"/>
                </w:rPr>
                <m:t>(1-</m:t>
              </m:r>
              <m:sSub>
                <m:sSubPr>
                  <m:ctrlPr>
                    <w:rPr>
                      <w:rFonts w:ascii="Cambria Math" w:hAnsi="Cambria Math"/>
                      <w:i/>
                    </w:rPr>
                  </m:ctrlPr>
                </m:sSubPr>
                <m:e>
                  <m:r>
                    <w:rPr>
                      <w:rFonts w:ascii="Cambria Math" w:hAnsi="Cambria Math"/>
                    </w:rPr>
                    <m:t>f</m:t>
                  </m:r>
                </m:e>
                <m:sub>
                  <m:r>
                    <w:rPr>
                      <w:rFonts w:ascii="Cambria Math" w:hAnsi="Cambria Math"/>
                    </w:rPr>
                    <m:t>h</m:t>
                  </m:r>
                </m:sub>
              </m:sSub>
              <m:r>
                <w:rPr>
                  <w:rFonts w:ascii="Cambria Math" w:hAnsi="Cambria Math"/>
                </w:rPr>
                <m:t>)</m:t>
              </m:r>
            </m:num>
            <m:den>
              <m:sSub>
                <m:sSubPr>
                  <m:ctrlPr>
                    <w:rPr>
                      <w:rFonts w:ascii="Cambria Math" w:hAnsi="Cambria Math"/>
                      <w:i/>
                    </w:rPr>
                  </m:ctrlPr>
                </m:sSubPr>
                <m:e>
                  <m:r>
                    <w:rPr>
                      <w:rFonts w:ascii="Cambria Math" w:hAnsi="Cambria Math"/>
                    </w:rPr>
                    <m:t>n</m:t>
                  </m:r>
                </m:e>
                <m:sub>
                  <m:r>
                    <w:rPr>
                      <w:rFonts w:ascii="Cambria Math" w:hAnsi="Cambria Math"/>
                    </w:rPr>
                    <m:t>h</m:t>
                  </m:r>
                </m:sub>
              </m:sSub>
              <m:r>
                <w:rPr>
                  <w:rFonts w:ascii="Cambria Math" w:hAnsi="Cambria Math"/>
                </w:rPr>
                <m:t>-1</m:t>
              </m:r>
            </m:den>
          </m:f>
          <m:nary>
            <m:naryPr>
              <m:chr m:val="∑"/>
              <m:limLoc m:val="undOvr"/>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hi∙</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h∙∙</m:t>
                      </m:r>
                    </m:sub>
                  </m:sSub>
                  <m:r>
                    <w:rPr>
                      <w:rFonts w:ascii="Cambria Math" w:hAnsi="Cambria Math"/>
                    </w:rPr>
                    <m:t>)</m:t>
                  </m:r>
                </m:e>
                <m:sup>
                  <m:r>
                    <w:rPr>
                      <w:rFonts w:ascii="Cambria Math" w:hAnsi="Cambria Math"/>
                    </w:rPr>
                    <m:t>2</m:t>
                  </m:r>
                </m:sup>
              </m:sSup>
            </m:e>
          </m:nary>
        </m:oMath>
      </m:oMathPara>
    </w:p>
    <w:p w:rsidR="00125816" w:rsidRDefault="00125816" w:rsidP="00C85D52">
      <w:pPr>
        <w:spacing w:line="240" w:lineRule="auto"/>
      </w:pPr>
    </w:p>
    <w:p w:rsidR="00051231" w:rsidRDefault="00576DE6" w:rsidP="00C85D52">
      <w:pPr>
        <w:spacing w:line="240" w:lineRule="auto"/>
      </w:pPr>
      <m:oMathPara>
        <m:oMath>
          <m:sSub>
            <m:sSubPr>
              <m:ctrlPr>
                <w:rPr>
                  <w:rFonts w:ascii="Cambria Math" w:hAnsi="Cambria Math"/>
                  <w:i/>
                </w:rPr>
              </m:ctrlPr>
            </m:sSubPr>
            <m:e>
              <m:r>
                <w:rPr>
                  <w:rFonts w:ascii="Cambria Math" w:hAnsi="Cambria Math"/>
                </w:rPr>
                <m:t>y</m:t>
              </m:r>
            </m:e>
            <m:sub>
              <m:r>
                <w:rPr>
                  <w:rFonts w:ascii="Cambria Math" w:hAnsi="Cambria Math"/>
                </w:rPr>
                <m:t>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sSub>
                <m:sSubPr>
                  <m:ctrlPr>
                    <w:rPr>
                      <w:rFonts w:ascii="Cambria Math" w:hAnsi="Cambria Math"/>
                      <w:i/>
                    </w:rPr>
                  </m:ctrlPr>
                </m:sSubPr>
                <m:e>
                  <m:r>
                    <w:rPr>
                      <w:rFonts w:ascii="Cambria Math" w:hAnsi="Cambria Math"/>
                    </w:rPr>
                    <m:t>m</m:t>
                  </m:r>
                </m:e>
                <m:sub>
                  <m:r>
                    <w:rPr>
                      <w:rFonts w:ascii="Cambria Math" w:hAnsi="Cambria Math"/>
                    </w:rPr>
                    <m:t>hi</m:t>
                  </m:r>
                </m:sub>
              </m:sSub>
            </m:sup>
            <m:e>
              <m:sSubSup>
                <m:sSubSupPr>
                  <m:ctrlPr>
                    <w:rPr>
                      <w:rFonts w:ascii="Cambria Math" w:hAnsi="Cambria Math"/>
                      <w:i/>
                    </w:rPr>
                  </m:ctrlPr>
                </m:sSubSupPr>
                <m:e>
                  <m:r>
                    <w:rPr>
                      <w:rFonts w:ascii="Cambria Math" w:hAnsi="Cambria Math"/>
                    </w:rPr>
                    <m:t>w</m:t>
                  </m:r>
                </m:e>
                <m:sub>
                  <m:r>
                    <w:rPr>
                      <w:rFonts w:ascii="Cambria Math" w:hAnsi="Cambria Math"/>
                    </w:rPr>
                    <m:t>hij</m:t>
                  </m:r>
                </m:sub>
                <m:sup>
                  <m:r>
                    <w:rPr>
                      <w:rFonts w:ascii="Cambria Math" w:hAnsi="Cambria Math"/>
                    </w:rPr>
                    <m:t>*</m:t>
                  </m:r>
                </m:sup>
              </m:sSubSup>
            </m:e>
          </m:nary>
          <m:sSub>
            <m:sSubPr>
              <m:ctrlPr>
                <w:rPr>
                  <w:rFonts w:ascii="Cambria Math" w:hAnsi="Cambria Math"/>
                  <w:i/>
                </w:rPr>
              </m:ctrlPr>
            </m:sSubPr>
            <m:e>
              <m:r>
                <w:rPr>
                  <w:rFonts w:ascii="Cambria Math" w:hAnsi="Cambria Math"/>
                </w:rPr>
                <m:t>y</m:t>
              </m:r>
            </m:e>
            <m:sub>
              <m:r>
                <w:rPr>
                  <w:rFonts w:ascii="Cambria Math" w:hAnsi="Cambria Math"/>
                </w:rPr>
                <m:t>hij</m:t>
              </m:r>
            </m:sub>
          </m:sSub>
        </m:oMath>
      </m:oMathPara>
    </w:p>
    <w:p w:rsidR="00051231" w:rsidRDefault="00051231" w:rsidP="00C85D52">
      <w:pPr>
        <w:spacing w:line="240" w:lineRule="auto"/>
      </w:pPr>
    </w:p>
    <w:p w:rsidR="00051231" w:rsidRDefault="00576DE6" w:rsidP="00C85D52">
      <w:pPr>
        <w:spacing w:line="240" w:lineRule="auto"/>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h∙∙</m:t>
              </m:r>
            </m:sub>
          </m:sSub>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sSub>
                    <m:sSubPr>
                      <m:ctrlPr>
                        <w:rPr>
                          <w:rFonts w:ascii="Cambria Math" w:hAnsi="Cambria Math"/>
                          <w:i/>
                        </w:rPr>
                      </m:ctrlPr>
                    </m:sSubPr>
                    <m:e>
                      <m:r>
                        <w:rPr>
                          <w:rFonts w:ascii="Cambria Math" w:hAnsi="Cambria Math"/>
                        </w:rPr>
                        <m:t>y</m:t>
                      </m:r>
                    </m:e>
                    <m:sub>
                      <m:r>
                        <w:rPr>
                          <w:rFonts w:ascii="Cambria Math" w:hAnsi="Cambria Math"/>
                        </w:rPr>
                        <m:t>hi∙</m:t>
                      </m:r>
                    </m:sub>
                  </m:sSub>
                </m:e>
              </m:nary>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h</m:t>
              </m:r>
            </m:sub>
          </m:sSub>
        </m:oMath>
      </m:oMathPara>
    </w:p>
    <w:p w:rsidR="005D7772" w:rsidRDefault="005D7772" w:rsidP="00C85D52">
      <w:pPr>
        <w:spacing w:line="240" w:lineRule="auto"/>
      </w:pPr>
    </w:p>
    <w:p w:rsidR="005D7772" w:rsidRPr="00BB2AC4" w:rsidRDefault="00765182" w:rsidP="00C85D52">
      <w:pPr>
        <w:spacing w:line="240" w:lineRule="auto"/>
      </w:pPr>
      <w:r>
        <w:t xml:space="preserve">For estimating total fishing effort, we expect stratification to be more effective than simple random sampling due to the oversampling of coastal and licensed households.  Gains in efficiency will be offset somewhat by weighting effects, which will increase the variance of total effort estimates.  Given these two factors, we expect a design effect of approximately 1.1.  </w:t>
      </w:r>
    </w:p>
    <w:p w:rsidR="00BB2AC4" w:rsidRPr="00BB2AC4" w:rsidRDefault="00BB2AC4" w:rsidP="00C85D52">
      <w:pPr>
        <w:spacing w:line="240" w:lineRule="auto"/>
      </w:pPr>
    </w:p>
    <w:p w:rsidR="00B503CD" w:rsidRDefault="00B503CD" w:rsidP="00B503CD">
      <w:pPr>
        <w:pStyle w:val="CM2"/>
        <w:spacing w:line="240" w:lineRule="auto"/>
        <w:ind w:right="130"/>
        <w:rPr>
          <w:b/>
          <w:bCs/>
          <w:color w:val="000000"/>
        </w:rPr>
      </w:pPr>
      <w:r>
        <w:rPr>
          <w:b/>
          <w:bCs/>
          <w:color w:val="000000"/>
        </w:rPr>
        <w:t xml:space="preserve">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 </w:t>
      </w:r>
    </w:p>
    <w:p w:rsidR="00FB39B6" w:rsidRDefault="00A4338E" w:rsidP="00FB39B6">
      <w:pPr>
        <w:pStyle w:val="L1-FlLSp12"/>
        <w:spacing w:line="240" w:lineRule="auto"/>
        <w:rPr>
          <w:rFonts w:ascii="Times New Roman" w:hAnsi="Times New Roman"/>
        </w:rPr>
      </w:pPr>
      <w:r w:rsidRPr="00FB39B6">
        <w:rPr>
          <w:rFonts w:ascii="Times New Roman" w:hAnsi="Times New Roman"/>
        </w:rPr>
        <w:t>The expect</w:t>
      </w:r>
      <w:r w:rsidR="00FB39B6">
        <w:rPr>
          <w:rFonts w:ascii="Times New Roman" w:hAnsi="Times New Roman"/>
        </w:rPr>
        <w:t>ed</w:t>
      </w:r>
      <w:r w:rsidRPr="00FB39B6">
        <w:rPr>
          <w:rFonts w:ascii="Times New Roman" w:hAnsi="Times New Roman"/>
        </w:rPr>
        <w:t xml:space="preserve"> response rates for</w:t>
      </w:r>
      <w:r w:rsidR="00B17CF7">
        <w:rPr>
          <w:rFonts w:ascii="Times New Roman" w:hAnsi="Times New Roman"/>
        </w:rPr>
        <w:t xml:space="preserve"> the RAS and NAS are 48% and 60</w:t>
      </w:r>
      <w:r w:rsidRPr="00FB39B6">
        <w:rPr>
          <w:rFonts w:ascii="Times New Roman" w:hAnsi="Times New Roman"/>
        </w:rPr>
        <w:t xml:space="preserve">%, respectively.  </w:t>
      </w:r>
      <w:r w:rsidR="00FB39B6">
        <w:rPr>
          <w:rFonts w:ascii="Times New Roman" w:hAnsi="Times New Roman"/>
        </w:rPr>
        <w:t xml:space="preserve">Previous MRIP pilot studies utilized similar data collection procedures and achieved similar response rates.  </w:t>
      </w:r>
    </w:p>
    <w:p w:rsidR="00FB39B6" w:rsidRDefault="00FB39B6" w:rsidP="00FB39B6">
      <w:pPr>
        <w:pStyle w:val="L1-FlLSp12"/>
        <w:spacing w:line="240" w:lineRule="auto"/>
        <w:rPr>
          <w:rFonts w:ascii="Times New Roman" w:hAnsi="Times New Roman"/>
        </w:rPr>
      </w:pPr>
    </w:p>
    <w:p w:rsidR="00E1509B" w:rsidRDefault="00FB39B6" w:rsidP="00FB39B6">
      <w:pPr>
        <w:pStyle w:val="L1-FlLSp12"/>
        <w:spacing w:line="240" w:lineRule="auto"/>
        <w:rPr>
          <w:rFonts w:ascii="Times New Roman" w:hAnsi="Times New Roman"/>
        </w:rPr>
      </w:pPr>
      <w:r>
        <w:rPr>
          <w:rFonts w:ascii="Times New Roman" w:hAnsi="Times New Roman"/>
        </w:rPr>
        <w:t>The expected response rates will be achieved by using s</w:t>
      </w:r>
      <w:r w:rsidR="00B503CD" w:rsidRPr="00FB39B6">
        <w:rPr>
          <w:rFonts w:ascii="Times New Roman" w:hAnsi="Times New Roman"/>
        </w:rPr>
        <w:t>tandard mail survey protocol</w:t>
      </w:r>
      <w:r w:rsidR="00FE7A62">
        <w:rPr>
          <w:rFonts w:ascii="Times New Roman" w:hAnsi="Times New Roman"/>
        </w:rPr>
        <w:t>s</w:t>
      </w:r>
      <w:r w:rsidR="00B503CD" w:rsidRPr="00FB39B6">
        <w:rPr>
          <w:rFonts w:ascii="Times New Roman" w:hAnsi="Times New Roman"/>
        </w:rPr>
        <w:t xml:space="preserve"> (Dillman et al, 2008).  An initial mailing will include an introductory letter stating the purpose of the survey, the survey questionnaire, a business reply envelope, and a prepaid cash incentive.  Incentive levels of $0, $1, $2 and $5 will be evaluated.  </w:t>
      </w:r>
      <w:r w:rsidR="002B61F6" w:rsidRPr="00FB39B6">
        <w:rPr>
          <w:rFonts w:ascii="Times New Roman" w:hAnsi="Times New Roman"/>
        </w:rPr>
        <w:t xml:space="preserve">Either a </w:t>
      </w:r>
      <w:r w:rsidR="00B503CD" w:rsidRPr="00FB39B6">
        <w:rPr>
          <w:rFonts w:ascii="Times New Roman" w:hAnsi="Times New Roman"/>
        </w:rPr>
        <w:t xml:space="preserve">thank-you/reminder postcard </w:t>
      </w:r>
      <w:r w:rsidR="002B61F6" w:rsidRPr="00FB39B6">
        <w:rPr>
          <w:rFonts w:ascii="Times New Roman" w:hAnsi="Times New Roman"/>
        </w:rPr>
        <w:t>or automated voice message will</w:t>
      </w:r>
      <w:r w:rsidR="00B503CD" w:rsidRPr="00FB39B6">
        <w:rPr>
          <w:rFonts w:ascii="Times New Roman" w:hAnsi="Times New Roman"/>
        </w:rPr>
        <w:t xml:space="preserve"> be </w:t>
      </w:r>
      <w:r w:rsidR="002B61F6" w:rsidRPr="00FB39B6">
        <w:rPr>
          <w:rFonts w:ascii="Times New Roman" w:hAnsi="Times New Roman"/>
        </w:rPr>
        <w:t>administered</w:t>
      </w:r>
      <w:r w:rsidR="00B503CD" w:rsidRPr="00FB39B6">
        <w:rPr>
          <w:rFonts w:ascii="Times New Roman" w:hAnsi="Times New Roman"/>
        </w:rPr>
        <w:t xml:space="preserve"> to all sample units one week following the initial mailing.  A final mailing, including a second questionnaire, a nonresponse conversion letter, and a business reply envelope will be sent to all </w:t>
      </w:r>
      <w:proofErr w:type="spellStart"/>
      <w:r w:rsidR="00B503CD" w:rsidRPr="00FB39B6">
        <w:rPr>
          <w:rFonts w:ascii="Times New Roman" w:hAnsi="Times New Roman"/>
        </w:rPr>
        <w:t>nonrespondents</w:t>
      </w:r>
      <w:proofErr w:type="spellEnd"/>
      <w:r w:rsidR="00B503CD" w:rsidRPr="00FB39B6">
        <w:rPr>
          <w:rFonts w:ascii="Times New Roman" w:hAnsi="Times New Roman"/>
        </w:rPr>
        <w:t xml:space="preserve"> three weeks after the initial mailing.  </w:t>
      </w:r>
    </w:p>
    <w:p w:rsidR="00E1509B" w:rsidRDefault="00E1509B" w:rsidP="00FB39B6">
      <w:pPr>
        <w:pStyle w:val="L1-FlLSp12"/>
        <w:spacing w:line="240" w:lineRule="auto"/>
        <w:rPr>
          <w:rFonts w:ascii="Times New Roman" w:hAnsi="Times New Roman"/>
        </w:rPr>
      </w:pPr>
    </w:p>
    <w:p w:rsidR="00A633E7" w:rsidRDefault="00A633E7" w:rsidP="00FB39B6">
      <w:pPr>
        <w:pStyle w:val="L1-FlLSp12"/>
        <w:spacing w:line="240" w:lineRule="auto"/>
        <w:rPr>
          <w:rFonts w:ascii="Times New Roman" w:hAnsi="Times New Roman"/>
        </w:rPr>
      </w:pPr>
      <w:r>
        <w:rPr>
          <w:rFonts w:ascii="Times New Roman" w:hAnsi="Times New Roman"/>
        </w:rPr>
        <w:t xml:space="preserve">We </w:t>
      </w:r>
      <w:r w:rsidR="00831BB3">
        <w:rPr>
          <w:rFonts w:ascii="Times New Roman" w:hAnsi="Times New Roman"/>
        </w:rPr>
        <w:t xml:space="preserve">will </w:t>
      </w:r>
      <w:r>
        <w:rPr>
          <w:rFonts w:ascii="Times New Roman" w:hAnsi="Times New Roman"/>
        </w:rPr>
        <w:t>minimize</w:t>
      </w:r>
      <w:r w:rsidR="009551A8">
        <w:rPr>
          <w:rFonts w:ascii="Times New Roman" w:hAnsi="Times New Roman"/>
        </w:rPr>
        <w:t xml:space="preserve"> </w:t>
      </w:r>
      <w:r>
        <w:rPr>
          <w:rFonts w:ascii="Times New Roman" w:hAnsi="Times New Roman"/>
        </w:rPr>
        <w:t>nonresponse bias by using a questionnaire that maximizes responses by the entire sample population</w:t>
      </w:r>
      <w:r w:rsidR="009551A8">
        <w:rPr>
          <w:rFonts w:ascii="Times New Roman" w:hAnsi="Times New Roman"/>
        </w:rPr>
        <w:t>, including both anglers and non-anglers</w:t>
      </w:r>
      <w:r>
        <w:rPr>
          <w:rFonts w:ascii="Times New Roman" w:hAnsi="Times New Roman"/>
        </w:rPr>
        <w:t xml:space="preserve">.  Experimental testing of different versions of the survey questionnaire is described in </w:t>
      </w:r>
      <w:r w:rsidR="002A48FE">
        <w:rPr>
          <w:rFonts w:ascii="Times New Roman" w:hAnsi="Times New Roman"/>
        </w:rPr>
        <w:t>Question 1, S</w:t>
      </w:r>
      <w:r>
        <w:rPr>
          <w:rFonts w:ascii="Times New Roman" w:hAnsi="Times New Roman"/>
        </w:rPr>
        <w:t>ection 1.4</w:t>
      </w:r>
      <w:r w:rsidR="00E40791">
        <w:rPr>
          <w:rFonts w:ascii="Times New Roman" w:hAnsi="Times New Roman"/>
        </w:rPr>
        <w:t>.</w:t>
      </w:r>
    </w:p>
    <w:p w:rsidR="00A633E7" w:rsidRDefault="00A633E7" w:rsidP="00FB39B6">
      <w:pPr>
        <w:pStyle w:val="L1-FlLSp12"/>
        <w:spacing w:line="240" w:lineRule="auto"/>
        <w:rPr>
          <w:rFonts w:ascii="Times New Roman" w:hAnsi="Times New Roman"/>
        </w:rPr>
      </w:pPr>
    </w:p>
    <w:p w:rsidR="00461B6C" w:rsidRDefault="00461B6C" w:rsidP="00FB39B6">
      <w:pPr>
        <w:pStyle w:val="L1-FlLSp12"/>
        <w:spacing w:line="240" w:lineRule="auto"/>
        <w:rPr>
          <w:rFonts w:ascii="Times New Roman" w:hAnsi="Times New Roman"/>
        </w:rPr>
      </w:pPr>
      <w:r>
        <w:rPr>
          <w:rFonts w:ascii="Times New Roman" w:hAnsi="Times New Roman"/>
        </w:rPr>
        <w:t xml:space="preserve">We will assess nonresponse bias in </w:t>
      </w:r>
      <w:r w:rsidR="006F4C46">
        <w:rPr>
          <w:rFonts w:ascii="Times New Roman" w:hAnsi="Times New Roman"/>
        </w:rPr>
        <w:t>three</w:t>
      </w:r>
      <w:r>
        <w:rPr>
          <w:rFonts w:ascii="Times New Roman" w:hAnsi="Times New Roman"/>
        </w:rPr>
        <w:t xml:space="preserve"> ways.  First, </w:t>
      </w:r>
      <w:r w:rsidR="00CA4795">
        <w:rPr>
          <w:rFonts w:ascii="Times New Roman" w:hAnsi="Times New Roman"/>
        </w:rPr>
        <w:t>we will compare early and late responders with respect to reported fishing activity.  This analysis will identify differences in respondents based upon the level of effort required to solicit a response.  Previous studies (Brick et al.</w:t>
      </w:r>
      <w:r w:rsidR="0091634E">
        <w:rPr>
          <w:rFonts w:ascii="Times New Roman" w:hAnsi="Times New Roman"/>
        </w:rPr>
        <w:t>,</w:t>
      </w:r>
      <w:r w:rsidR="00CA4795">
        <w:rPr>
          <w:rFonts w:ascii="Times New Roman" w:hAnsi="Times New Roman"/>
        </w:rPr>
        <w:t xml:space="preserve"> 2012) demonstrated that early and late responders </w:t>
      </w:r>
      <w:r w:rsidR="00023DE9">
        <w:rPr>
          <w:rFonts w:ascii="Times New Roman" w:hAnsi="Times New Roman"/>
        </w:rPr>
        <w:t>are</w:t>
      </w:r>
      <w:r w:rsidR="00CA4795">
        <w:rPr>
          <w:rFonts w:ascii="Times New Roman" w:hAnsi="Times New Roman"/>
        </w:rPr>
        <w:t xml:space="preserve"> similar in terms of reported recreational fishing activity.</w:t>
      </w:r>
    </w:p>
    <w:p w:rsidR="006F4C46" w:rsidRDefault="006F4C46" w:rsidP="00FB39B6">
      <w:pPr>
        <w:pStyle w:val="L1-FlLSp12"/>
        <w:spacing w:line="240" w:lineRule="auto"/>
        <w:rPr>
          <w:rFonts w:ascii="Times New Roman" w:hAnsi="Times New Roman"/>
        </w:rPr>
      </w:pPr>
    </w:p>
    <w:p w:rsidR="006F4C46" w:rsidRDefault="006F4C46" w:rsidP="00FB39B6">
      <w:pPr>
        <w:pStyle w:val="L1-FlLSp12"/>
        <w:spacing w:line="240" w:lineRule="auto"/>
        <w:rPr>
          <w:rFonts w:ascii="Times New Roman" w:hAnsi="Times New Roman"/>
        </w:rPr>
      </w:pPr>
      <w:r>
        <w:rPr>
          <w:rFonts w:ascii="Times New Roman" w:hAnsi="Times New Roman"/>
        </w:rPr>
        <w:t xml:space="preserve">The second approach will utilize information from </w:t>
      </w:r>
      <w:r w:rsidR="00B11734">
        <w:rPr>
          <w:rFonts w:ascii="Times New Roman" w:hAnsi="Times New Roman"/>
        </w:rPr>
        <w:t>sample frame</w:t>
      </w:r>
      <w:r>
        <w:rPr>
          <w:rFonts w:ascii="Times New Roman" w:hAnsi="Times New Roman"/>
        </w:rPr>
        <w:t xml:space="preserve"> to define weighting classes for </w:t>
      </w:r>
      <w:proofErr w:type="spellStart"/>
      <w:r>
        <w:rPr>
          <w:rFonts w:ascii="Times New Roman" w:hAnsi="Times New Roman"/>
        </w:rPr>
        <w:t>postsurvey</w:t>
      </w:r>
      <w:proofErr w:type="spellEnd"/>
      <w:r>
        <w:rPr>
          <w:rFonts w:ascii="Times New Roman" w:hAnsi="Times New Roman"/>
        </w:rPr>
        <w:t xml:space="preserve"> weighting adjustments.  Weighting classes will be defined such that response rates and fishing activity are similar within classes.  Nonresponse bias will be measured by comparing unadjusted estimates </w:t>
      </w:r>
      <w:r w:rsidR="00831BC6">
        <w:rPr>
          <w:rFonts w:ascii="Times New Roman" w:hAnsi="Times New Roman"/>
        </w:rPr>
        <w:t xml:space="preserve">to estimates that have been adjusted to account for differential </w:t>
      </w:r>
      <w:r w:rsidR="00E93D42">
        <w:rPr>
          <w:rFonts w:ascii="Times New Roman" w:hAnsi="Times New Roman"/>
        </w:rPr>
        <w:t>non</w:t>
      </w:r>
      <w:r w:rsidR="00831BC6">
        <w:rPr>
          <w:rFonts w:ascii="Times New Roman" w:hAnsi="Times New Roman"/>
        </w:rPr>
        <w:t>response</w:t>
      </w:r>
      <w:r w:rsidR="00B11734">
        <w:rPr>
          <w:rFonts w:ascii="Times New Roman" w:hAnsi="Times New Roman"/>
        </w:rPr>
        <w:t xml:space="preserve"> among weighting classes</w:t>
      </w:r>
      <w:r w:rsidR="00831BC6">
        <w:rPr>
          <w:rFonts w:ascii="Times New Roman" w:hAnsi="Times New Roman"/>
        </w:rPr>
        <w:t>.</w:t>
      </w:r>
      <w:r w:rsidR="00080C5A">
        <w:rPr>
          <w:rFonts w:ascii="Times New Roman" w:hAnsi="Times New Roman"/>
        </w:rPr>
        <w:t xml:space="preserve">  Previous studies identified differential nonresponse </w:t>
      </w:r>
      <w:r w:rsidR="00D02500">
        <w:rPr>
          <w:rFonts w:ascii="Times New Roman" w:hAnsi="Times New Roman"/>
        </w:rPr>
        <w:t xml:space="preserve">and </w:t>
      </w:r>
      <w:r w:rsidR="00B646E9">
        <w:rPr>
          <w:rFonts w:ascii="Times New Roman" w:hAnsi="Times New Roman"/>
        </w:rPr>
        <w:t xml:space="preserve">reported </w:t>
      </w:r>
      <w:r w:rsidR="00D02500">
        <w:rPr>
          <w:rFonts w:ascii="Times New Roman" w:hAnsi="Times New Roman"/>
        </w:rPr>
        <w:t xml:space="preserve">fishing activity </w:t>
      </w:r>
      <w:r w:rsidR="00080C5A">
        <w:rPr>
          <w:rFonts w:ascii="Times New Roman" w:hAnsi="Times New Roman"/>
        </w:rPr>
        <w:t>between</w:t>
      </w:r>
      <w:r w:rsidR="00D02500">
        <w:rPr>
          <w:rFonts w:ascii="Times New Roman" w:hAnsi="Times New Roman"/>
        </w:rPr>
        <w:t xml:space="preserve"> households with and without licensed anglers</w:t>
      </w:r>
      <w:r w:rsidR="00B646E9">
        <w:rPr>
          <w:rFonts w:ascii="Times New Roman" w:hAnsi="Times New Roman"/>
        </w:rPr>
        <w:t xml:space="preserve"> and demonstrated that n</w:t>
      </w:r>
      <w:r w:rsidR="00D02500">
        <w:rPr>
          <w:rFonts w:ascii="Times New Roman" w:hAnsi="Times New Roman"/>
        </w:rPr>
        <w:t xml:space="preserve">onresponse weighting adjustment decreased estimates of fishing effort by 25% </w:t>
      </w:r>
      <w:r w:rsidR="00B646E9">
        <w:rPr>
          <w:rFonts w:ascii="Times New Roman" w:hAnsi="Times New Roman"/>
        </w:rPr>
        <w:t>over unadjusted estimates (Andrews et al., 2010)</w:t>
      </w:r>
      <w:r w:rsidR="00D02500">
        <w:rPr>
          <w:rFonts w:ascii="Times New Roman" w:hAnsi="Times New Roman"/>
        </w:rPr>
        <w:t xml:space="preserve">.   </w:t>
      </w:r>
      <w:r w:rsidR="00831BC6">
        <w:rPr>
          <w:rFonts w:ascii="Times New Roman" w:hAnsi="Times New Roman"/>
        </w:rPr>
        <w:t xml:space="preserve">  </w:t>
      </w:r>
      <w:r>
        <w:rPr>
          <w:rFonts w:ascii="Times New Roman" w:hAnsi="Times New Roman"/>
        </w:rPr>
        <w:t xml:space="preserve"> </w:t>
      </w:r>
    </w:p>
    <w:p w:rsidR="00E93D42" w:rsidRDefault="00E93D42" w:rsidP="00FB39B6">
      <w:pPr>
        <w:pStyle w:val="L1-FlLSp12"/>
        <w:spacing w:line="240" w:lineRule="auto"/>
        <w:rPr>
          <w:rFonts w:ascii="Times New Roman" w:hAnsi="Times New Roman"/>
        </w:rPr>
      </w:pPr>
    </w:p>
    <w:p w:rsidR="00D47228" w:rsidRDefault="00E93D42" w:rsidP="00FB39B6">
      <w:pPr>
        <w:pStyle w:val="L1-FlLSp12"/>
        <w:spacing w:line="240" w:lineRule="auto"/>
        <w:rPr>
          <w:rFonts w:ascii="Times New Roman" w:hAnsi="Times New Roman"/>
        </w:rPr>
      </w:pPr>
      <w:r>
        <w:rPr>
          <w:rFonts w:ascii="Times New Roman" w:hAnsi="Times New Roman"/>
        </w:rPr>
        <w:t xml:space="preserve">Finally, we will conduct a nonresponse follow-up study that </w:t>
      </w:r>
      <w:r w:rsidR="00BB2BF0">
        <w:rPr>
          <w:rFonts w:ascii="Times New Roman" w:hAnsi="Times New Roman"/>
        </w:rPr>
        <w:t>includes a more intensive effo</w:t>
      </w:r>
      <w:r w:rsidR="002A48FE">
        <w:rPr>
          <w:rFonts w:ascii="Times New Roman" w:hAnsi="Times New Roman"/>
        </w:rPr>
        <w:t xml:space="preserve">rt to contact </w:t>
      </w:r>
      <w:proofErr w:type="spellStart"/>
      <w:r w:rsidR="002A48FE">
        <w:rPr>
          <w:rFonts w:ascii="Times New Roman" w:hAnsi="Times New Roman"/>
        </w:rPr>
        <w:t>nonrespondents</w:t>
      </w:r>
      <w:proofErr w:type="spellEnd"/>
      <w:r w:rsidR="002A48FE">
        <w:rPr>
          <w:rFonts w:ascii="Times New Roman" w:hAnsi="Times New Roman"/>
        </w:rPr>
        <w:t>.  In each of the six</w:t>
      </w:r>
      <w:r w:rsidR="00BB2BF0">
        <w:rPr>
          <w:rFonts w:ascii="Times New Roman" w:hAnsi="Times New Roman"/>
        </w:rPr>
        <w:t xml:space="preserve"> wave</w:t>
      </w:r>
      <w:r w:rsidR="002A48FE">
        <w:rPr>
          <w:rFonts w:ascii="Times New Roman" w:hAnsi="Times New Roman"/>
        </w:rPr>
        <w:t>s</w:t>
      </w:r>
      <w:r w:rsidR="00BB2BF0">
        <w:rPr>
          <w:rFonts w:ascii="Times New Roman" w:hAnsi="Times New Roman"/>
        </w:rPr>
        <w:t xml:space="preserve">, </w:t>
      </w:r>
      <w:r w:rsidR="00CD2DA0">
        <w:rPr>
          <w:rFonts w:ascii="Times New Roman" w:hAnsi="Times New Roman"/>
        </w:rPr>
        <w:t xml:space="preserve">400 </w:t>
      </w:r>
      <w:proofErr w:type="spellStart"/>
      <w:r w:rsidR="00CD2DA0">
        <w:rPr>
          <w:rFonts w:ascii="Times New Roman" w:hAnsi="Times New Roman"/>
        </w:rPr>
        <w:t>nonrespondents</w:t>
      </w:r>
      <w:proofErr w:type="spellEnd"/>
      <w:r w:rsidR="00CD2DA0">
        <w:rPr>
          <w:rFonts w:ascii="Times New Roman" w:hAnsi="Times New Roman"/>
        </w:rPr>
        <w:t xml:space="preserve"> will be sampled for the follow-up study.  Data collection for the study will be initiated six weeks after the final contact for the RAS and the NAS with the delivery of an advanced letter via regular first-class mail.  </w:t>
      </w:r>
      <w:r w:rsidR="00CD2DA0">
        <w:rPr>
          <w:rFonts w:ascii="Times New Roman" w:hAnsi="Times New Roman"/>
        </w:rPr>
        <w:lastRenderedPageBreak/>
        <w:t xml:space="preserve">Five days later, a survey packet, including a cover letter, questionnaire (the same questionnaire used in the RAS and NAS), </w:t>
      </w:r>
      <w:r w:rsidR="00D47228">
        <w:rPr>
          <w:rFonts w:ascii="Times New Roman" w:hAnsi="Times New Roman"/>
        </w:rPr>
        <w:t xml:space="preserve">post-paid return envelope and a $5.00 cash incentive will be delivered via FedEx (USPS Priority Mail will be used where </w:t>
      </w:r>
      <w:proofErr w:type="spellStart"/>
      <w:r w:rsidR="00D47228">
        <w:rPr>
          <w:rFonts w:ascii="Times New Roman" w:hAnsi="Times New Roman"/>
        </w:rPr>
        <w:t>FedEX</w:t>
      </w:r>
      <w:proofErr w:type="spellEnd"/>
      <w:r w:rsidR="00D47228">
        <w:rPr>
          <w:rFonts w:ascii="Times New Roman" w:hAnsi="Times New Roman"/>
        </w:rPr>
        <w:t xml:space="preserve"> is unavailable).  A thank you/reminder postcard will be delivered eight days after the FedEx.</w:t>
      </w:r>
    </w:p>
    <w:p w:rsidR="00D47228" w:rsidRDefault="00D47228" w:rsidP="00FB39B6">
      <w:pPr>
        <w:pStyle w:val="L1-FlLSp12"/>
        <w:spacing w:line="240" w:lineRule="auto"/>
        <w:rPr>
          <w:rFonts w:ascii="Times New Roman" w:hAnsi="Times New Roman"/>
        </w:rPr>
      </w:pPr>
    </w:p>
    <w:p w:rsidR="00F80EF6" w:rsidRDefault="003F5B4C" w:rsidP="000C7703">
      <w:pPr>
        <w:pStyle w:val="L1-FlLSp12"/>
        <w:spacing w:line="240" w:lineRule="auto"/>
      </w:pPr>
      <w:r>
        <w:rPr>
          <w:rFonts w:ascii="Times New Roman" w:hAnsi="Times New Roman"/>
        </w:rPr>
        <w:t xml:space="preserve">We expect a response rate of 25% for the follow-up study.  </w:t>
      </w:r>
      <w:r w:rsidR="00F80EF6">
        <w:rPr>
          <w:rFonts w:ascii="Times New Roman" w:hAnsi="Times New Roman"/>
        </w:rPr>
        <w:t xml:space="preserve">Respondents to the follow-up study will be compared to </w:t>
      </w:r>
      <w:r>
        <w:rPr>
          <w:rFonts w:ascii="Times New Roman" w:hAnsi="Times New Roman"/>
        </w:rPr>
        <w:t>RAS and NAS respondents</w:t>
      </w:r>
      <w:r w:rsidR="00F80EF6">
        <w:rPr>
          <w:rFonts w:ascii="Times New Roman" w:hAnsi="Times New Roman"/>
        </w:rPr>
        <w:t xml:space="preserve"> in terms of reported fishing activity and demographic characteristics.</w:t>
      </w:r>
      <w:r w:rsidR="00D47228">
        <w:rPr>
          <w:rFonts w:ascii="Times New Roman" w:hAnsi="Times New Roman"/>
        </w:rPr>
        <w:t xml:space="preserve">  </w:t>
      </w:r>
      <w:r w:rsidR="00CD2DA0">
        <w:rPr>
          <w:rFonts w:ascii="Times New Roman" w:hAnsi="Times New Roman"/>
        </w:rPr>
        <w:t xml:space="preserve">   </w:t>
      </w:r>
    </w:p>
    <w:p w:rsidR="00F80EF6" w:rsidRDefault="00F80EF6" w:rsidP="00B503CD">
      <w:pPr>
        <w:pStyle w:val="Default"/>
        <w:rPr>
          <w:color w:val="auto"/>
          <w:szCs w:val="20"/>
        </w:rPr>
      </w:pPr>
    </w:p>
    <w:p w:rsidR="00B503CD" w:rsidRDefault="00B503CD" w:rsidP="00B503CD">
      <w:pPr>
        <w:pStyle w:val="Default"/>
        <w:ind w:right="183"/>
        <w:rPr>
          <w:b/>
          <w:bCs/>
        </w:rPr>
      </w:pPr>
      <w:r>
        <w:rPr>
          <w:b/>
          <w:bCs/>
        </w:rPr>
        <w:t>4. Describe any tests of procedures or methods to be undertaken. Tests are encouraged as effective means to refine collections, but if ten or more test respondents are involved OMB must give prior approval.</w:t>
      </w:r>
    </w:p>
    <w:p w:rsidR="00B503CD" w:rsidRDefault="00B503CD" w:rsidP="00B503CD">
      <w:pPr>
        <w:pStyle w:val="Default"/>
        <w:ind w:right="183"/>
        <w:rPr>
          <w:b/>
          <w:bCs/>
        </w:rPr>
      </w:pPr>
    </w:p>
    <w:p w:rsidR="00B503CD" w:rsidRDefault="00B503CD" w:rsidP="00B503CD">
      <w:pPr>
        <w:pStyle w:val="Default"/>
        <w:ind w:right="183"/>
      </w:pPr>
      <w:r>
        <w:rPr>
          <w:bCs/>
        </w:rPr>
        <w:t>No additional testing is planned.</w:t>
      </w:r>
      <w:r>
        <w:rPr>
          <w:b/>
          <w:bCs/>
        </w:rPr>
        <w:t xml:space="preserve"> </w:t>
      </w:r>
    </w:p>
    <w:p w:rsidR="00B503CD" w:rsidRDefault="00B503CD" w:rsidP="00B503CD">
      <w:pPr>
        <w:pStyle w:val="CM22"/>
        <w:spacing w:after="0"/>
        <w:ind w:right="375"/>
        <w:rPr>
          <w:color w:val="000000"/>
        </w:rPr>
      </w:pPr>
    </w:p>
    <w:p w:rsidR="00B503CD" w:rsidRDefault="00B503CD" w:rsidP="00B503CD">
      <w:pPr>
        <w:pStyle w:val="CM23"/>
        <w:spacing w:after="0"/>
        <w:ind w:right="375"/>
        <w:rPr>
          <w:b/>
          <w:bCs/>
          <w:color w:val="000000"/>
        </w:rPr>
      </w:pPr>
      <w:r>
        <w:rPr>
          <w:b/>
          <w:bCs/>
          <w:color w:val="000000"/>
        </w:rPr>
        <w:t xml:space="preserve">5. Provide the name and telephone number of individuals consulted on the statistical aspects of the design, and the name of the agency unit, contractor(s), grantee(s), or other person(s) who will actually collect and/or analyze the information for the agency. </w:t>
      </w:r>
    </w:p>
    <w:p w:rsidR="00B503CD" w:rsidRDefault="00B503CD" w:rsidP="00B503CD">
      <w:pPr>
        <w:pStyle w:val="Default"/>
      </w:pPr>
    </w:p>
    <w:p w:rsidR="00B503CD" w:rsidRDefault="00B503CD" w:rsidP="00B503CD">
      <w:pPr>
        <w:pStyle w:val="Default"/>
      </w:pPr>
      <w:r>
        <w:t>Statistical support was provided by the following:</w:t>
      </w:r>
    </w:p>
    <w:p w:rsidR="00B503CD" w:rsidRDefault="00B503CD" w:rsidP="00B503CD">
      <w:pPr>
        <w:pStyle w:val="Default"/>
      </w:pPr>
      <w:r>
        <w:t xml:space="preserve">Dr. J. Michael Brick, </w:t>
      </w:r>
      <w:proofErr w:type="spellStart"/>
      <w:r>
        <w:t>Westat</w:t>
      </w:r>
      <w:proofErr w:type="spellEnd"/>
      <w:r>
        <w:t>, 301-294-2004</w:t>
      </w:r>
    </w:p>
    <w:p w:rsidR="00B503CD" w:rsidRDefault="00B503CD" w:rsidP="00B503CD">
      <w:pPr>
        <w:pStyle w:val="Default"/>
      </w:pPr>
      <w:r>
        <w:t xml:space="preserve">Dr. Nancy A. </w:t>
      </w:r>
      <w:proofErr w:type="spellStart"/>
      <w:r>
        <w:t>Mathiowetz</w:t>
      </w:r>
      <w:proofErr w:type="spellEnd"/>
      <w:r>
        <w:t>, University of Wisconsin-Milwaukee, 414-229-2216</w:t>
      </w:r>
    </w:p>
    <w:p w:rsidR="00B503CD" w:rsidRDefault="00B503CD" w:rsidP="00B503CD">
      <w:pPr>
        <w:pStyle w:val="Default"/>
      </w:pPr>
    </w:p>
    <w:p w:rsidR="00B503CD" w:rsidRPr="009A7516" w:rsidRDefault="00B503CD" w:rsidP="00576DE6">
      <w:pPr>
        <w:pStyle w:val="NoSpacing"/>
      </w:pPr>
      <w:r>
        <w:t>Rob Andrews, Fisheries Biologist, NOAA Fisheries Service, Office of Science and Technology, 301-427-8105 is the point-of-contact for the Agency.</w:t>
      </w:r>
    </w:p>
    <w:p w:rsidR="00576DE6" w:rsidRDefault="00576DE6" w:rsidP="0067695B">
      <w:pPr>
        <w:pStyle w:val="Default"/>
      </w:pPr>
    </w:p>
    <w:p w:rsidR="00B503CD" w:rsidRPr="00576DE6" w:rsidRDefault="000C7703" w:rsidP="0067695B">
      <w:pPr>
        <w:pStyle w:val="Default"/>
        <w:rPr>
          <w:b/>
        </w:rPr>
      </w:pPr>
      <w:r w:rsidRPr="00576DE6">
        <w:rPr>
          <w:b/>
        </w:rPr>
        <w:t>References</w:t>
      </w:r>
    </w:p>
    <w:p w:rsidR="00EE4FD8" w:rsidRDefault="00EE4FD8" w:rsidP="0067695B">
      <w:pPr>
        <w:pStyle w:val="Default"/>
      </w:pPr>
    </w:p>
    <w:p w:rsidR="00C15CA2" w:rsidRDefault="00C15CA2" w:rsidP="00C15CA2">
      <w:pPr>
        <w:spacing w:line="240" w:lineRule="auto"/>
      </w:pPr>
      <w:proofErr w:type="gramStart"/>
      <w:r w:rsidRPr="000F699F">
        <w:t xml:space="preserve">Andrews, W.R., J.M. Brick, N.M. </w:t>
      </w:r>
      <w:proofErr w:type="spellStart"/>
      <w:r w:rsidRPr="000F699F">
        <w:t>Mathiowetz</w:t>
      </w:r>
      <w:proofErr w:type="spellEnd"/>
      <w:r w:rsidRPr="000F699F">
        <w:t>, and L. Stokes (2010).</w:t>
      </w:r>
      <w:proofErr w:type="gramEnd"/>
      <w:r w:rsidRPr="000F699F">
        <w:t xml:space="preserve">  </w:t>
      </w:r>
      <w:proofErr w:type="gramStart"/>
      <w:r w:rsidRPr="000F699F">
        <w:t>Pilot Test of a Dual Frame Two-Phase Mail Survey of Anglers in North Carolina.</w:t>
      </w:r>
      <w:proofErr w:type="gramEnd"/>
      <w:r w:rsidRPr="000F699F">
        <w:t xml:space="preserve">  </w:t>
      </w:r>
      <w:proofErr w:type="gramStart"/>
      <w:r w:rsidRPr="000F699F">
        <w:t xml:space="preserve">Retrieved from </w:t>
      </w:r>
      <w:hyperlink r:id="rId9" w:history="1">
        <w:r w:rsidRPr="000F699F">
          <w:rPr>
            <w:rStyle w:val="Hyperlink"/>
          </w:rPr>
          <w:t>http://www.countmyfish.noaa.gov/projects/downloads/Final_Report%20NC%202009%20Dual%20Frame%20Two%20Phase%20Experiment.pdf</w:t>
        </w:r>
      </w:hyperlink>
      <w:r w:rsidRPr="000F699F">
        <w:t>.</w:t>
      </w:r>
      <w:proofErr w:type="gramEnd"/>
    </w:p>
    <w:p w:rsidR="00C15CA2" w:rsidRDefault="00C15CA2" w:rsidP="00C15CA2">
      <w:pPr>
        <w:spacing w:line="240" w:lineRule="auto"/>
      </w:pPr>
    </w:p>
    <w:p w:rsidR="00C15CA2" w:rsidRDefault="007F5AE8" w:rsidP="00C15CA2">
      <w:pPr>
        <w:spacing w:line="240" w:lineRule="auto"/>
      </w:pPr>
      <w:proofErr w:type="gramStart"/>
      <w:r w:rsidRPr="000F699F">
        <w:t>Brick.</w:t>
      </w:r>
      <w:proofErr w:type="gramEnd"/>
      <w:r w:rsidRPr="000F699F">
        <w:t xml:space="preserve"> </w:t>
      </w:r>
      <w:proofErr w:type="gramStart"/>
      <w:r w:rsidRPr="000F699F">
        <w:t xml:space="preserve">J.M., W.R. Andrews, </w:t>
      </w:r>
      <w:r>
        <w:t xml:space="preserve">and </w:t>
      </w:r>
      <w:r w:rsidRPr="000F699F">
        <w:t xml:space="preserve">N.M. </w:t>
      </w:r>
      <w:proofErr w:type="spellStart"/>
      <w:r w:rsidRPr="000F699F">
        <w:t>Mathiowetz</w:t>
      </w:r>
      <w:proofErr w:type="spellEnd"/>
      <w:r w:rsidRPr="000F699F">
        <w:t xml:space="preserve"> (2012</w:t>
      </w:r>
      <w:r>
        <w:t>a</w:t>
      </w:r>
      <w:r w:rsidRPr="000F699F">
        <w:t>).</w:t>
      </w:r>
      <w:proofErr w:type="gramEnd"/>
      <w:r w:rsidRPr="000F699F">
        <w:t xml:space="preserve">  </w:t>
      </w:r>
      <w:proofErr w:type="gramStart"/>
      <w:r w:rsidRPr="000F699F">
        <w:t>A Comparison of Recreational Fishing Effort Survey Designs.</w:t>
      </w:r>
      <w:proofErr w:type="gramEnd"/>
      <w:r w:rsidRPr="000F699F">
        <w:t xml:space="preserve">  </w:t>
      </w:r>
      <w:proofErr w:type="gramStart"/>
      <w:r w:rsidRPr="000F699F">
        <w:t>Retrieved from https://www.st.nmfs.noaa.gov/mdms/doc/08A_Comparison_of_Fishing_Effort_Surveys_Report_FINAL.pdf.</w:t>
      </w:r>
      <w:proofErr w:type="gramEnd"/>
    </w:p>
    <w:p w:rsidR="007F5AE8" w:rsidRDefault="007F5AE8" w:rsidP="007F5AE8">
      <w:pPr>
        <w:spacing w:before="100" w:beforeAutospacing="1" w:after="100" w:afterAutospacing="1" w:line="240" w:lineRule="auto"/>
      </w:pPr>
      <w:proofErr w:type="gramStart"/>
      <w:r>
        <w:t xml:space="preserve">Brick, J.M., W.R. Andrews, P.D. Brick, H. King, and N.M. </w:t>
      </w:r>
      <w:proofErr w:type="spellStart"/>
      <w:r>
        <w:t>Mathiowetz</w:t>
      </w:r>
      <w:proofErr w:type="spellEnd"/>
      <w:r>
        <w:t xml:space="preserve"> (2012b).</w:t>
      </w:r>
      <w:proofErr w:type="gramEnd"/>
      <w:r>
        <w:t xml:space="preserve">  </w:t>
      </w:r>
      <w:proofErr w:type="gramStart"/>
      <w:r>
        <w:t>Methods for Improving Response Rates in Two-Phase Mail Surveys.</w:t>
      </w:r>
      <w:proofErr w:type="gramEnd"/>
      <w:r>
        <w:t xml:space="preserve">  </w:t>
      </w:r>
      <w:proofErr w:type="gramStart"/>
      <w:r>
        <w:t>Survey Practice 5(4).</w:t>
      </w:r>
      <w:proofErr w:type="gramEnd"/>
    </w:p>
    <w:p w:rsidR="0026581E" w:rsidRPr="004E0AB8" w:rsidRDefault="0026581E" w:rsidP="0026581E">
      <w:pPr>
        <w:autoSpaceDE w:val="0"/>
        <w:autoSpaceDN w:val="0"/>
        <w:adjustRightInd w:val="0"/>
        <w:spacing w:line="240" w:lineRule="auto"/>
      </w:pPr>
      <w:proofErr w:type="gramStart"/>
      <w:r>
        <w:rPr>
          <w:rFonts w:ascii="AdvOT3c2d9f11" w:hAnsi="AdvOT3c2d9f11" w:cs="AdvOT3c2d9f11"/>
        </w:rPr>
        <w:t>Dillman, D.</w:t>
      </w:r>
      <w:r w:rsidRPr="004E0AB8">
        <w:rPr>
          <w:rFonts w:ascii="AdvOT3c2d9f11" w:hAnsi="AdvOT3c2d9f11" w:cs="AdvOT3c2d9f11"/>
        </w:rPr>
        <w:t xml:space="preserve">A., </w:t>
      </w:r>
      <w:r>
        <w:rPr>
          <w:rFonts w:ascii="AdvOT3c2d9f11" w:hAnsi="AdvOT3c2d9f11" w:cs="AdvOT3c2d9f11"/>
        </w:rPr>
        <w:t>J.D. Smyth, and L.M. Christian (</w:t>
      </w:r>
      <w:r w:rsidRPr="004E0AB8">
        <w:rPr>
          <w:rFonts w:ascii="AdvOT3c2d9f11" w:hAnsi="AdvOT3c2d9f11" w:cs="AdvOT3c2d9f11"/>
        </w:rPr>
        <w:t>2009</w:t>
      </w:r>
      <w:r>
        <w:rPr>
          <w:rFonts w:ascii="AdvOT3c2d9f11" w:hAnsi="AdvOT3c2d9f11" w:cs="AdvOT3c2d9f11"/>
        </w:rPr>
        <w:t>)</w:t>
      </w:r>
      <w:r w:rsidRPr="004E0AB8">
        <w:rPr>
          <w:rFonts w:ascii="AdvOT3c2d9f11" w:hAnsi="AdvOT3c2d9f11" w:cs="AdvOT3c2d9f11"/>
        </w:rPr>
        <w:t>.</w:t>
      </w:r>
      <w:proofErr w:type="gramEnd"/>
      <w:r w:rsidRPr="004E0AB8">
        <w:rPr>
          <w:rFonts w:ascii="AdvOT3c2d9f11" w:hAnsi="AdvOT3c2d9f11" w:cs="AdvOT3c2d9f11"/>
        </w:rPr>
        <w:t xml:space="preserve"> </w:t>
      </w:r>
      <w:r w:rsidRPr="00C950E8">
        <w:rPr>
          <w:rFonts w:ascii="AdvOT21bf1298.I" w:hAnsi="AdvOT21bf1298.I" w:cs="AdvOT21bf1298.I"/>
          <w:i/>
        </w:rPr>
        <w:t>Internet, Mail, and Mixed-Mode Surveys: The Tailored Design Method</w:t>
      </w:r>
      <w:r w:rsidRPr="004E0AB8">
        <w:rPr>
          <w:rFonts w:ascii="AdvOT21bf1298.I" w:hAnsi="AdvOT21bf1298.I" w:cs="AdvOT21bf1298.I"/>
        </w:rPr>
        <w:t xml:space="preserve">. </w:t>
      </w:r>
      <w:r w:rsidRPr="004E0AB8">
        <w:rPr>
          <w:rFonts w:ascii="AdvOT3c2d9f11" w:hAnsi="AdvOT3c2d9f11" w:cs="AdvOT3c2d9f11"/>
        </w:rPr>
        <w:t>New York: Wiley and Sons.</w:t>
      </w:r>
    </w:p>
    <w:p w:rsidR="0026581E" w:rsidRDefault="0026581E" w:rsidP="0026581E">
      <w:pPr>
        <w:pStyle w:val="Default"/>
        <w:rPr>
          <w:rFonts w:ascii="Calibri" w:hAnsi="Calibri" w:cs="Calibri"/>
          <w:b/>
          <w:bCs/>
        </w:rPr>
      </w:pPr>
      <w:proofErr w:type="gramStart"/>
      <w:r w:rsidRPr="00AD4658">
        <w:t>Lohr, S. (2009).</w:t>
      </w:r>
      <w:proofErr w:type="gramEnd"/>
      <w:r w:rsidRPr="00AD4658">
        <w:t xml:space="preserve"> </w:t>
      </w:r>
      <w:proofErr w:type="gramStart"/>
      <w:r w:rsidRPr="00AD4658">
        <w:t>Multiple Frame Surveys.</w:t>
      </w:r>
      <w:proofErr w:type="gramEnd"/>
      <w:r w:rsidRPr="00AD4658">
        <w:t xml:space="preserve"> Chapter 4 in </w:t>
      </w:r>
      <w:proofErr w:type="spellStart"/>
      <w:r w:rsidRPr="00AD4658">
        <w:t>Pfeffermann</w:t>
      </w:r>
      <w:proofErr w:type="spellEnd"/>
      <w:r w:rsidRPr="00AD4658">
        <w:t xml:space="preserve">, D. (Ed.) </w:t>
      </w:r>
      <w:r w:rsidRPr="00C950E8">
        <w:rPr>
          <w:i/>
          <w:iCs/>
        </w:rPr>
        <w:t>Handbook of Statistics: Sample Surveys Design, Methods and Applications</w:t>
      </w:r>
      <w:r w:rsidRPr="00AD4658">
        <w:rPr>
          <w:iCs/>
        </w:rPr>
        <w:t xml:space="preserve"> </w:t>
      </w:r>
      <w:r w:rsidRPr="00AD4658">
        <w:t>(vol. 29A). Elsevier, Amsterdam</w:t>
      </w:r>
      <w:r w:rsidRPr="00AD4658">
        <w:rPr>
          <w:rFonts w:ascii="Calibri" w:hAnsi="Calibri" w:cs="Calibri"/>
          <w:b/>
          <w:bCs/>
        </w:rPr>
        <w:t>.</w:t>
      </w:r>
    </w:p>
    <w:p w:rsidR="0026581E" w:rsidRPr="007F5AE8" w:rsidRDefault="0026581E" w:rsidP="007F5AE8">
      <w:pPr>
        <w:spacing w:before="100" w:beforeAutospacing="1" w:after="100" w:afterAutospacing="1" w:line="240" w:lineRule="auto"/>
      </w:pPr>
    </w:p>
    <w:sectPr w:rsidR="0026581E" w:rsidRPr="007F5AE8" w:rsidSect="00EE4FD8">
      <w:footerReference w:type="default" r:id="rId10"/>
      <w:type w:val="continuous"/>
      <w:pgSz w:w="12240" w:h="15840"/>
      <w:pgMar w:top="1440" w:right="1440" w:bottom="72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71C" w:rsidRDefault="0018771C" w:rsidP="00113646">
      <w:r>
        <w:separator/>
      </w:r>
    </w:p>
  </w:endnote>
  <w:endnote w:type="continuationSeparator" w:id="0">
    <w:p w:rsidR="0018771C" w:rsidRDefault="0018771C" w:rsidP="0011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AdvOT3c2d9f11">
    <w:panose1 w:val="00000000000000000000"/>
    <w:charset w:val="00"/>
    <w:family w:val="roman"/>
    <w:notTrueType/>
    <w:pitch w:val="default"/>
    <w:sig w:usb0="00000003" w:usb1="00000000" w:usb2="00000000" w:usb3="00000000" w:csb0="00000001" w:csb1="00000000"/>
  </w:font>
  <w:font w:name="AdvOT21bf1298.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244316"/>
      <w:docPartObj>
        <w:docPartGallery w:val="Page Numbers (Bottom of Page)"/>
        <w:docPartUnique/>
      </w:docPartObj>
    </w:sdtPr>
    <w:sdtEndPr>
      <w:rPr>
        <w:noProof/>
      </w:rPr>
    </w:sdtEndPr>
    <w:sdtContent>
      <w:p w:rsidR="00576DE6" w:rsidRDefault="00576DE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25816" w:rsidRDefault="00125816" w:rsidP="00113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71C" w:rsidRDefault="0018771C" w:rsidP="00113646">
      <w:r>
        <w:separator/>
      </w:r>
    </w:p>
  </w:footnote>
  <w:footnote w:type="continuationSeparator" w:id="0">
    <w:p w:rsidR="0018771C" w:rsidRDefault="0018771C" w:rsidP="00113646">
      <w:r>
        <w:continuationSeparator/>
      </w:r>
    </w:p>
  </w:footnote>
  <w:footnote w:id="1">
    <w:p w:rsidR="00125816" w:rsidRDefault="00125816">
      <w:pPr>
        <w:pStyle w:val="FootnoteText"/>
      </w:pPr>
      <w:r>
        <w:rPr>
          <w:rStyle w:val="FootnoteReference"/>
        </w:rPr>
        <w:footnoteRef/>
      </w:r>
      <w:r>
        <w:t xml:space="preserve"> Florida is not stratified due to the relatively high rate of fishing across the state.</w:t>
      </w:r>
    </w:p>
  </w:footnote>
  <w:footnote w:id="2">
    <w:p w:rsidR="00125816" w:rsidRDefault="00125816">
      <w:pPr>
        <w:pStyle w:val="FootnoteText"/>
      </w:pPr>
      <w:r>
        <w:rPr>
          <w:rStyle w:val="FootnoteReference"/>
        </w:rPr>
        <w:footnoteRef/>
      </w:r>
      <w:r>
        <w:t xml:space="preserve"> Total fishing effort includes fishing by both resident (RAS) and nonresident anglers (NAS).</w:t>
      </w:r>
    </w:p>
  </w:footnote>
  <w:footnote w:id="3">
    <w:p w:rsidR="00125816" w:rsidRDefault="00125816" w:rsidP="001B7DDF">
      <w:pPr>
        <w:pStyle w:val="FootnoteText"/>
        <w:spacing w:line="240" w:lineRule="auto"/>
      </w:pPr>
      <w:r>
        <w:rPr>
          <w:rStyle w:val="FootnoteReference"/>
        </w:rPr>
        <w:footnoteRef/>
      </w:r>
      <w:r>
        <w:t xml:space="preserve"> Estimated number of households in the matched stratum is based upon the number of unique addresses in state databases of licensed saltwater anglers as of 8/29/2012.  Estimated number of households in the unmatched stratum is the difference between the estimated number of total occupied housing units (Census 2010) and the number of unique addresses in the state license databases. </w:t>
      </w:r>
    </w:p>
  </w:footnote>
  <w:footnote w:id="4">
    <w:p w:rsidR="00125816" w:rsidRDefault="00125816" w:rsidP="001B7DDF">
      <w:pPr>
        <w:pStyle w:val="FootnoteText"/>
        <w:spacing w:line="240" w:lineRule="auto"/>
      </w:pPr>
      <w:r>
        <w:rPr>
          <w:rStyle w:val="FootnoteReference"/>
        </w:rPr>
        <w:footnoteRef/>
      </w:r>
      <w:r>
        <w:t xml:space="preserve"> Estimated amount of ABS sample required to achieve final sampling targets for the matched strata. </w:t>
      </w:r>
    </w:p>
  </w:footnote>
  <w:footnote w:id="5">
    <w:p w:rsidR="00125816" w:rsidRDefault="00125816" w:rsidP="001B7DDF">
      <w:pPr>
        <w:pStyle w:val="FootnoteText"/>
        <w:spacing w:line="240" w:lineRule="auto"/>
      </w:pPr>
      <w:r>
        <w:rPr>
          <w:rStyle w:val="FootnoteReference"/>
        </w:rPr>
        <w:footnoteRef/>
      </w:r>
      <w:r>
        <w:t xml:space="preserve"> Final ABS sample sizes after subsampling from the unmatched strata.  All matched addresses are retained in final sample.</w:t>
      </w:r>
    </w:p>
  </w:footnote>
  <w:footnote w:id="6">
    <w:p w:rsidR="00125816" w:rsidRDefault="00125816" w:rsidP="009E4751">
      <w:pPr>
        <w:pStyle w:val="FootnoteText"/>
        <w:spacing w:line="240" w:lineRule="auto"/>
      </w:pPr>
      <w:r>
        <w:rPr>
          <w:rStyle w:val="FootnoteReference"/>
        </w:rPr>
        <w:footnoteRef/>
      </w:r>
      <w:r>
        <w:t xml:space="preserve"> Approximately 10% of addresses will be returned by USPS as undeliverable, reducing the total sample for each wave to 16,804.</w:t>
      </w:r>
    </w:p>
  </w:footnote>
  <w:footnote w:id="7">
    <w:p w:rsidR="00125816" w:rsidRDefault="00125816" w:rsidP="001B7DDF">
      <w:pPr>
        <w:pStyle w:val="FootnoteText"/>
        <w:spacing w:line="240" w:lineRule="auto"/>
      </w:pPr>
      <w:r>
        <w:rPr>
          <w:rStyle w:val="FootnoteReference"/>
        </w:rPr>
        <w:footnoteRef/>
      </w:r>
      <w:r>
        <w:t xml:space="preserve"> Response rates estimated from previous MRIP pilot studies.</w:t>
      </w:r>
    </w:p>
  </w:footnote>
  <w:footnote w:id="8">
    <w:p w:rsidR="00125816" w:rsidRDefault="00125816" w:rsidP="00556ACD">
      <w:pPr>
        <w:pStyle w:val="FootnoteText"/>
        <w:spacing w:line="240" w:lineRule="auto"/>
      </w:pPr>
      <w:r>
        <w:rPr>
          <w:rStyle w:val="FootnoteReference"/>
        </w:rPr>
        <w:footnoteRef/>
      </w:r>
      <w:r>
        <w:t xml:space="preserve"> Based upon participation estimates from the Marine Recreational Fisheries Statistics Survey</w:t>
      </w:r>
    </w:p>
  </w:footnote>
  <w:footnote w:id="9">
    <w:p w:rsidR="00125816" w:rsidRDefault="00125816" w:rsidP="00556ACD">
      <w:pPr>
        <w:pStyle w:val="FootnoteText"/>
        <w:spacing w:line="240" w:lineRule="auto"/>
      </w:pPr>
      <w:r>
        <w:rPr>
          <w:rStyle w:val="FootnoteReference"/>
        </w:rPr>
        <w:footnoteRef/>
      </w:r>
      <w:r>
        <w:t xml:space="preserve"> </w:t>
      </w:r>
      <w:proofErr w:type="gramStart"/>
      <w:r>
        <w:t>Estimated from previous MRIP pilot studies.</w:t>
      </w:r>
      <w:proofErr w:type="gramEnd"/>
    </w:p>
  </w:footnote>
  <w:footnote w:id="10">
    <w:p w:rsidR="00125816" w:rsidRDefault="00125816" w:rsidP="006E1D63">
      <w:pPr>
        <w:pStyle w:val="Default"/>
      </w:pPr>
      <w:r>
        <w:rPr>
          <w:rStyle w:val="FootnoteReference"/>
        </w:rPr>
        <w:footnoteRef/>
      </w:r>
      <w:r>
        <w:t xml:space="preserve"> </w:t>
      </w:r>
      <w:r w:rsidRPr="0085425F">
        <w:rPr>
          <w:sz w:val="20"/>
          <w:szCs w:val="20"/>
        </w:rPr>
        <w:t>Sample sizes have been adjusted to account for</w:t>
      </w:r>
      <w:r>
        <w:rPr>
          <w:sz w:val="20"/>
          <w:szCs w:val="20"/>
        </w:rPr>
        <w:t xml:space="preserve"> an estimated 10% ineligibility </w:t>
      </w:r>
      <w:r w:rsidRPr="0085425F">
        <w:rPr>
          <w:sz w:val="20"/>
          <w:szCs w:val="20"/>
        </w:rPr>
        <w:t>rate</w:t>
      </w:r>
      <w:r>
        <w:rPr>
          <w:sz w:val="20"/>
          <w:szCs w:val="20"/>
        </w:rPr>
        <w:t>.</w:t>
      </w:r>
    </w:p>
  </w:footnote>
  <w:footnote w:id="11">
    <w:p w:rsidR="00125816" w:rsidRDefault="00125816" w:rsidP="006E1D63">
      <w:pPr>
        <w:pStyle w:val="FootnoteText"/>
        <w:spacing w:line="240" w:lineRule="auto"/>
      </w:pPr>
      <w:r>
        <w:rPr>
          <w:rStyle w:val="FootnoteReference"/>
        </w:rPr>
        <w:footnoteRef/>
      </w:r>
      <w:r>
        <w:t xml:space="preserve"> T</w:t>
      </w:r>
      <w:r w:rsidRPr="0085425F">
        <w:t xml:space="preserve">he detectable difference is the difference </w:t>
      </w:r>
      <w:r>
        <w:t>between experimental treatments.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AC1AAB"/>
    <w:multiLevelType w:val="hybridMultilevel"/>
    <w:tmpl w:val="3BB38E1A"/>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ED39616"/>
    <w:multiLevelType w:val="hybridMultilevel"/>
    <w:tmpl w:val="D4233F11"/>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3F846FD"/>
    <w:multiLevelType w:val="hybridMultilevel"/>
    <w:tmpl w:val="539D91F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6A258E6"/>
    <w:multiLevelType w:val="hybridMultilevel"/>
    <w:tmpl w:val="3A9DE0B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FB28AEC"/>
    <w:multiLevelType w:val="hybridMultilevel"/>
    <w:tmpl w:val="472C145C"/>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0957B53"/>
    <w:multiLevelType w:val="hybridMultilevel"/>
    <w:tmpl w:val="8598F8D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1C47BFA"/>
    <w:multiLevelType w:val="hybridMultilevel"/>
    <w:tmpl w:val="79AC2A26"/>
    <w:lvl w:ilvl="0" w:tplc="D03E7164">
      <w:start w:val="1"/>
      <w:numFmt w:val="bullet"/>
      <w:pStyle w:val="Norm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324B40"/>
    <w:multiLevelType w:val="hybridMultilevel"/>
    <w:tmpl w:val="FB544B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4E270F9"/>
    <w:multiLevelType w:val="hybridMultilevel"/>
    <w:tmpl w:val="A307C18B"/>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7EA5FB2"/>
    <w:multiLevelType w:val="hybridMultilevel"/>
    <w:tmpl w:val="90C2C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10098C"/>
    <w:multiLevelType w:val="hybridMultilevel"/>
    <w:tmpl w:val="ADDA0B58"/>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10A67027"/>
    <w:multiLevelType w:val="hybridMultilevel"/>
    <w:tmpl w:val="766EC89E"/>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B6086C">
      <w:start w:val="1"/>
      <w:numFmt w:val="decimal"/>
      <w:lvlText w:val="%3."/>
      <w:lvlJc w:val="left"/>
      <w:pPr>
        <w:ind w:left="2430" w:hanging="360"/>
      </w:pPr>
      <w:rPr>
        <w:rFonts w:hint="default"/>
      </w:rPr>
    </w:lvl>
    <w:lvl w:ilvl="3" w:tplc="0409000F">
      <w:start w:val="1"/>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7DC31F3"/>
    <w:multiLevelType w:val="hybridMultilevel"/>
    <w:tmpl w:val="871E3492"/>
    <w:lvl w:ilvl="0" w:tplc="229862C4">
      <w:start w:val="1"/>
      <w:numFmt w:val="decimal"/>
      <w:lvlText w:val="%1."/>
      <w:lvlJc w:val="left"/>
      <w:pPr>
        <w:ind w:left="900" w:hanging="360"/>
      </w:pPr>
      <w:rPr>
        <w:rFonts w:hint="default"/>
        <w:vertAlign w:val="subscrip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46B251B1"/>
    <w:multiLevelType w:val="hybridMultilevel"/>
    <w:tmpl w:val="E5AC76D6"/>
    <w:lvl w:ilvl="0" w:tplc="5E1CD47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0B6DBF"/>
    <w:multiLevelType w:val="hybridMultilevel"/>
    <w:tmpl w:val="3774B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3B5ED0"/>
    <w:multiLevelType w:val="hybridMultilevel"/>
    <w:tmpl w:val="EA683F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283B96"/>
    <w:multiLevelType w:val="hybridMultilevel"/>
    <w:tmpl w:val="4C302A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BC3FB7"/>
    <w:multiLevelType w:val="hybridMultilevel"/>
    <w:tmpl w:val="2D8007C4"/>
    <w:lvl w:ilvl="0" w:tplc="471EB8DA">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8"/>
  </w:num>
  <w:num w:numId="6">
    <w:abstractNumId w:val="4"/>
  </w:num>
  <w:num w:numId="7">
    <w:abstractNumId w:val="1"/>
  </w:num>
  <w:num w:numId="8">
    <w:abstractNumId w:val="7"/>
  </w:num>
  <w:num w:numId="9">
    <w:abstractNumId w:val="11"/>
  </w:num>
  <w:num w:numId="10">
    <w:abstractNumId w:val="10"/>
  </w:num>
  <w:num w:numId="11">
    <w:abstractNumId w:val="16"/>
  </w:num>
  <w:num w:numId="12">
    <w:abstractNumId w:val="9"/>
  </w:num>
  <w:num w:numId="13">
    <w:abstractNumId w:val="14"/>
  </w:num>
  <w:num w:numId="14">
    <w:abstractNumId w:val="17"/>
  </w:num>
  <w:num w:numId="15">
    <w:abstractNumId w:val="12"/>
  </w:num>
  <w:num w:numId="16">
    <w:abstractNumId w:val="13"/>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7E59B4"/>
    <w:rsid w:val="000005A2"/>
    <w:rsid w:val="00005AA2"/>
    <w:rsid w:val="000062CD"/>
    <w:rsid w:val="00023DE9"/>
    <w:rsid w:val="0003021F"/>
    <w:rsid w:val="00031684"/>
    <w:rsid w:val="000317CA"/>
    <w:rsid w:val="00034F4C"/>
    <w:rsid w:val="0003571E"/>
    <w:rsid w:val="00035B71"/>
    <w:rsid w:val="00036C03"/>
    <w:rsid w:val="00037EDA"/>
    <w:rsid w:val="0004003B"/>
    <w:rsid w:val="0004436D"/>
    <w:rsid w:val="00051231"/>
    <w:rsid w:val="0005404E"/>
    <w:rsid w:val="000550B2"/>
    <w:rsid w:val="00055B09"/>
    <w:rsid w:val="00057DBE"/>
    <w:rsid w:val="000604CE"/>
    <w:rsid w:val="00061530"/>
    <w:rsid w:val="00070722"/>
    <w:rsid w:val="0007190B"/>
    <w:rsid w:val="00071C03"/>
    <w:rsid w:val="000720C8"/>
    <w:rsid w:val="000740E5"/>
    <w:rsid w:val="00077AA7"/>
    <w:rsid w:val="00080C5A"/>
    <w:rsid w:val="00085800"/>
    <w:rsid w:val="0008691A"/>
    <w:rsid w:val="0008695B"/>
    <w:rsid w:val="00090987"/>
    <w:rsid w:val="00093E43"/>
    <w:rsid w:val="000972D5"/>
    <w:rsid w:val="000A44F9"/>
    <w:rsid w:val="000A70DE"/>
    <w:rsid w:val="000B0DAE"/>
    <w:rsid w:val="000B1501"/>
    <w:rsid w:val="000B3134"/>
    <w:rsid w:val="000B3D86"/>
    <w:rsid w:val="000B54A1"/>
    <w:rsid w:val="000B5636"/>
    <w:rsid w:val="000B6A0F"/>
    <w:rsid w:val="000C1733"/>
    <w:rsid w:val="000C18DA"/>
    <w:rsid w:val="000C1C68"/>
    <w:rsid w:val="000C21C2"/>
    <w:rsid w:val="000C4887"/>
    <w:rsid w:val="000C5703"/>
    <w:rsid w:val="000C7703"/>
    <w:rsid w:val="000D03CB"/>
    <w:rsid w:val="000D0B11"/>
    <w:rsid w:val="000D1559"/>
    <w:rsid w:val="000D2404"/>
    <w:rsid w:val="000D3A23"/>
    <w:rsid w:val="000D498B"/>
    <w:rsid w:val="000D6336"/>
    <w:rsid w:val="000D6395"/>
    <w:rsid w:val="000E1037"/>
    <w:rsid w:val="000E139A"/>
    <w:rsid w:val="000E1758"/>
    <w:rsid w:val="000E23C3"/>
    <w:rsid w:val="000E7024"/>
    <w:rsid w:val="000F12E7"/>
    <w:rsid w:val="000F43A7"/>
    <w:rsid w:val="001018FF"/>
    <w:rsid w:val="001028F2"/>
    <w:rsid w:val="00106752"/>
    <w:rsid w:val="001107A8"/>
    <w:rsid w:val="00112F7D"/>
    <w:rsid w:val="00113482"/>
    <w:rsid w:val="00113646"/>
    <w:rsid w:val="001158A9"/>
    <w:rsid w:val="0012002A"/>
    <w:rsid w:val="001219E7"/>
    <w:rsid w:val="00125816"/>
    <w:rsid w:val="001311AA"/>
    <w:rsid w:val="00133448"/>
    <w:rsid w:val="00134B26"/>
    <w:rsid w:val="00140BF3"/>
    <w:rsid w:val="0014484A"/>
    <w:rsid w:val="00146058"/>
    <w:rsid w:val="001463B5"/>
    <w:rsid w:val="00152130"/>
    <w:rsid w:val="0015273E"/>
    <w:rsid w:val="00155680"/>
    <w:rsid w:val="00155EBD"/>
    <w:rsid w:val="00156E3E"/>
    <w:rsid w:val="00156FA8"/>
    <w:rsid w:val="00160BC3"/>
    <w:rsid w:val="00165BAC"/>
    <w:rsid w:val="00167E58"/>
    <w:rsid w:val="00172F48"/>
    <w:rsid w:val="00173A63"/>
    <w:rsid w:val="00174172"/>
    <w:rsid w:val="00176D16"/>
    <w:rsid w:val="00182B98"/>
    <w:rsid w:val="0018522F"/>
    <w:rsid w:val="001870BE"/>
    <w:rsid w:val="0018771C"/>
    <w:rsid w:val="0019338A"/>
    <w:rsid w:val="0019620B"/>
    <w:rsid w:val="001A4948"/>
    <w:rsid w:val="001A4B34"/>
    <w:rsid w:val="001A5818"/>
    <w:rsid w:val="001A7075"/>
    <w:rsid w:val="001A7165"/>
    <w:rsid w:val="001B3141"/>
    <w:rsid w:val="001B7DDF"/>
    <w:rsid w:val="001C0B5B"/>
    <w:rsid w:val="001C7544"/>
    <w:rsid w:val="001D1F90"/>
    <w:rsid w:val="001D70C6"/>
    <w:rsid w:val="001E1BE2"/>
    <w:rsid w:val="001E2542"/>
    <w:rsid w:val="001E28FF"/>
    <w:rsid w:val="001E2CE9"/>
    <w:rsid w:val="001E747E"/>
    <w:rsid w:val="001E7891"/>
    <w:rsid w:val="001E7A7D"/>
    <w:rsid w:val="001F1D64"/>
    <w:rsid w:val="001F53E3"/>
    <w:rsid w:val="001F58A9"/>
    <w:rsid w:val="001F60E9"/>
    <w:rsid w:val="00201D8C"/>
    <w:rsid w:val="00205701"/>
    <w:rsid w:val="00207CA9"/>
    <w:rsid w:val="00210CAC"/>
    <w:rsid w:val="00214B19"/>
    <w:rsid w:val="002168E6"/>
    <w:rsid w:val="002247A4"/>
    <w:rsid w:val="002247D7"/>
    <w:rsid w:val="00227F4B"/>
    <w:rsid w:val="00230A4C"/>
    <w:rsid w:val="00234477"/>
    <w:rsid w:val="00234EE8"/>
    <w:rsid w:val="0023617C"/>
    <w:rsid w:val="00237423"/>
    <w:rsid w:val="00240A96"/>
    <w:rsid w:val="00241FB7"/>
    <w:rsid w:val="00243590"/>
    <w:rsid w:val="00245C87"/>
    <w:rsid w:val="002462F5"/>
    <w:rsid w:val="0025147F"/>
    <w:rsid w:val="00251A5B"/>
    <w:rsid w:val="002524A0"/>
    <w:rsid w:val="00256391"/>
    <w:rsid w:val="00263B66"/>
    <w:rsid w:val="0026581E"/>
    <w:rsid w:val="00270DD1"/>
    <w:rsid w:val="00272912"/>
    <w:rsid w:val="00273D4F"/>
    <w:rsid w:val="00275C65"/>
    <w:rsid w:val="00277DE0"/>
    <w:rsid w:val="00280D30"/>
    <w:rsid w:val="002830A9"/>
    <w:rsid w:val="002860A4"/>
    <w:rsid w:val="002905CE"/>
    <w:rsid w:val="00293BB4"/>
    <w:rsid w:val="00294B83"/>
    <w:rsid w:val="00296715"/>
    <w:rsid w:val="00296F21"/>
    <w:rsid w:val="002A0601"/>
    <w:rsid w:val="002A2154"/>
    <w:rsid w:val="002A261B"/>
    <w:rsid w:val="002A3F35"/>
    <w:rsid w:val="002A4167"/>
    <w:rsid w:val="002A48FE"/>
    <w:rsid w:val="002A4C1B"/>
    <w:rsid w:val="002B0B7E"/>
    <w:rsid w:val="002B169D"/>
    <w:rsid w:val="002B21DE"/>
    <w:rsid w:val="002B258B"/>
    <w:rsid w:val="002B61F6"/>
    <w:rsid w:val="002B72A1"/>
    <w:rsid w:val="002D527D"/>
    <w:rsid w:val="002D7601"/>
    <w:rsid w:val="002D7C55"/>
    <w:rsid w:val="002E026A"/>
    <w:rsid w:val="002E0939"/>
    <w:rsid w:val="002E191E"/>
    <w:rsid w:val="002E1D70"/>
    <w:rsid w:val="002E1EE7"/>
    <w:rsid w:val="002E3081"/>
    <w:rsid w:val="002E4D41"/>
    <w:rsid w:val="002E6295"/>
    <w:rsid w:val="002E69D8"/>
    <w:rsid w:val="002E7126"/>
    <w:rsid w:val="002F1D40"/>
    <w:rsid w:val="002F305A"/>
    <w:rsid w:val="002F70EC"/>
    <w:rsid w:val="00300690"/>
    <w:rsid w:val="00301228"/>
    <w:rsid w:val="00304F1D"/>
    <w:rsid w:val="00305643"/>
    <w:rsid w:val="003065F9"/>
    <w:rsid w:val="00311434"/>
    <w:rsid w:val="0031258C"/>
    <w:rsid w:val="0031309B"/>
    <w:rsid w:val="0031320F"/>
    <w:rsid w:val="003141DB"/>
    <w:rsid w:val="00314635"/>
    <w:rsid w:val="00315C76"/>
    <w:rsid w:val="003217DB"/>
    <w:rsid w:val="00323307"/>
    <w:rsid w:val="00324D2A"/>
    <w:rsid w:val="00327919"/>
    <w:rsid w:val="003316D4"/>
    <w:rsid w:val="003320DD"/>
    <w:rsid w:val="00332DF5"/>
    <w:rsid w:val="003343C2"/>
    <w:rsid w:val="00336322"/>
    <w:rsid w:val="00337F5B"/>
    <w:rsid w:val="00340CAC"/>
    <w:rsid w:val="00341063"/>
    <w:rsid w:val="00341F44"/>
    <w:rsid w:val="00343EC7"/>
    <w:rsid w:val="00344492"/>
    <w:rsid w:val="003505D2"/>
    <w:rsid w:val="0035142D"/>
    <w:rsid w:val="00355C30"/>
    <w:rsid w:val="00356DAE"/>
    <w:rsid w:val="003571EF"/>
    <w:rsid w:val="00357483"/>
    <w:rsid w:val="00357F1E"/>
    <w:rsid w:val="00362D11"/>
    <w:rsid w:val="00363449"/>
    <w:rsid w:val="003638C0"/>
    <w:rsid w:val="00366D16"/>
    <w:rsid w:val="00371B4F"/>
    <w:rsid w:val="003776C5"/>
    <w:rsid w:val="00380C86"/>
    <w:rsid w:val="00384306"/>
    <w:rsid w:val="00395F44"/>
    <w:rsid w:val="00396763"/>
    <w:rsid w:val="003974A4"/>
    <w:rsid w:val="003A3ECB"/>
    <w:rsid w:val="003A5B61"/>
    <w:rsid w:val="003B0392"/>
    <w:rsid w:val="003B0EB6"/>
    <w:rsid w:val="003B180C"/>
    <w:rsid w:val="003B4604"/>
    <w:rsid w:val="003B52FD"/>
    <w:rsid w:val="003C4F3D"/>
    <w:rsid w:val="003C5C3B"/>
    <w:rsid w:val="003C5C4F"/>
    <w:rsid w:val="003C6185"/>
    <w:rsid w:val="003C619B"/>
    <w:rsid w:val="003C75FB"/>
    <w:rsid w:val="003D1CB8"/>
    <w:rsid w:val="003D1E5A"/>
    <w:rsid w:val="003D3119"/>
    <w:rsid w:val="003D5324"/>
    <w:rsid w:val="003D603E"/>
    <w:rsid w:val="003D6DF7"/>
    <w:rsid w:val="003E075E"/>
    <w:rsid w:val="003E333E"/>
    <w:rsid w:val="003E6B31"/>
    <w:rsid w:val="003E6D9B"/>
    <w:rsid w:val="003E79D8"/>
    <w:rsid w:val="003F1DAF"/>
    <w:rsid w:val="003F320D"/>
    <w:rsid w:val="003F3807"/>
    <w:rsid w:val="003F3DB8"/>
    <w:rsid w:val="003F3FA6"/>
    <w:rsid w:val="003F4D3E"/>
    <w:rsid w:val="003F5B4C"/>
    <w:rsid w:val="003F65FD"/>
    <w:rsid w:val="003F6663"/>
    <w:rsid w:val="003F6838"/>
    <w:rsid w:val="00401EF4"/>
    <w:rsid w:val="004029AF"/>
    <w:rsid w:val="00404003"/>
    <w:rsid w:val="00404324"/>
    <w:rsid w:val="004066D2"/>
    <w:rsid w:val="004075FF"/>
    <w:rsid w:val="0041398B"/>
    <w:rsid w:val="004174CF"/>
    <w:rsid w:val="004241AC"/>
    <w:rsid w:val="00425897"/>
    <w:rsid w:val="004261E3"/>
    <w:rsid w:val="00427B97"/>
    <w:rsid w:val="004300A5"/>
    <w:rsid w:val="00430499"/>
    <w:rsid w:val="00430790"/>
    <w:rsid w:val="00431543"/>
    <w:rsid w:val="004352D0"/>
    <w:rsid w:val="0044117E"/>
    <w:rsid w:val="004419A9"/>
    <w:rsid w:val="00441F12"/>
    <w:rsid w:val="00442981"/>
    <w:rsid w:val="004449FA"/>
    <w:rsid w:val="00445317"/>
    <w:rsid w:val="004525D1"/>
    <w:rsid w:val="00453A07"/>
    <w:rsid w:val="00455068"/>
    <w:rsid w:val="00456CD7"/>
    <w:rsid w:val="00457C5A"/>
    <w:rsid w:val="00461B6C"/>
    <w:rsid w:val="004621AE"/>
    <w:rsid w:val="0046451F"/>
    <w:rsid w:val="00464FDB"/>
    <w:rsid w:val="00470478"/>
    <w:rsid w:val="00470E33"/>
    <w:rsid w:val="004717DD"/>
    <w:rsid w:val="00472FF3"/>
    <w:rsid w:val="00475EC2"/>
    <w:rsid w:val="00480147"/>
    <w:rsid w:val="004806B5"/>
    <w:rsid w:val="00483AC7"/>
    <w:rsid w:val="00487FF5"/>
    <w:rsid w:val="0049053E"/>
    <w:rsid w:val="004929E1"/>
    <w:rsid w:val="004A15B1"/>
    <w:rsid w:val="004A36C7"/>
    <w:rsid w:val="004A61E1"/>
    <w:rsid w:val="004A67A2"/>
    <w:rsid w:val="004B65B5"/>
    <w:rsid w:val="004B71B9"/>
    <w:rsid w:val="004C1DF3"/>
    <w:rsid w:val="004C277F"/>
    <w:rsid w:val="004C3223"/>
    <w:rsid w:val="004C4395"/>
    <w:rsid w:val="004D09D9"/>
    <w:rsid w:val="004D0E29"/>
    <w:rsid w:val="004D290F"/>
    <w:rsid w:val="004D52A3"/>
    <w:rsid w:val="004D59BD"/>
    <w:rsid w:val="004D6794"/>
    <w:rsid w:val="004E0138"/>
    <w:rsid w:val="004E0A4F"/>
    <w:rsid w:val="004E0E5E"/>
    <w:rsid w:val="004E34D8"/>
    <w:rsid w:val="004E5749"/>
    <w:rsid w:val="004E6A18"/>
    <w:rsid w:val="004F4B07"/>
    <w:rsid w:val="005003AC"/>
    <w:rsid w:val="00502CBD"/>
    <w:rsid w:val="00506FB1"/>
    <w:rsid w:val="005122FF"/>
    <w:rsid w:val="00513413"/>
    <w:rsid w:val="0051709E"/>
    <w:rsid w:val="005177F3"/>
    <w:rsid w:val="00524B90"/>
    <w:rsid w:val="00532841"/>
    <w:rsid w:val="005335FF"/>
    <w:rsid w:val="00534694"/>
    <w:rsid w:val="00537CAD"/>
    <w:rsid w:val="00541CDB"/>
    <w:rsid w:val="00543FC0"/>
    <w:rsid w:val="00546488"/>
    <w:rsid w:val="00556ACD"/>
    <w:rsid w:val="00565DE9"/>
    <w:rsid w:val="00567973"/>
    <w:rsid w:val="00571157"/>
    <w:rsid w:val="00573C8E"/>
    <w:rsid w:val="00574181"/>
    <w:rsid w:val="00574D59"/>
    <w:rsid w:val="00576DE6"/>
    <w:rsid w:val="00580122"/>
    <w:rsid w:val="00584E96"/>
    <w:rsid w:val="00585EB8"/>
    <w:rsid w:val="00585F8C"/>
    <w:rsid w:val="005908B6"/>
    <w:rsid w:val="00593336"/>
    <w:rsid w:val="005934D2"/>
    <w:rsid w:val="00594576"/>
    <w:rsid w:val="00594669"/>
    <w:rsid w:val="005949F7"/>
    <w:rsid w:val="0059687E"/>
    <w:rsid w:val="00596A94"/>
    <w:rsid w:val="005A2F0B"/>
    <w:rsid w:val="005A5894"/>
    <w:rsid w:val="005A6BA7"/>
    <w:rsid w:val="005B038A"/>
    <w:rsid w:val="005B2836"/>
    <w:rsid w:val="005B45A6"/>
    <w:rsid w:val="005B6AB0"/>
    <w:rsid w:val="005B729E"/>
    <w:rsid w:val="005C1887"/>
    <w:rsid w:val="005C20C1"/>
    <w:rsid w:val="005C2228"/>
    <w:rsid w:val="005C645B"/>
    <w:rsid w:val="005C659A"/>
    <w:rsid w:val="005C725D"/>
    <w:rsid w:val="005C7315"/>
    <w:rsid w:val="005C74EB"/>
    <w:rsid w:val="005D0B8D"/>
    <w:rsid w:val="005D2DEA"/>
    <w:rsid w:val="005D7772"/>
    <w:rsid w:val="005D7E56"/>
    <w:rsid w:val="005E070A"/>
    <w:rsid w:val="005E3790"/>
    <w:rsid w:val="005F07D3"/>
    <w:rsid w:val="005F1C93"/>
    <w:rsid w:val="005F2171"/>
    <w:rsid w:val="005F3569"/>
    <w:rsid w:val="0060321F"/>
    <w:rsid w:val="0060504E"/>
    <w:rsid w:val="0061116B"/>
    <w:rsid w:val="00613B51"/>
    <w:rsid w:val="00615799"/>
    <w:rsid w:val="00616369"/>
    <w:rsid w:val="00617D6B"/>
    <w:rsid w:val="00622E9D"/>
    <w:rsid w:val="006263F0"/>
    <w:rsid w:val="00630C93"/>
    <w:rsid w:val="00633DF1"/>
    <w:rsid w:val="006354BE"/>
    <w:rsid w:val="00637759"/>
    <w:rsid w:val="00637BDD"/>
    <w:rsid w:val="00644FE4"/>
    <w:rsid w:val="00650668"/>
    <w:rsid w:val="00651656"/>
    <w:rsid w:val="00654C4B"/>
    <w:rsid w:val="00654F42"/>
    <w:rsid w:val="006560E0"/>
    <w:rsid w:val="00656BDB"/>
    <w:rsid w:val="006575C7"/>
    <w:rsid w:val="00660577"/>
    <w:rsid w:val="00660D4E"/>
    <w:rsid w:val="0066136B"/>
    <w:rsid w:val="006657AE"/>
    <w:rsid w:val="00670EC2"/>
    <w:rsid w:val="00673C65"/>
    <w:rsid w:val="0067432E"/>
    <w:rsid w:val="0067436E"/>
    <w:rsid w:val="00675141"/>
    <w:rsid w:val="0067695B"/>
    <w:rsid w:val="006810D0"/>
    <w:rsid w:val="006813B1"/>
    <w:rsid w:val="00682914"/>
    <w:rsid w:val="00684A5E"/>
    <w:rsid w:val="006850F5"/>
    <w:rsid w:val="00690982"/>
    <w:rsid w:val="00690C39"/>
    <w:rsid w:val="00693399"/>
    <w:rsid w:val="00697A22"/>
    <w:rsid w:val="006A1838"/>
    <w:rsid w:val="006A1904"/>
    <w:rsid w:val="006A5306"/>
    <w:rsid w:val="006A5738"/>
    <w:rsid w:val="006A5E4F"/>
    <w:rsid w:val="006A73AD"/>
    <w:rsid w:val="006B11C2"/>
    <w:rsid w:val="006B313C"/>
    <w:rsid w:val="006B6EE5"/>
    <w:rsid w:val="006B7606"/>
    <w:rsid w:val="006C4B1F"/>
    <w:rsid w:val="006D2F7F"/>
    <w:rsid w:val="006D37E0"/>
    <w:rsid w:val="006D5166"/>
    <w:rsid w:val="006D517B"/>
    <w:rsid w:val="006D560F"/>
    <w:rsid w:val="006E07EE"/>
    <w:rsid w:val="006E1D63"/>
    <w:rsid w:val="006E6D07"/>
    <w:rsid w:val="006E6DB9"/>
    <w:rsid w:val="006F020C"/>
    <w:rsid w:val="006F4860"/>
    <w:rsid w:val="006F4A8B"/>
    <w:rsid w:val="006F4C46"/>
    <w:rsid w:val="006F5C04"/>
    <w:rsid w:val="006F7014"/>
    <w:rsid w:val="00701EE7"/>
    <w:rsid w:val="00703623"/>
    <w:rsid w:val="00710845"/>
    <w:rsid w:val="00712A25"/>
    <w:rsid w:val="00713CE0"/>
    <w:rsid w:val="00714A39"/>
    <w:rsid w:val="00717AEE"/>
    <w:rsid w:val="00717E76"/>
    <w:rsid w:val="00724BE4"/>
    <w:rsid w:val="00724E2F"/>
    <w:rsid w:val="007320E9"/>
    <w:rsid w:val="00733E8C"/>
    <w:rsid w:val="00734039"/>
    <w:rsid w:val="007343F0"/>
    <w:rsid w:val="00742991"/>
    <w:rsid w:val="007471CE"/>
    <w:rsid w:val="0074744D"/>
    <w:rsid w:val="00751F83"/>
    <w:rsid w:val="00753798"/>
    <w:rsid w:val="00753E71"/>
    <w:rsid w:val="00754D4A"/>
    <w:rsid w:val="007562BF"/>
    <w:rsid w:val="00757FCF"/>
    <w:rsid w:val="00763DE2"/>
    <w:rsid w:val="00765182"/>
    <w:rsid w:val="0076557F"/>
    <w:rsid w:val="0076672E"/>
    <w:rsid w:val="00770FDA"/>
    <w:rsid w:val="007713B3"/>
    <w:rsid w:val="00772BA5"/>
    <w:rsid w:val="00775C66"/>
    <w:rsid w:val="00775E93"/>
    <w:rsid w:val="0077668C"/>
    <w:rsid w:val="00777964"/>
    <w:rsid w:val="00780263"/>
    <w:rsid w:val="0078093C"/>
    <w:rsid w:val="00785EBF"/>
    <w:rsid w:val="007900D7"/>
    <w:rsid w:val="0079141A"/>
    <w:rsid w:val="0079366B"/>
    <w:rsid w:val="00796858"/>
    <w:rsid w:val="0079740C"/>
    <w:rsid w:val="007A0276"/>
    <w:rsid w:val="007A299E"/>
    <w:rsid w:val="007A2BD3"/>
    <w:rsid w:val="007A7794"/>
    <w:rsid w:val="007B0EB1"/>
    <w:rsid w:val="007B12BD"/>
    <w:rsid w:val="007B2826"/>
    <w:rsid w:val="007B3877"/>
    <w:rsid w:val="007B5917"/>
    <w:rsid w:val="007B6A4C"/>
    <w:rsid w:val="007B7976"/>
    <w:rsid w:val="007B7BDD"/>
    <w:rsid w:val="007B7D44"/>
    <w:rsid w:val="007C3D4D"/>
    <w:rsid w:val="007C3D95"/>
    <w:rsid w:val="007C44EA"/>
    <w:rsid w:val="007C557F"/>
    <w:rsid w:val="007C6B19"/>
    <w:rsid w:val="007D19E3"/>
    <w:rsid w:val="007D1B89"/>
    <w:rsid w:val="007D3EAC"/>
    <w:rsid w:val="007D6134"/>
    <w:rsid w:val="007D6176"/>
    <w:rsid w:val="007E04D6"/>
    <w:rsid w:val="007E4D75"/>
    <w:rsid w:val="007E59B4"/>
    <w:rsid w:val="007E5FD3"/>
    <w:rsid w:val="007E6C75"/>
    <w:rsid w:val="007E77F7"/>
    <w:rsid w:val="007F1085"/>
    <w:rsid w:val="007F4976"/>
    <w:rsid w:val="007F5AE8"/>
    <w:rsid w:val="007F7B10"/>
    <w:rsid w:val="008016DE"/>
    <w:rsid w:val="00801D42"/>
    <w:rsid w:val="008020D7"/>
    <w:rsid w:val="0080316F"/>
    <w:rsid w:val="00803CA1"/>
    <w:rsid w:val="0080710A"/>
    <w:rsid w:val="00810237"/>
    <w:rsid w:val="00810884"/>
    <w:rsid w:val="00810DB7"/>
    <w:rsid w:val="00811BC7"/>
    <w:rsid w:val="00812B79"/>
    <w:rsid w:val="00813209"/>
    <w:rsid w:val="00823882"/>
    <w:rsid w:val="00825E20"/>
    <w:rsid w:val="008276D4"/>
    <w:rsid w:val="00831BB3"/>
    <w:rsid w:val="00831BC6"/>
    <w:rsid w:val="00834BBF"/>
    <w:rsid w:val="008367F3"/>
    <w:rsid w:val="00843995"/>
    <w:rsid w:val="00843ED4"/>
    <w:rsid w:val="00847178"/>
    <w:rsid w:val="00850B0A"/>
    <w:rsid w:val="00851414"/>
    <w:rsid w:val="00851E6F"/>
    <w:rsid w:val="008553B9"/>
    <w:rsid w:val="00856940"/>
    <w:rsid w:val="0086087E"/>
    <w:rsid w:val="00861A53"/>
    <w:rsid w:val="00862DDF"/>
    <w:rsid w:val="008677AD"/>
    <w:rsid w:val="00873A30"/>
    <w:rsid w:val="00875824"/>
    <w:rsid w:val="00882EBA"/>
    <w:rsid w:val="0088410E"/>
    <w:rsid w:val="00884F11"/>
    <w:rsid w:val="0088613C"/>
    <w:rsid w:val="00886FB9"/>
    <w:rsid w:val="00890E5E"/>
    <w:rsid w:val="00892451"/>
    <w:rsid w:val="00895C4A"/>
    <w:rsid w:val="0089605E"/>
    <w:rsid w:val="0089621D"/>
    <w:rsid w:val="0089691D"/>
    <w:rsid w:val="008A191B"/>
    <w:rsid w:val="008A1A9B"/>
    <w:rsid w:val="008A1D0F"/>
    <w:rsid w:val="008A2F1C"/>
    <w:rsid w:val="008A4806"/>
    <w:rsid w:val="008A53AE"/>
    <w:rsid w:val="008A5AF9"/>
    <w:rsid w:val="008A755C"/>
    <w:rsid w:val="008B0E3C"/>
    <w:rsid w:val="008B2BCE"/>
    <w:rsid w:val="008B4A80"/>
    <w:rsid w:val="008B6811"/>
    <w:rsid w:val="008C0BF0"/>
    <w:rsid w:val="008C0CDB"/>
    <w:rsid w:val="008C0ED1"/>
    <w:rsid w:val="008C3B4B"/>
    <w:rsid w:val="008C4CEA"/>
    <w:rsid w:val="008C5965"/>
    <w:rsid w:val="008C5E3E"/>
    <w:rsid w:val="008C7618"/>
    <w:rsid w:val="008D5C4A"/>
    <w:rsid w:val="008E1441"/>
    <w:rsid w:val="008E22E3"/>
    <w:rsid w:val="008E3D22"/>
    <w:rsid w:val="008E7140"/>
    <w:rsid w:val="008F39D1"/>
    <w:rsid w:val="008F3C91"/>
    <w:rsid w:val="008F4979"/>
    <w:rsid w:val="008F4CF4"/>
    <w:rsid w:val="008F6F36"/>
    <w:rsid w:val="009007D6"/>
    <w:rsid w:val="009056A3"/>
    <w:rsid w:val="00911155"/>
    <w:rsid w:val="009151BB"/>
    <w:rsid w:val="0091579D"/>
    <w:rsid w:val="0091634E"/>
    <w:rsid w:val="00916CE0"/>
    <w:rsid w:val="009211FA"/>
    <w:rsid w:val="00921B32"/>
    <w:rsid w:val="00922543"/>
    <w:rsid w:val="00923B92"/>
    <w:rsid w:val="00933120"/>
    <w:rsid w:val="00934AC1"/>
    <w:rsid w:val="009364D7"/>
    <w:rsid w:val="00936A25"/>
    <w:rsid w:val="0094262E"/>
    <w:rsid w:val="00942F84"/>
    <w:rsid w:val="00944671"/>
    <w:rsid w:val="00952659"/>
    <w:rsid w:val="0095361F"/>
    <w:rsid w:val="009551A8"/>
    <w:rsid w:val="009600E5"/>
    <w:rsid w:val="00961A00"/>
    <w:rsid w:val="00962A75"/>
    <w:rsid w:val="00963183"/>
    <w:rsid w:val="0096508C"/>
    <w:rsid w:val="00965C0A"/>
    <w:rsid w:val="0097164A"/>
    <w:rsid w:val="0097223C"/>
    <w:rsid w:val="00976E53"/>
    <w:rsid w:val="00977748"/>
    <w:rsid w:val="00977BA2"/>
    <w:rsid w:val="009832E5"/>
    <w:rsid w:val="00985C56"/>
    <w:rsid w:val="00990892"/>
    <w:rsid w:val="009919A9"/>
    <w:rsid w:val="00991A65"/>
    <w:rsid w:val="00992CED"/>
    <w:rsid w:val="00992E02"/>
    <w:rsid w:val="0099674F"/>
    <w:rsid w:val="009A2775"/>
    <w:rsid w:val="009A7516"/>
    <w:rsid w:val="009A7B0B"/>
    <w:rsid w:val="009B0507"/>
    <w:rsid w:val="009B0C95"/>
    <w:rsid w:val="009B15E9"/>
    <w:rsid w:val="009B1F10"/>
    <w:rsid w:val="009B21A5"/>
    <w:rsid w:val="009B30B8"/>
    <w:rsid w:val="009B693B"/>
    <w:rsid w:val="009B7406"/>
    <w:rsid w:val="009C1CD0"/>
    <w:rsid w:val="009C375F"/>
    <w:rsid w:val="009C49DC"/>
    <w:rsid w:val="009C58D2"/>
    <w:rsid w:val="009C6EF2"/>
    <w:rsid w:val="009C7207"/>
    <w:rsid w:val="009C7F78"/>
    <w:rsid w:val="009D032E"/>
    <w:rsid w:val="009D19EF"/>
    <w:rsid w:val="009D5BE2"/>
    <w:rsid w:val="009E0285"/>
    <w:rsid w:val="009E36FD"/>
    <w:rsid w:val="009E4751"/>
    <w:rsid w:val="009E4D89"/>
    <w:rsid w:val="009E5C7E"/>
    <w:rsid w:val="009E62C3"/>
    <w:rsid w:val="009E7675"/>
    <w:rsid w:val="009E769B"/>
    <w:rsid w:val="009F0DA9"/>
    <w:rsid w:val="009F7A88"/>
    <w:rsid w:val="009F7DE9"/>
    <w:rsid w:val="00A01ABB"/>
    <w:rsid w:val="00A02BEE"/>
    <w:rsid w:val="00A0453C"/>
    <w:rsid w:val="00A07C4F"/>
    <w:rsid w:val="00A1320E"/>
    <w:rsid w:val="00A136B2"/>
    <w:rsid w:val="00A158D3"/>
    <w:rsid w:val="00A160C7"/>
    <w:rsid w:val="00A16C77"/>
    <w:rsid w:val="00A172D3"/>
    <w:rsid w:val="00A226E3"/>
    <w:rsid w:val="00A25B41"/>
    <w:rsid w:val="00A26B77"/>
    <w:rsid w:val="00A26CC9"/>
    <w:rsid w:val="00A30D9B"/>
    <w:rsid w:val="00A31882"/>
    <w:rsid w:val="00A3257B"/>
    <w:rsid w:val="00A3398F"/>
    <w:rsid w:val="00A363D1"/>
    <w:rsid w:val="00A36988"/>
    <w:rsid w:val="00A41FCD"/>
    <w:rsid w:val="00A4258C"/>
    <w:rsid w:val="00A4338E"/>
    <w:rsid w:val="00A4497E"/>
    <w:rsid w:val="00A46A49"/>
    <w:rsid w:val="00A47A69"/>
    <w:rsid w:val="00A50362"/>
    <w:rsid w:val="00A523CE"/>
    <w:rsid w:val="00A52544"/>
    <w:rsid w:val="00A5330B"/>
    <w:rsid w:val="00A53B11"/>
    <w:rsid w:val="00A5616F"/>
    <w:rsid w:val="00A569AE"/>
    <w:rsid w:val="00A609C2"/>
    <w:rsid w:val="00A6239A"/>
    <w:rsid w:val="00A633E7"/>
    <w:rsid w:val="00A64C65"/>
    <w:rsid w:val="00A707B7"/>
    <w:rsid w:val="00A721F9"/>
    <w:rsid w:val="00A75131"/>
    <w:rsid w:val="00A75575"/>
    <w:rsid w:val="00A76FF3"/>
    <w:rsid w:val="00A807BF"/>
    <w:rsid w:val="00A82A1F"/>
    <w:rsid w:val="00A84678"/>
    <w:rsid w:val="00A905FC"/>
    <w:rsid w:val="00A90DA3"/>
    <w:rsid w:val="00A938C7"/>
    <w:rsid w:val="00A93F02"/>
    <w:rsid w:val="00AA5FB1"/>
    <w:rsid w:val="00AA6CC9"/>
    <w:rsid w:val="00AA7658"/>
    <w:rsid w:val="00AB13B2"/>
    <w:rsid w:val="00AB1D47"/>
    <w:rsid w:val="00AB3252"/>
    <w:rsid w:val="00AC0672"/>
    <w:rsid w:val="00AC0DA2"/>
    <w:rsid w:val="00AC468C"/>
    <w:rsid w:val="00AC6541"/>
    <w:rsid w:val="00AC7DC6"/>
    <w:rsid w:val="00AD140C"/>
    <w:rsid w:val="00AD146B"/>
    <w:rsid w:val="00AD2AB9"/>
    <w:rsid w:val="00AD330A"/>
    <w:rsid w:val="00AD4443"/>
    <w:rsid w:val="00AD7460"/>
    <w:rsid w:val="00AE5BAB"/>
    <w:rsid w:val="00AE7795"/>
    <w:rsid w:val="00AE7A8E"/>
    <w:rsid w:val="00AE7C1E"/>
    <w:rsid w:val="00AF1336"/>
    <w:rsid w:val="00AF1AE3"/>
    <w:rsid w:val="00AF284A"/>
    <w:rsid w:val="00AF662A"/>
    <w:rsid w:val="00AF7CA4"/>
    <w:rsid w:val="00B00220"/>
    <w:rsid w:val="00B005E6"/>
    <w:rsid w:val="00B01837"/>
    <w:rsid w:val="00B037EE"/>
    <w:rsid w:val="00B03931"/>
    <w:rsid w:val="00B04835"/>
    <w:rsid w:val="00B05CE3"/>
    <w:rsid w:val="00B0799B"/>
    <w:rsid w:val="00B11734"/>
    <w:rsid w:val="00B119CD"/>
    <w:rsid w:val="00B11BD4"/>
    <w:rsid w:val="00B11FC0"/>
    <w:rsid w:val="00B12707"/>
    <w:rsid w:val="00B17A23"/>
    <w:rsid w:val="00B17B12"/>
    <w:rsid w:val="00B17CF7"/>
    <w:rsid w:val="00B20F50"/>
    <w:rsid w:val="00B23051"/>
    <w:rsid w:val="00B231C3"/>
    <w:rsid w:val="00B23FD0"/>
    <w:rsid w:val="00B243B6"/>
    <w:rsid w:val="00B245A9"/>
    <w:rsid w:val="00B25F35"/>
    <w:rsid w:val="00B2658C"/>
    <w:rsid w:val="00B26F0F"/>
    <w:rsid w:val="00B27785"/>
    <w:rsid w:val="00B30F66"/>
    <w:rsid w:val="00B311B4"/>
    <w:rsid w:val="00B34357"/>
    <w:rsid w:val="00B354EF"/>
    <w:rsid w:val="00B40470"/>
    <w:rsid w:val="00B4100A"/>
    <w:rsid w:val="00B41393"/>
    <w:rsid w:val="00B4268D"/>
    <w:rsid w:val="00B42F76"/>
    <w:rsid w:val="00B45DAC"/>
    <w:rsid w:val="00B45EA7"/>
    <w:rsid w:val="00B503CD"/>
    <w:rsid w:val="00B53F5B"/>
    <w:rsid w:val="00B566A0"/>
    <w:rsid w:val="00B5777D"/>
    <w:rsid w:val="00B61062"/>
    <w:rsid w:val="00B6167C"/>
    <w:rsid w:val="00B62209"/>
    <w:rsid w:val="00B63A24"/>
    <w:rsid w:val="00B644D2"/>
    <w:rsid w:val="00B646E9"/>
    <w:rsid w:val="00B66B09"/>
    <w:rsid w:val="00B70979"/>
    <w:rsid w:val="00B71A6C"/>
    <w:rsid w:val="00B722FB"/>
    <w:rsid w:val="00B72BDA"/>
    <w:rsid w:val="00B74257"/>
    <w:rsid w:val="00B7635F"/>
    <w:rsid w:val="00B763A7"/>
    <w:rsid w:val="00B8514B"/>
    <w:rsid w:val="00B8588C"/>
    <w:rsid w:val="00B928F9"/>
    <w:rsid w:val="00BA10D3"/>
    <w:rsid w:val="00BA11DD"/>
    <w:rsid w:val="00BA1D1D"/>
    <w:rsid w:val="00BA589D"/>
    <w:rsid w:val="00BB26BF"/>
    <w:rsid w:val="00BB2AC4"/>
    <w:rsid w:val="00BB2B73"/>
    <w:rsid w:val="00BB2BF0"/>
    <w:rsid w:val="00BB46F3"/>
    <w:rsid w:val="00BB4BA0"/>
    <w:rsid w:val="00BC1870"/>
    <w:rsid w:val="00BC4023"/>
    <w:rsid w:val="00BC58C2"/>
    <w:rsid w:val="00BC5996"/>
    <w:rsid w:val="00BD1297"/>
    <w:rsid w:val="00BD14BD"/>
    <w:rsid w:val="00BD14DF"/>
    <w:rsid w:val="00BD450D"/>
    <w:rsid w:val="00BD70A6"/>
    <w:rsid w:val="00BE0057"/>
    <w:rsid w:val="00BE0AA0"/>
    <w:rsid w:val="00BE0F3A"/>
    <w:rsid w:val="00BE1625"/>
    <w:rsid w:val="00BE1A54"/>
    <w:rsid w:val="00BF17A7"/>
    <w:rsid w:val="00BF1CC7"/>
    <w:rsid w:val="00BF1E87"/>
    <w:rsid w:val="00BF3AD1"/>
    <w:rsid w:val="00BF7756"/>
    <w:rsid w:val="00C00EF7"/>
    <w:rsid w:val="00C03949"/>
    <w:rsid w:val="00C05A35"/>
    <w:rsid w:val="00C0714A"/>
    <w:rsid w:val="00C10414"/>
    <w:rsid w:val="00C13FB7"/>
    <w:rsid w:val="00C14D2B"/>
    <w:rsid w:val="00C1575C"/>
    <w:rsid w:val="00C15CA2"/>
    <w:rsid w:val="00C20CF5"/>
    <w:rsid w:val="00C2186F"/>
    <w:rsid w:val="00C21E0F"/>
    <w:rsid w:val="00C2249E"/>
    <w:rsid w:val="00C261A9"/>
    <w:rsid w:val="00C26231"/>
    <w:rsid w:val="00C269C5"/>
    <w:rsid w:val="00C304CC"/>
    <w:rsid w:val="00C31952"/>
    <w:rsid w:val="00C33E3D"/>
    <w:rsid w:val="00C34C07"/>
    <w:rsid w:val="00C35DF2"/>
    <w:rsid w:val="00C36A8E"/>
    <w:rsid w:val="00C429C3"/>
    <w:rsid w:val="00C4560A"/>
    <w:rsid w:val="00C5410E"/>
    <w:rsid w:val="00C60827"/>
    <w:rsid w:val="00C653C0"/>
    <w:rsid w:val="00C65CCC"/>
    <w:rsid w:val="00C678FB"/>
    <w:rsid w:val="00C70232"/>
    <w:rsid w:val="00C7072D"/>
    <w:rsid w:val="00C725AF"/>
    <w:rsid w:val="00C72946"/>
    <w:rsid w:val="00C74DBF"/>
    <w:rsid w:val="00C77A25"/>
    <w:rsid w:val="00C85D52"/>
    <w:rsid w:val="00C86CA8"/>
    <w:rsid w:val="00C9094B"/>
    <w:rsid w:val="00C91D49"/>
    <w:rsid w:val="00C9213E"/>
    <w:rsid w:val="00C92987"/>
    <w:rsid w:val="00C92C24"/>
    <w:rsid w:val="00C9539C"/>
    <w:rsid w:val="00C96C7E"/>
    <w:rsid w:val="00C978ED"/>
    <w:rsid w:val="00C97DA2"/>
    <w:rsid w:val="00CA4795"/>
    <w:rsid w:val="00CA4E26"/>
    <w:rsid w:val="00CA561A"/>
    <w:rsid w:val="00CA5FA3"/>
    <w:rsid w:val="00CB4CC0"/>
    <w:rsid w:val="00CC189F"/>
    <w:rsid w:val="00CC3EC2"/>
    <w:rsid w:val="00CC5D6E"/>
    <w:rsid w:val="00CC6959"/>
    <w:rsid w:val="00CD2DA0"/>
    <w:rsid w:val="00CD4B53"/>
    <w:rsid w:val="00CE06A8"/>
    <w:rsid w:val="00CE33F4"/>
    <w:rsid w:val="00CE3B9E"/>
    <w:rsid w:val="00CE6302"/>
    <w:rsid w:val="00CE6663"/>
    <w:rsid w:val="00CF0449"/>
    <w:rsid w:val="00CF107F"/>
    <w:rsid w:val="00CF5AED"/>
    <w:rsid w:val="00D007A6"/>
    <w:rsid w:val="00D01A61"/>
    <w:rsid w:val="00D02500"/>
    <w:rsid w:val="00D026D1"/>
    <w:rsid w:val="00D038B6"/>
    <w:rsid w:val="00D039CA"/>
    <w:rsid w:val="00D04CE7"/>
    <w:rsid w:val="00D11989"/>
    <w:rsid w:val="00D13FF7"/>
    <w:rsid w:val="00D15227"/>
    <w:rsid w:val="00D22F05"/>
    <w:rsid w:val="00D25280"/>
    <w:rsid w:val="00D268AF"/>
    <w:rsid w:val="00D27B89"/>
    <w:rsid w:val="00D335E6"/>
    <w:rsid w:val="00D347BA"/>
    <w:rsid w:val="00D40955"/>
    <w:rsid w:val="00D47228"/>
    <w:rsid w:val="00D503B5"/>
    <w:rsid w:val="00D528C1"/>
    <w:rsid w:val="00D538A6"/>
    <w:rsid w:val="00D54285"/>
    <w:rsid w:val="00D55658"/>
    <w:rsid w:val="00D55D4E"/>
    <w:rsid w:val="00D56EDA"/>
    <w:rsid w:val="00D61D8F"/>
    <w:rsid w:val="00D62350"/>
    <w:rsid w:val="00D65DBE"/>
    <w:rsid w:val="00D72ED0"/>
    <w:rsid w:val="00D73147"/>
    <w:rsid w:val="00D73A32"/>
    <w:rsid w:val="00D76EC2"/>
    <w:rsid w:val="00D82AD1"/>
    <w:rsid w:val="00D834C5"/>
    <w:rsid w:val="00D83E91"/>
    <w:rsid w:val="00D842F4"/>
    <w:rsid w:val="00D84970"/>
    <w:rsid w:val="00D920E2"/>
    <w:rsid w:val="00D97D67"/>
    <w:rsid w:val="00DA15F1"/>
    <w:rsid w:val="00DA2FA6"/>
    <w:rsid w:val="00DA307C"/>
    <w:rsid w:val="00DA4430"/>
    <w:rsid w:val="00DA55EC"/>
    <w:rsid w:val="00DA7CD2"/>
    <w:rsid w:val="00DB0030"/>
    <w:rsid w:val="00DB18EB"/>
    <w:rsid w:val="00DB3184"/>
    <w:rsid w:val="00DC05A1"/>
    <w:rsid w:val="00DC18EF"/>
    <w:rsid w:val="00DC3702"/>
    <w:rsid w:val="00DC4632"/>
    <w:rsid w:val="00DD1729"/>
    <w:rsid w:val="00DD18AF"/>
    <w:rsid w:val="00DD2EF1"/>
    <w:rsid w:val="00DD7D5A"/>
    <w:rsid w:val="00DE58FA"/>
    <w:rsid w:val="00DF02F6"/>
    <w:rsid w:val="00DF3A63"/>
    <w:rsid w:val="00DF4625"/>
    <w:rsid w:val="00DF547C"/>
    <w:rsid w:val="00DF6FBE"/>
    <w:rsid w:val="00DF70F9"/>
    <w:rsid w:val="00E02917"/>
    <w:rsid w:val="00E0314E"/>
    <w:rsid w:val="00E03D4F"/>
    <w:rsid w:val="00E042A8"/>
    <w:rsid w:val="00E1231B"/>
    <w:rsid w:val="00E1509B"/>
    <w:rsid w:val="00E16ABA"/>
    <w:rsid w:val="00E17A0A"/>
    <w:rsid w:val="00E17FED"/>
    <w:rsid w:val="00E22315"/>
    <w:rsid w:val="00E22EDF"/>
    <w:rsid w:val="00E23AB7"/>
    <w:rsid w:val="00E23CED"/>
    <w:rsid w:val="00E26CEB"/>
    <w:rsid w:val="00E27F04"/>
    <w:rsid w:val="00E3074A"/>
    <w:rsid w:val="00E3096B"/>
    <w:rsid w:val="00E31F98"/>
    <w:rsid w:val="00E32F28"/>
    <w:rsid w:val="00E3310B"/>
    <w:rsid w:val="00E335B6"/>
    <w:rsid w:val="00E337C1"/>
    <w:rsid w:val="00E337E4"/>
    <w:rsid w:val="00E369B6"/>
    <w:rsid w:val="00E40791"/>
    <w:rsid w:val="00E41B86"/>
    <w:rsid w:val="00E4348D"/>
    <w:rsid w:val="00E44C19"/>
    <w:rsid w:val="00E4681A"/>
    <w:rsid w:val="00E4692F"/>
    <w:rsid w:val="00E46D44"/>
    <w:rsid w:val="00E474F2"/>
    <w:rsid w:val="00E47D65"/>
    <w:rsid w:val="00E543FD"/>
    <w:rsid w:val="00E55A56"/>
    <w:rsid w:val="00E55AE0"/>
    <w:rsid w:val="00E56BFB"/>
    <w:rsid w:val="00E631B6"/>
    <w:rsid w:val="00E63EE6"/>
    <w:rsid w:val="00E64530"/>
    <w:rsid w:val="00E64F2A"/>
    <w:rsid w:val="00E70E2B"/>
    <w:rsid w:val="00E711F9"/>
    <w:rsid w:val="00E753F5"/>
    <w:rsid w:val="00E75C9D"/>
    <w:rsid w:val="00E81BDD"/>
    <w:rsid w:val="00E86808"/>
    <w:rsid w:val="00E87599"/>
    <w:rsid w:val="00E93D42"/>
    <w:rsid w:val="00E940DE"/>
    <w:rsid w:val="00E940ED"/>
    <w:rsid w:val="00E94B8B"/>
    <w:rsid w:val="00E95589"/>
    <w:rsid w:val="00E96EB2"/>
    <w:rsid w:val="00E97EC3"/>
    <w:rsid w:val="00EA2B3C"/>
    <w:rsid w:val="00EA51E5"/>
    <w:rsid w:val="00EA74D4"/>
    <w:rsid w:val="00EC09BA"/>
    <w:rsid w:val="00EC2096"/>
    <w:rsid w:val="00EC4023"/>
    <w:rsid w:val="00EC7933"/>
    <w:rsid w:val="00ED2780"/>
    <w:rsid w:val="00ED3C3C"/>
    <w:rsid w:val="00ED5201"/>
    <w:rsid w:val="00ED58B1"/>
    <w:rsid w:val="00EE4698"/>
    <w:rsid w:val="00EE4FD8"/>
    <w:rsid w:val="00EE5C7A"/>
    <w:rsid w:val="00EE6114"/>
    <w:rsid w:val="00EE629B"/>
    <w:rsid w:val="00EF35C3"/>
    <w:rsid w:val="00EF7589"/>
    <w:rsid w:val="00F0008B"/>
    <w:rsid w:val="00F00BE3"/>
    <w:rsid w:val="00F0165A"/>
    <w:rsid w:val="00F02EFE"/>
    <w:rsid w:val="00F05DCA"/>
    <w:rsid w:val="00F0692E"/>
    <w:rsid w:val="00F10AA5"/>
    <w:rsid w:val="00F1128C"/>
    <w:rsid w:val="00F13E8C"/>
    <w:rsid w:val="00F16005"/>
    <w:rsid w:val="00F1601C"/>
    <w:rsid w:val="00F161CD"/>
    <w:rsid w:val="00F226E1"/>
    <w:rsid w:val="00F23C93"/>
    <w:rsid w:val="00F30A7D"/>
    <w:rsid w:val="00F37419"/>
    <w:rsid w:val="00F4540C"/>
    <w:rsid w:val="00F47612"/>
    <w:rsid w:val="00F476AD"/>
    <w:rsid w:val="00F51140"/>
    <w:rsid w:val="00F52F53"/>
    <w:rsid w:val="00F605DB"/>
    <w:rsid w:val="00F61AB7"/>
    <w:rsid w:val="00F634E9"/>
    <w:rsid w:val="00F6677A"/>
    <w:rsid w:val="00F70C3C"/>
    <w:rsid w:val="00F71741"/>
    <w:rsid w:val="00F7179A"/>
    <w:rsid w:val="00F74DF5"/>
    <w:rsid w:val="00F765A2"/>
    <w:rsid w:val="00F807A4"/>
    <w:rsid w:val="00F807CC"/>
    <w:rsid w:val="00F80EF6"/>
    <w:rsid w:val="00F83343"/>
    <w:rsid w:val="00F87035"/>
    <w:rsid w:val="00F87226"/>
    <w:rsid w:val="00F87424"/>
    <w:rsid w:val="00F91B3A"/>
    <w:rsid w:val="00F92C6A"/>
    <w:rsid w:val="00FA11DD"/>
    <w:rsid w:val="00FA2B95"/>
    <w:rsid w:val="00FA7280"/>
    <w:rsid w:val="00FB01E6"/>
    <w:rsid w:val="00FB2106"/>
    <w:rsid w:val="00FB39B6"/>
    <w:rsid w:val="00FB493B"/>
    <w:rsid w:val="00FB4FA6"/>
    <w:rsid w:val="00FB5F1A"/>
    <w:rsid w:val="00FB7072"/>
    <w:rsid w:val="00FC09B2"/>
    <w:rsid w:val="00FC3294"/>
    <w:rsid w:val="00FC3EEC"/>
    <w:rsid w:val="00FC62C2"/>
    <w:rsid w:val="00FC6A0F"/>
    <w:rsid w:val="00FC6C51"/>
    <w:rsid w:val="00FC6D73"/>
    <w:rsid w:val="00FD0E68"/>
    <w:rsid w:val="00FD282E"/>
    <w:rsid w:val="00FD4542"/>
    <w:rsid w:val="00FD467D"/>
    <w:rsid w:val="00FD56AA"/>
    <w:rsid w:val="00FD5B7A"/>
    <w:rsid w:val="00FE34CF"/>
    <w:rsid w:val="00FE4BE3"/>
    <w:rsid w:val="00FE7A62"/>
    <w:rsid w:val="00FF3241"/>
    <w:rsid w:val="00FF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99"/>
    <w:rsid w:val="000A70D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753798"/>
    <w:rPr>
      <w:color w:val="808080"/>
    </w:rPr>
  </w:style>
  <w:style w:type="paragraph" w:styleId="NormalWeb">
    <w:name w:val="Normal (Web)"/>
    <w:basedOn w:val="Normal"/>
    <w:uiPriority w:val="99"/>
    <w:semiHidden/>
    <w:unhideWhenUsed/>
    <w:rsid w:val="007F5AE8"/>
    <w:pPr>
      <w:spacing w:before="100" w:beforeAutospacing="1" w:after="100" w:afterAutospacing="1" w:line="240" w:lineRule="auto"/>
    </w:pPr>
  </w:style>
  <w:style w:type="paragraph" w:styleId="NoSpacing">
    <w:name w:val="No Spacing"/>
    <w:uiPriority w:val="1"/>
    <w:qFormat/>
    <w:rsid w:val="00576DE6"/>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589"/>
    <w:pPr>
      <w:spacing w:after="0" w:line="240" w:lineRule="auto"/>
    </w:pPr>
    <w:rPr>
      <w:sz w:val="24"/>
      <w:szCs w:val="24"/>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99"/>
    <w:rsid w:val="000A70D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444351">
      <w:marLeft w:val="0"/>
      <w:marRight w:val="0"/>
      <w:marTop w:val="0"/>
      <w:marBottom w:val="0"/>
      <w:divBdr>
        <w:top w:val="none" w:sz="0" w:space="0" w:color="auto"/>
        <w:left w:val="none" w:sz="0" w:space="0" w:color="auto"/>
        <w:bottom w:val="none" w:sz="0" w:space="0" w:color="auto"/>
        <w:right w:val="none" w:sz="0" w:space="0" w:color="auto"/>
      </w:divBdr>
    </w:div>
    <w:div w:id="253444352">
      <w:marLeft w:val="0"/>
      <w:marRight w:val="0"/>
      <w:marTop w:val="0"/>
      <w:marBottom w:val="0"/>
      <w:divBdr>
        <w:top w:val="none" w:sz="0" w:space="0" w:color="auto"/>
        <w:left w:val="none" w:sz="0" w:space="0" w:color="auto"/>
        <w:bottom w:val="none" w:sz="0" w:space="0" w:color="auto"/>
        <w:right w:val="none" w:sz="0" w:space="0" w:color="auto"/>
      </w:divBdr>
    </w:div>
    <w:div w:id="253444353">
      <w:marLeft w:val="0"/>
      <w:marRight w:val="0"/>
      <w:marTop w:val="0"/>
      <w:marBottom w:val="0"/>
      <w:divBdr>
        <w:top w:val="none" w:sz="0" w:space="0" w:color="auto"/>
        <w:left w:val="none" w:sz="0" w:space="0" w:color="auto"/>
        <w:bottom w:val="none" w:sz="0" w:space="0" w:color="auto"/>
        <w:right w:val="none" w:sz="0" w:space="0" w:color="auto"/>
      </w:divBdr>
    </w:div>
    <w:div w:id="253444354">
      <w:marLeft w:val="0"/>
      <w:marRight w:val="0"/>
      <w:marTop w:val="0"/>
      <w:marBottom w:val="0"/>
      <w:divBdr>
        <w:top w:val="none" w:sz="0" w:space="0" w:color="auto"/>
        <w:left w:val="none" w:sz="0" w:space="0" w:color="auto"/>
        <w:bottom w:val="none" w:sz="0" w:space="0" w:color="auto"/>
        <w:right w:val="none" w:sz="0" w:space="0" w:color="auto"/>
      </w:divBdr>
    </w:div>
    <w:div w:id="253444355">
      <w:marLeft w:val="0"/>
      <w:marRight w:val="0"/>
      <w:marTop w:val="0"/>
      <w:marBottom w:val="0"/>
      <w:divBdr>
        <w:top w:val="none" w:sz="0" w:space="0" w:color="auto"/>
        <w:left w:val="none" w:sz="0" w:space="0" w:color="auto"/>
        <w:bottom w:val="none" w:sz="0" w:space="0" w:color="auto"/>
        <w:right w:val="none" w:sz="0" w:space="0" w:color="auto"/>
      </w:divBdr>
    </w:div>
    <w:div w:id="253444356">
      <w:marLeft w:val="0"/>
      <w:marRight w:val="0"/>
      <w:marTop w:val="0"/>
      <w:marBottom w:val="0"/>
      <w:divBdr>
        <w:top w:val="none" w:sz="0" w:space="0" w:color="auto"/>
        <w:left w:val="none" w:sz="0" w:space="0" w:color="auto"/>
        <w:bottom w:val="none" w:sz="0" w:space="0" w:color="auto"/>
        <w:right w:val="none" w:sz="0" w:space="0" w:color="auto"/>
      </w:divBdr>
    </w:div>
    <w:div w:id="253444357">
      <w:marLeft w:val="0"/>
      <w:marRight w:val="0"/>
      <w:marTop w:val="0"/>
      <w:marBottom w:val="0"/>
      <w:divBdr>
        <w:top w:val="none" w:sz="0" w:space="0" w:color="auto"/>
        <w:left w:val="none" w:sz="0" w:space="0" w:color="auto"/>
        <w:bottom w:val="none" w:sz="0" w:space="0" w:color="auto"/>
        <w:right w:val="none" w:sz="0" w:space="0" w:color="auto"/>
      </w:divBdr>
    </w:div>
    <w:div w:id="253444358">
      <w:marLeft w:val="0"/>
      <w:marRight w:val="0"/>
      <w:marTop w:val="0"/>
      <w:marBottom w:val="0"/>
      <w:divBdr>
        <w:top w:val="none" w:sz="0" w:space="0" w:color="auto"/>
        <w:left w:val="none" w:sz="0" w:space="0" w:color="auto"/>
        <w:bottom w:val="none" w:sz="0" w:space="0" w:color="auto"/>
        <w:right w:val="none" w:sz="0" w:space="0" w:color="auto"/>
      </w:divBdr>
    </w:div>
    <w:div w:id="253444359">
      <w:marLeft w:val="0"/>
      <w:marRight w:val="0"/>
      <w:marTop w:val="0"/>
      <w:marBottom w:val="0"/>
      <w:divBdr>
        <w:top w:val="none" w:sz="0" w:space="0" w:color="auto"/>
        <w:left w:val="none" w:sz="0" w:space="0" w:color="auto"/>
        <w:bottom w:val="none" w:sz="0" w:space="0" w:color="auto"/>
        <w:right w:val="none" w:sz="0" w:space="0" w:color="auto"/>
      </w:divBdr>
    </w:div>
    <w:div w:id="295070816">
      <w:bodyDiv w:val="1"/>
      <w:marLeft w:val="0"/>
      <w:marRight w:val="0"/>
      <w:marTop w:val="0"/>
      <w:marBottom w:val="0"/>
      <w:divBdr>
        <w:top w:val="none" w:sz="0" w:space="0" w:color="auto"/>
        <w:left w:val="none" w:sz="0" w:space="0" w:color="auto"/>
        <w:bottom w:val="none" w:sz="0" w:space="0" w:color="auto"/>
        <w:right w:val="none" w:sz="0" w:space="0" w:color="auto"/>
      </w:divBdr>
      <w:divsChild>
        <w:div w:id="1034113273">
          <w:marLeft w:val="0"/>
          <w:marRight w:val="0"/>
          <w:marTop w:val="0"/>
          <w:marBottom w:val="0"/>
          <w:divBdr>
            <w:top w:val="none" w:sz="0" w:space="0" w:color="auto"/>
            <w:left w:val="none" w:sz="0" w:space="0" w:color="auto"/>
            <w:bottom w:val="none" w:sz="0" w:space="0" w:color="auto"/>
            <w:right w:val="none" w:sz="0" w:space="0" w:color="auto"/>
          </w:divBdr>
          <w:divsChild>
            <w:div w:id="2073652471">
              <w:marLeft w:val="0"/>
              <w:marRight w:val="0"/>
              <w:marTop w:val="0"/>
              <w:marBottom w:val="0"/>
              <w:divBdr>
                <w:top w:val="none" w:sz="0" w:space="0" w:color="auto"/>
                <w:left w:val="none" w:sz="0" w:space="0" w:color="auto"/>
                <w:bottom w:val="none" w:sz="0" w:space="0" w:color="auto"/>
                <w:right w:val="none" w:sz="0" w:space="0" w:color="auto"/>
              </w:divBdr>
              <w:divsChild>
                <w:div w:id="421534756">
                  <w:marLeft w:val="0"/>
                  <w:marRight w:val="0"/>
                  <w:marTop w:val="0"/>
                  <w:marBottom w:val="0"/>
                  <w:divBdr>
                    <w:top w:val="none" w:sz="0" w:space="0" w:color="auto"/>
                    <w:left w:val="none" w:sz="0" w:space="0" w:color="auto"/>
                    <w:bottom w:val="none" w:sz="0" w:space="0" w:color="auto"/>
                    <w:right w:val="none" w:sz="0" w:space="0" w:color="auto"/>
                  </w:divBdr>
                </w:div>
                <w:div w:id="782379828">
                  <w:marLeft w:val="0"/>
                  <w:marRight w:val="0"/>
                  <w:marTop w:val="0"/>
                  <w:marBottom w:val="0"/>
                  <w:divBdr>
                    <w:top w:val="none" w:sz="0" w:space="0" w:color="auto"/>
                    <w:left w:val="none" w:sz="0" w:space="0" w:color="auto"/>
                    <w:bottom w:val="none" w:sz="0" w:space="0" w:color="auto"/>
                    <w:right w:val="none" w:sz="0" w:space="0" w:color="auto"/>
                  </w:divBdr>
                </w:div>
              </w:divsChild>
            </w:div>
            <w:div w:id="1609697852">
              <w:marLeft w:val="0"/>
              <w:marRight w:val="0"/>
              <w:marTop w:val="0"/>
              <w:marBottom w:val="0"/>
              <w:divBdr>
                <w:top w:val="none" w:sz="0" w:space="0" w:color="auto"/>
                <w:left w:val="none" w:sz="0" w:space="0" w:color="auto"/>
                <w:bottom w:val="none" w:sz="0" w:space="0" w:color="auto"/>
                <w:right w:val="none" w:sz="0" w:space="0" w:color="auto"/>
              </w:divBdr>
              <w:divsChild>
                <w:div w:id="1506742896">
                  <w:marLeft w:val="0"/>
                  <w:marRight w:val="0"/>
                  <w:marTop w:val="0"/>
                  <w:marBottom w:val="0"/>
                  <w:divBdr>
                    <w:top w:val="none" w:sz="0" w:space="0" w:color="auto"/>
                    <w:left w:val="none" w:sz="0" w:space="0" w:color="auto"/>
                    <w:bottom w:val="none" w:sz="0" w:space="0" w:color="auto"/>
                    <w:right w:val="none" w:sz="0" w:space="0" w:color="auto"/>
                  </w:divBdr>
                  <w:divsChild>
                    <w:div w:id="668488889">
                      <w:marLeft w:val="0"/>
                      <w:marRight w:val="0"/>
                      <w:marTop w:val="0"/>
                      <w:marBottom w:val="0"/>
                      <w:divBdr>
                        <w:top w:val="none" w:sz="0" w:space="0" w:color="auto"/>
                        <w:left w:val="none" w:sz="0" w:space="0" w:color="auto"/>
                        <w:bottom w:val="none" w:sz="0" w:space="0" w:color="auto"/>
                        <w:right w:val="none" w:sz="0" w:space="0" w:color="auto"/>
                      </w:divBdr>
                      <w:divsChild>
                        <w:div w:id="125048811">
                          <w:marLeft w:val="0"/>
                          <w:marRight w:val="0"/>
                          <w:marTop w:val="0"/>
                          <w:marBottom w:val="0"/>
                          <w:divBdr>
                            <w:top w:val="none" w:sz="0" w:space="0" w:color="auto"/>
                            <w:left w:val="none" w:sz="0" w:space="0" w:color="auto"/>
                            <w:bottom w:val="none" w:sz="0" w:space="0" w:color="auto"/>
                            <w:right w:val="none" w:sz="0" w:space="0" w:color="auto"/>
                          </w:divBdr>
                          <w:divsChild>
                            <w:div w:id="2061860769">
                              <w:marLeft w:val="0"/>
                              <w:marRight w:val="0"/>
                              <w:marTop w:val="0"/>
                              <w:marBottom w:val="0"/>
                              <w:divBdr>
                                <w:top w:val="none" w:sz="0" w:space="0" w:color="auto"/>
                                <w:left w:val="none" w:sz="0" w:space="0" w:color="auto"/>
                                <w:bottom w:val="none" w:sz="0" w:space="0" w:color="auto"/>
                                <w:right w:val="none" w:sz="0" w:space="0" w:color="auto"/>
                              </w:divBdr>
                            </w:div>
                            <w:div w:id="12851077">
                              <w:marLeft w:val="0"/>
                              <w:marRight w:val="0"/>
                              <w:marTop w:val="0"/>
                              <w:marBottom w:val="0"/>
                              <w:divBdr>
                                <w:top w:val="none" w:sz="0" w:space="0" w:color="auto"/>
                                <w:left w:val="none" w:sz="0" w:space="0" w:color="auto"/>
                                <w:bottom w:val="none" w:sz="0" w:space="0" w:color="auto"/>
                                <w:right w:val="none" w:sz="0" w:space="0" w:color="auto"/>
                              </w:divBdr>
                            </w:div>
                            <w:div w:id="1764573472">
                              <w:marLeft w:val="0"/>
                              <w:marRight w:val="0"/>
                              <w:marTop w:val="0"/>
                              <w:marBottom w:val="0"/>
                              <w:divBdr>
                                <w:top w:val="none" w:sz="0" w:space="0" w:color="auto"/>
                                <w:left w:val="none" w:sz="0" w:space="0" w:color="auto"/>
                                <w:bottom w:val="none" w:sz="0" w:space="0" w:color="auto"/>
                                <w:right w:val="none" w:sz="0" w:space="0" w:color="auto"/>
                              </w:divBdr>
                            </w:div>
                            <w:div w:id="1134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38848">
                  <w:marLeft w:val="0"/>
                  <w:marRight w:val="0"/>
                  <w:marTop w:val="0"/>
                  <w:marBottom w:val="0"/>
                  <w:divBdr>
                    <w:top w:val="none" w:sz="0" w:space="0" w:color="auto"/>
                    <w:left w:val="none" w:sz="0" w:space="0" w:color="auto"/>
                    <w:bottom w:val="none" w:sz="0" w:space="0" w:color="auto"/>
                    <w:right w:val="none" w:sz="0" w:space="0" w:color="auto"/>
                  </w:divBdr>
                </w:div>
                <w:div w:id="1202324671">
                  <w:marLeft w:val="0"/>
                  <w:marRight w:val="0"/>
                  <w:marTop w:val="0"/>
                  <w:marBottom w:val="0"/>
                  <w:divBdr>
                    <w:top w:val="none" w:sz="0" w:space="0" w:color="auto"/>
                    <w:left w:val="none" w:sz="0" w:space="0" w:color="auto"/>
                    <w:bottom w:val="none" w:sz="0" w:space="0" w:color="auto"/>
                    <w:right w:val="none" w:sz="0" w:space="0" w:color="auto"/>
                  </w:divBdr>
                </w:div>
                <w:div w:id="1931698315">
                  <w:marLeft w:val="0"/>
                  <w:marRight w:val="0"/>
                  <w:marTop w:val="0"/>
                  <w:marBottom w:val="0"/>
                  <w:divBdr>
                    <w:top w:val="none" w:sz="0" w:space="0" w:color="auto"/>
                    <w:left w:val="none" w:sz="0" w:space="0" w:color="auto"/>
                    <w:bottom w:val="none" w:sz="0" w:space="0" w:color="auto"/>
                    <w:right w:val="none" w:sz="0" w:space="0" w:color="auto"/>
                  </w:divBdr>
                  <w:divsChild>
                    <w:div w:id="166406753">
                      <w:marLeft w:val="0"/>
                      <w:marRight w:val="0"/>
                      <w:marTop w:val="0"/>
                      <w:marBottom w:val="0"/>
                      <w:divBdr>
                        <w:top w:val="none" w:sz="0" w:space="0" w:color="auto"/>
                        <w:left w:val="none" w:sz="0" w:space="0" w:color="auto"/>
                        <w:bottom w:val="none" w:sz="0" w:space="0" w:color="auto"/>
                        <w:right w:val="none" w:sz="0" w:space="0" w:color="auto"/>
                      </w:divBdr>
                    </w:div>
                    <w:div w:id="16936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43951">
      <w:bodyDiv w:val="1"/>
      <w:marLeft w:val="0"/>
      <w:marRight w:val="0"/>
      <w:marTop w:val="0"/>
      <w:marBottom w:val="0"/>
      <w:divBdr>
        <w:top w:val="none" w:sz="0" w:space="0" w:color="auto"/>
        <w:left w:val="none" w:sz="0" w:space="0" w:color="auto"/>
        <w:bottom w:val="none" w:sz="0" w:space="0" w:color="auto"/>
        <w:right w:val="none" w:sz="0" w:space="0" w:color="auto"/>
      </w:divBdr>
    </w:div>
    <w:div w:id="355079832">
      <w:bodyDiv w:val="1"/>
      <w:marLeft w:val="0"/>
      <w:marRight w:val="0"/>
      <w:marTop w:val="0"/>
      <w:marBottom w:val="0"/>
      <w:divBdr>
        <w:top w:val="none" w:sz="0" w:space="0" w:color="auto"/>
        <w:left w:val="none" w:sz="0" w:space="0" w:color="auto"/>
        <w:bottom w:val="none" w:sz="0" w:space="0" w:color="auto"/>
        <w:right w:val="none" w:sz="0" w:space="0" w:color="auto"/>
      </w:divBdr>
    </w:div>
    <w:div w:id="530846444">
      <w:bodyDiv w:val="1"/>
      <w:marLeft w:val="0"/>
      <w:marRight w:val="0"/>
      <w:marTop w:val="0"/>
      <w:marBottom w:val="0"/>
      <w:divBdr>
        <w:top w:val="none" w:sz="0" w:space="0" w:color="auto"/>
        <w:left w:val="none" w:sz="0" w:space="0" w:color="auto"/>
        <w:bottom w:val="none" w:sz="0" w:space="0" w:color="auto"/>
        <w:right w:val="none" w:sz="0" w:space="0" w:color="auto"/>
      </w:divBdr>
    </w:div>
    <w:div w:id="542325673">
      <w:bodyDiv w:val="1"/>
      <w:marLeft w:val="0"/>
      <w:marRight w:val="0"/>
      <w:marTop w:val="0"/>
      <w:marBottom w:val="0"/>
      <w:divBdr>
        <w:top w:val="none" w:sz="0" w:space="0" w:color="auto"/>
        <w:left w:val="none" w:sz="0" w:space="0" w:color="auto"/>
        <w:bottom w:val="none" w:sz="0" w:space="0" w:color="auto"/>
        <w:right w:val="none" w:sz="0" w:space="0" w:color="auto"/>
      </w:divBdr>
    </w:div>
    <w:div w:id="593712995">
      <w:bodyDiv w:val="1"/>
      <w:marLeft w:val="0"/>
      <w:marRight w:val="0"/>
      <w:marTop w:val="0"/>
      <w:marBottom w:val="0"/>
      <w:divBdr>
        <w:top w:val="none" w:sz="0" w:space="0" w:color="auto"/>
        <w:left w:val="none" w:sz="0" w:space="0" w:color="auto"/>
        <w:bottom w:val="none" w:sz="0" w:space="0" w:color="auto"/>
        <w:right w:val="none" w:sz="0" w:space="0" w:color="auto"/>
      </w:divBdr>
    </w:div>
    <w:div w:id="612203027">
      <w:bodyDiv w:val="1"/>
      <w:marLeft w:val="0"/>
      <w:marRight w:val="0"/>
      <w:marTop w:val="0"/>
      <w:marBottom w:val="0"/>
      <w:divBdr>
        <w:top w:val="none" w:sz="0" w:space="0" w:color="auto"/>
        <w:left w:val="none" w:sz="0" w:space="0" w:color="auto"/>
        <w:bottom w:val="none" w:sz="0" w:space="0" w:color="auto"/>
        <w:right w:val="none" w:sz="0" w:space="0" w:color="auto"/>
      </w:divBdr>
    </w:div>
    <w:div w:id="818228298">
      <w:bodyDiv w:val="1"/>
      <w:marLeft w:val="0"/>
      <w:marRight w:val="0"/>
      <w:marTop w:val="0"/>
      <w:marBottom w:val="0"/>
      <w:divBdr>
        <w:top w:val="none" w:sz="0" w:space="0" w:color="auto"/>
        <w:left w:val="none" w:sz="0" w:space="0" w:color="auto"/>
        <w:bottom w:val="none" w:sz="0" w:space="0" w:color="auto"/>
        <w:right w:val="none" w:sz="0" w:space="0" w:color="auto"/>
      </w:divBdr>
    </w:div>
    <w:div w:id="1197281590">
      <w:bodyDiv w:val="1"/>
      <w:marLeft w:val="0"/>
      <w:marRight w:val="0"/>
      <w:marTop w:val="0"/>
      <w:marBottom w:val="0"/>
      <w:divBdr>
        <w:top w:val="none" w:sz="0" w:space="0" w:color="auto"/>
        <w:left w:val="none" w:sz="0" w:space="0" w:color="auto"/>
        <w:bottom w:val="none" w:sz="0" w:space="0" w:color="auto"/>
        <w:right w:val="none" w:sz="0" w:space="0" w:color="auto"/>
      </w:divBdr>
    </w:div>
    <w:div w:id="1207792061">
      <w:bodyDiv w:val="1"/>
      <w:marLeft w:val="0"/>
      <w:marRight w:val="0"/>
      <w:marTop w:val="0"/>
      <w:marBottom w:val="0"/>
      <w:divBdr>
        <w:top w:val="none" w:sz="0" w:space="0" w:color="auto"/>
        <w:left w:val="none" w:sz="0" w:space="0" w:color="auto"/>
        <w:bottom w:val="none" w:sz="0" w:space="0" w:color="auto"/>
        <w:right w:val="none" w:sz="0" w:space="0" w:color="auto"/>
      </w:divBdr>
    </w:div>
    <w:div w:id="1450271471">
      <w:bodyDiv w:val="1"/>
      <w:marLeft w:val="0"/>
      <w:marRight w:val="0"/>
      <w:marTop w:val="0"/>
      <w:marBottom w:val="0"/>
      <w:divBdr>
        <w:top w:val="none" w:sz="0" w:space="0" w:color="auto"/>
        <w:left w:val="none" w:sz="0" w:space="0" w:color="auto"/>
        <w:bottom w:val="none" w:sz="0" w:space="0" w:color="auto"/>
        <w:right w:val="none" w:sz="0" w:space="0" w:color="auto"/>
      </w:divBdr>
    </w:div>
    <w:div w:id="1517619261">
      <w:bodyDiv w:val="1"/>
      <w:marLeft w:val="0"/>
      <w:marRight w:val="0"/>
      <w:marTop w:val="0"/>
      <w:marBottom w:val="0"/>
      <w:divBdr>
        <w:top w:val="none" w:sz="0" w:space="0" w:color="auto"/>
        <w:left w:val="none" w:sz="0" w:space="0" w:color="auto"/>
        <w:bottom w:val="none" w:sz="0" w:space="0" w:color="auto"/>
        <w:right w:val="none" w:sz="0" w:space="0" w:color="auto"/>
      </w:divBdr>
    </w:div>
    <w:div w:id="1670713699">
      <w:bodyDiv w:val="1"/>
      <w:marLeft w:val="0"/>
      <w:marRight w:val="0"/>
      <w:marTop w:val="0"/>
      <w:marBottom w:val="0"/>
      <w:divBdr>
        <w:top w:val="none" w:sz="0" w:space="0" w:color="auto"/>
        <w:left w:val="none" w:sz="0" w:space="0" w:color="auto"/>
        <w:bottom w:val="none" w:sz="0" w:space="0" w:color="auto"/>
        <w:right w:val="none" w:sz="0" w:space="0" w:color="auto"/>
      </w:divBdr>
    </w:div>
    <w:div w:id="1733039627">
      <w:bodyDiv w:val="1"/>
      <w:marLeft w:val="0"/>
      <w:marRight w:val="0"/>
      <w:marTop w:val="0"/>
      <w:marBottom w:val="0"/>
      <w:divBdr>
        <w:top w:val="none" w:sz="0" w:space="0" w:color="auto"/>
        <w:left w:val="none" w:sz="0" w:space="0" w:color="auto"/>
        <w:bottom w:val="none" w:sz="0" w:space="0" w:color="auto"/>
        <w:right w:val="none" w:sz="0" w:space="0" w:color="auto"/>
      </w:divBdr>
    </w:div>
    <w:div w:id="1961955632">
      <w:bodyDiv w:val="1"/>
      <w:marLeft w:val="0"/>
      <w:marRight w:val="0"/>
      <w:marTop w:val="0"/>
      <w:marBottom w:val="0"/>
      <w:divBdr>
        <w:top w:val="none" w:sz="0" w:space="0" w:color="auto"/>
        <w:left w:val="none" w:sz="0" w:space="0" w:color="auto"/>
        <w:bottom w:val="none" w:sz="0" w:space="0" w:color="auto"/>
        <w:right w:val="none" w:sz="0" w:space="0" w:color="auto"/>
      </w:divBdr>
    </w:div>
    <w:div w:id="211878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untmyfish.noaa.gov/projects/downloads/Final_Report%20NC%202009%20Dual%20Frame%20Two%20Phase%20Experi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AE68CA-E195-4D8C-8767-0BD9A2FF1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3130</Words>
  <Characters>18538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Microsoft Word - 0052 SS revised per OMB questions.doc</vt:lpstr>
    </vt:vector>
  </TitlesOfParts>
  <Company>NOAA</Company>
  <LinksUpToDate>false</LinksUpToDate>
  <CharactersWithSpaces>21625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- 0052 SS revised per OMB questions.doc</dc:title>
  <dc:creator>skuzmanoff</dc:creator>
  <cp:lastModifiedBy>KSmith</cp:lastModifiedBy>
  <cp:revision>7</cp:revision>
  <cp:lastPrinted>2012-09-26T13:13:00Z</cp:lastPrinted>
  <dcterms:created xsi:type="dcterms:W3CDTF">2012-10-03T12:45:00Z</dcterms:created>
  <dcterms:modified xsi:type="dcterms:W3CDTF">2012-10-04T18:49:00Z</dcterms:modified>
</cp:coreProperties>
</file>