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ascii="Times New Roman" w:eastAsia="Times New Roman" w:hAnsi="Times New Roman" w:cs="Times New Roman"/>
          <w:b/>
          <w:sz w:val="24"/>
          <w:szCs w:val="24"/>
        </w:rPr>
      </w:pPr>
      <w:bookmarkStart w:id="0" w:name="_GoBack"/>
      <w:bookmarkEnd w:id="0"/>
      <w:r w:rsidRPr="00BA1318">
        <w:rPr>
          <w:rFonts w:ascii="Times New Roman" w:eastAsia="Times New Roman" w:hAnsi="Times New Roman" w:cs="Times New Roman"/>
          <w:b/>
          <w:sz w:val="24"/>
          <w:szCs w:val="24"/>
        </w:rPr>
        <w:t>SUPPORTING STATEMENT FOR NEW AND</w:t>
      </w:r>
    </w:p>
    <w:p w:rsidR="00BA1318" w:rsidRPr="00BA1318" w:rsidRDefault="00BA1318" w:rsidP="00BA1318">
      <w:pPr>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REVISED INFORMATION COLLECTIONS</w:t>
      </w:r>
    </w:p>
    <w:p w:rsidR="00BA1318" w:rsidRPr="00BA1318" w:rsidRDefault="00BA1318" w:rsidP="00BA1318">
      <w:pPr>
        <w:tabs>
          <w:tab w:val="center" w:pos="4680"/>
        </w:tabs>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3038-0068, 3038-0083, and 3038-0088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 w:val="24"/>
          <w:szCs w:val="24"/>
          <w:u w:val="single"/>
        </w:rPr>
      </w:pPr>
      <w:r w:rsidRPr="00BA1318">
        <w:rPr>
          <w:rFonts w:ascii="Arial Narrow" w:eastAsia="Times New Roman" w:hAnsi="Arial Narrow" w:cs="Times New Roman"/>
          <w:b/>
          <w:sz w:val="24"/>
          <w:szCs w:val="24"/>
          <w:u w:val="single"/>
        </w:rPr>
        <w:t>Confirmation, Portfolio Reconciliation, Portfolio Compression, and Swap Trading</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 w:val="24"/>
          <w:szCs w:val="24"/>
          <w:u w:val="single"/>
        </w:rPr>
      </w:pPr>
      <w:r w:rsidRPr="00BA1318">
        <w:rPr>
          <w:rFonts w:ascii="Arial Narrow" w:eastAsia="Times New Roman" w:hAnsi="Arial Narrow" w:cs="Times New Roman"/>
          <w:b/>
          <w:sz w:val="24"/>
          <w:szCs w:val="24"/>
          <w:u w:val="single"/>
        </w:rPr>
        <w:t xml:space="preserve"> Relationship Documentation Requirements for Swap Dealers and Major Swap Participants, </w:t>
      </w:r>
    </w:p>
    <w:p w:rsidR="00BA1318" w:rsidRPr="00BA1318" w:rsidRDefault="00BA1318" w:rsidP="00BA1318">
      <w:pPr>
        <w:tabs>
          <w:tab w:val="center" w:pos="4680"/>
        </w:tabs>
        <w:suppressAutoHyphens/>
        <w:spacing w:after="0" w:line="240" w:lineRule="auto"/>
        <w:jc w:val="center"/>
        <w:rPr>
          <w:rFonts w:ascii="Times New Roman" w:eastAsia="Times New Roman" w:hAnsi="Times New Roman" w:cs="Times New Roman"/>
          <w:b/>
          <w:sz w:val="24"/>
          <w:szCs w:val="24"/>
          <w:u w:val="single"/>
        </w:rPr>
      </w:pPr>
      <w:r w:rsidRPr="00BA1318">
        <w:rPr>
          <w:rFonts w:ascii="Arial Narrow" w:eastAsia="Times New Roman" w:hAnsi="Arial Narrow" w:cs="Times New Roman"/>
          <w:b/>
          <w:sz w:val="24"/>
          <w:szCs w:val="24"/>
          <w:u w:val="single"/>
        </w:rPr>
        <w:t>77 FR 55904 (Sept. 11, 2012).</w:t>
      </w:r>
    </w:p>
    <w:p w:rsidR="00BA1318" w:rsidRPr="00BA1318" w:rsidRDefault="00BA1318" w:rsidP="00BA1318">
      <w:pPr>
        <w:spacing w:after="0" w:line="240" w:lineRule="auto"/>
        <w:outlineLvl w:val="0"/>
        <w:rPr>
          <w:rFonts w:ascii="Times New Roman" w:eastAsia="Times New Roman" w:hAnsi="Times New Roman" w:cs="Times New Roman"/>
          <w:b/>
          <w:sz w:val="24"/>
          <w:szCs w:val="24"/>
        </w:rPr>
      </w:pPr>
    </w:p>
    <w:p w:rsidR="00BA1318" w:rsidRPr="00BA1318" w:rsidRDefault="00BA1318" w:rsidP="00BA1318">
      <w:pPr>
        <w:spacing w:after="0" w:line="240" w:lineRule="auto"/>
        <w:outlineLvl w:val="0"/>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Justification</w:t>
      </w:r>
    </w:p>
    <w:p w:rsidR="00BA1318" w:rsidRPr="00BA1318" w:rsidRDefault="00BA1318" w:rsidP="00BA1318">
      <w:pPr>
        <w:spacing w:after="0" w:line="240" w:lineRule="auto"/>
        <w:jc w:val="both"/>
        <w:rPr>
          <w:rFonts w:ascii="Arial" w:eastAsia="Times New Roman" w:hAnsi="Arial" w:cs="Times New Roman"/>
          <w:sz w:val="24"/>
          <w:szCs w:val="24"/>
        </w:rPr>
      </w:pPr>
    </w:p>
    <w:p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sz w:val="24"/>
          <w:szCs w:val="24"/>
        </w:rPr>
      </w:pPr>
      <w:r w:rsidRPr="00BA1318">
        <w:rPr>
          <w:rFonts w:ascii="Times New Roman" w:eastAsia="Times New Roman" w:hAnsi="Times New Roman" w:cs="Times New Roman"/>
          <w:b/>
          <w:sz w:val="24"/>
          <w:szCs w:val="24"/>
        </w:rPr>
        <w:t>1.</w:t>
      </w:r>
      <w:r w:rsidRPr="00BA1318">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Section 731 of Title VII of the Dodd-Frank Wall Street Reform and Consumer Protection Act (Dodd-Frank Act, Pub L. No. 111-203, 124 Stat. 1376 (2010)) amended the Commodity Exchange Act (CEA) by adding sections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 xml:space="preserve">f), 4s(g), and 4s(i), among others.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Section 4s(f) authorizes the Commission to promulgate requirements relating to books and records and reporting for swap dealers and major swap participants, and expressly obligates swap dealers and major swap participants to maintain records of all activities related to their swaps businesses and to make reports regarding their transactions, positions and financial condition, as required by such regulations.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Section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 xml:space="preserve">g) requires swap dealers and major swap participants to maintain daily trading records of their swaps that contain any information prescribed by Commission regulations; all related records (including records of related cash and forward transactions); all recorded communications (including electronic mail, instant messages, and recordings of telephone calls); and a complete audit trail for conducting comprehensive and accurate trade reconstruction.  Section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g) also requires that the daily trading records for each swap transaction be identifiable by transaction and by counterparty.</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Section 4s(i) requires the Commission to prescribe standards for swap dealers and major swap participants related to the timely and accurate confirmation, processing, netting, documentation, and valuation of swaps.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Pursuant to this authority, the Commission is promulgating regulations 23.500-23.505, which obligate swap dealers and major swap participants to develop and retain written swap trading relationship documentation.  The final regulations also establish requirements for swap dealers and major swap participants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Under the regulations, swap dealers and major swap participants are obligated to maintain records of the policies and procedures required by the rules.  Swap dealers and major swap </w:t>
      </w:r>
      <w:r w:rsidRPr="00BA1318">
        <w:rPr>
          <w:rFonts w:ascii="Times New Roman" w:eastAsia="Times New Roman" w:hAnsi="Times New Roman" w:cs="Times New Roman"/>
          <w:color w:val="000000"/>
          <w:sz w:val="24"/>
          <w:szCs w:val="24"/>
        </w:rPr>
        <w:lastRenderedPageBreak/>
        <w:t>participants also are required to maintain records of their swap trading relationship documentation; acknowledgements and confirmations for swap transactions; portfolio reconciliations; and portfolio compression exercises.  The final regulations are essential to ensuring that swap dealers and major swap participants document their swaps, reconcile their swap portfolios to resolve discrepancies and disputes, and wholly or partially terminate some or all of their outstanding swaps through regular portfolio compression exercises.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With respect to swap trading relationship documentation, regulation 23.504 obligates swap dealers and major swap participants to develop and retain written swap trading relationship documentation, including:  (1) the terms of their trading relationships with each of their counterparties; (2) credit support arrangements; (3) the parties’ agreement on the methods for determining the value of their swaps; and (4) certain information regarding cleared swaps.   Swap dealers and major swap participants are required to maintain written policies and procedures for executing the necessary swap trading documentation and to make and maintain records of their annual audits for compliance with the documentation requirements.  Swap dealers and major swap participants also must report to the Commission certain swap valuation disputes that have not been resolved between the parties within designated time frames.  In addition, Regulation 23.505 requires swap dealers and major swap participants to collect documentation relating to </w:t>
      </w:r>
      <w:proofErr w:type="gramStart"/>
      <w:r w:rsidRPr="00BA1318">
        <w:rPr>
          <w:rFonts w:ascii="Times New Roman" w:eastAsia="Times New Roman" w:hAnsi="Times New Roman" w:cs="Times New Roman"/>
          <w:color w:val="000000"/>
          <w:sz w:val="24"/>
          <w:szCs w:val="24"/>
        </w:rPr>
        <w:t>a counterparty’s</w:t>
      </w:r>
      <w:proofErr w:type="gramEnd"/>
      <w:r w:rsidRPr="00BA1318">
        <w:rPr>
          <w:rFonts w:ascii="Times New Roman" w:eastAsia="Times New Roman" w:hAnsi="Times New Roman" w:cs="Times New Roman"/>
          <w:color w:val="000000"/>
          <w:sz w:val="24"/>
          <w:szCs w:val="24"/>
        </w:rPr>
        <w:t xml:space="preserve"> reliance on the exception from the mandatory clearing requirements, where applicable.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The information collection obligations imposed by the final regulations are necessary to implement the above-referenced provisions of the CEA, including ensuring that each swap dealer and major swap participant maintains the required records of their business activities and an audit trail sufficient to conduct comprehensive and accurate trade reconstruction.  The recordkeeping requirements contained in regulation 23.504 are essential to ensuring that swap dealers and major swap participants memorialize, in writing, all of the terms of their swap trading relationships.  The Commission believes that documenting the parties’ understanding with respect to the terms prescribed in the final regulation will decrease the likelihood of significant counterparty disputes; promote transaction standardization; enhance the parties’ abilities to engage in risk-reducing exercises such as bilateral offset, portfolio reconciliation, and portfolio compression; and enhance the stability of the market place as a whole.  The final regulations also will ensure that certain important information regarding cleared swaps will be preserved.  The reporting requirement established by regulation 23.504 will ensure that the Commission is provided with timely notification of swap valuation disputes that relevant market participants have been unable to resolve promptly. Regulation 23.505 is needed to ensure compliance with the mandatory clearing requirements of the CEA and Commission regulations.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2.</w:t>
      </w:r>
      <w:r w:rsidRPr="00BA1318">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3.</w:t>
      </w:r>
      <w:r w:rsidRPr="00BA1318">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4.</w:t>
      </w:r>
      <w:r w:rsidRPr="00BA1318">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Swap dealers and major swap participants are new categories of registrants under the Dodd-Frank Act.  Accordingly, the required information is not already collected by the Commission for any other purpose.  It also is 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5.</w:t>
      </w:r>
      <w:r w:rsidRPr="00BA1318">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6.</w:t>
      </w:r>
      <w:r w:rsidRPr="00BA1318">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7.</w:t>
      </w:r>
      <w:r w:rsidRPr="00BA1318">
        <w:rPr>
          <w:rFonts w:ascii="Times New Roman" w:eastAsia="Times New Roman" w:hAnsi="Times New Roman" w:cs="Times New Roman"/>
          <w:b/>
          <w:sz w:val="24"/>
          <w:szCs w:val="24"/>
        </w:rPr>
        <w:tab/>
        <w:t>Explain any special circumstances that require the collection to be conducted in a manner:</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swap dealers and major swap participants beyond any costs already described and accounted for in the Commission’s part 45 regulations for swap data recordkeeping and </w:t>
      </w:r>
      <w:r w:rsidRPr="00BA1318">
        <w:rPr>
          <w:rFonts w:ascii="Times New Roman" w:eastAsia="Times New Roman" w:hAnsi="Times New Roman" w:cs="Times New Roman"/>
          <w:sz w:val="24"/>
          <w:szCs w:val="24"/>
        </w:rPr>
        <w:lastRenderedPageBreak/>
        <w:t>reporting, and in the Commission’s part 43 regulations governing real-time public reporting of swap transaction data.</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impose any requirements that would obligate a respondent to submit more than an original and two copies of any document.</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nor involve any statistical surveys.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nor involve the use of any statistical data classification.</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a pledge of confidentiality.</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proofErr w:type="gramStart"/>
      <w:r w:rsidRPr="00BA1318">
        <w:rPr>
          <w:rFonts w:ascii="Times New Roman" w:eastAsia="Times New Roman" w:hAnsi="Times New Roman" w:cs="Times New Roman"/>
          <w:b/>
          <w:sz w:val="24"/>
          <w:szCs w:val="24"/>
        </w:rPr>
        <w:t>requiring</w:t>
      </w:r>
      <w:proofErr w:type="gramEnd"/>
      <w:r w:rsidRPr="00BA1318">
        <w:rPr>
          <w:rFonts w:ascii="Times New Roman" w:eastAsia="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This question does not apply.  In any event, the Commission has promulgated regulations to protect the confidentiality of any information collected from respondents.  Such regulations are set forth in 17 CFR Part 145.  The protection of such information also is governed by section 8 of the Commodity Exchange Act, by the Trade Secrets Act, and by the Privacy Act of 1974.</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8.</w:t>
      </w:r>
      <w:r w:rsidRPr="00BA1318">
        <w:rPr>
          <w:rFonts w:ascii="Times New Roman" w:eastAsia="Times New Roman" w:hAnsi="Times New Roman" w:cs="Times New Roman"/>
          <w:b/>
          <w:sz w:val="24"/>
          <w:szCs w:val="24"/>
        </w:rPr>
        <w:tab/>
        <w:t xml:space="preserve">If applicable, provide a copy and identify the date and page number of publication in the </w:t>
      </w:r>
      <w:r w:rsidRPr="00BA1318">
        <w:rPr>
          <w:rFonts w:ascii="Times New Roman" w:eastAsia="Times New Roman" w:hAnsi="Times New Roman" w:cs="Times New Roman"/>
          <w:b/>
          <w:i/>
          <w:sz w:val="24"/>
          <w:szCs w:val="24"/>
        </w:rPr>
        <w:t>Federal Register</w:t>
      </w:r>
      <w:r w:rsidRPr="00BA1318">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sought comment from the public and Federal agencies on the information collections.  The final regulations were proposed in 3 separate notices of proposed rulemaking:</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75 FR 81519 (Dec. 28, 2010) (Confirmation, Portfolio Reconciliation, and Portfolio Compression Requirements for Swap Dealers and Major Swap Participants);</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76 FR 6715 (Feb. 8, 2011) (Swap Trading Relationship Documentation Requirements for Swap Dealers and Major Swap Participants); and</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76 FR 6708 (Feb. 8, 2011) (Orderly Liquidation Termination Provision in Swap Trading Relationship Documentation for Swap Dealers and Major Swap Participants).</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Copies of the proposed regulations as they appeared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including the explicit solicitation of comment on all aspects of the reporting and recordkeeping burdens imposed, accompany this submission.</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After publishing the proposed rules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the Commission received information concerning the estimated number of swap dealers and major swap participants that are expected to register with the Commission.  As a result of that information, the Commission has revised the estimated number from approximately 300 registrants (as proposed) to approximately 125 registrants.  The burden hours have been adjusted accordingly.</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also received comments concerning the hourly wages of employees who would be tasked with the collections of information.  For most of the provisions set forth in the NPRMs, the Commission estimated the cost burden of the proposed regulations based upon an average salary for Financial Managers of $100 per hour.  In addition, for certain provisions in the Documentation NPRM, the Commission estimated the cost burden of the proposed regulations based upon an average salary for Lawyers of $125 per hour.  In response to these estimates, one commenter commented that, inclusive of benefit costs and allocated overhead, the per-hour average salary estimate for compliance and risk management personnel should be significantly higher than $120.  Another comment stated that some of the compliance policies required by the proposed regulations will be drafted by both in-house lawyers and outside counsel, so the blended hourly rate should be roughly $400.</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 xml:space="preserve">The Commission based its wage estimates on recent Bureau of Labor Statistics findings.  Taking that data, the Commission then increased its hourly wage estimates in recognition of the fact that some registrants may be large financial institutions whose employees’ salaries may exceed the mean wage.  The Commission observed that a report published by the Securities Industry and Financial Markets Association – titled the “Report on Management &amp; Professional Earnings in the Securities Industry – 2010” – estimated the average wage of a compliance attorney and a compliance staffer in the U.S. at only $46.31 per hour.  </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recognizes that some registrants may hire outside counsel with expertise in the various regulatory areas covered by the regulations discussed herein. While the Commission is uncertain about the billing rates that registrants may pay for outside counsel, the Commission believes that such counsel may bill at a rate of several hundred dollars per hour.  Outside counsel may be able to leverage its expertise to reduce substantially the number of hours needed to fulfill a requested assignment, but a registrant that uses outside counsel may incur higher costs than a registrant that does not use outside counsel.  Any determination to use outside counsel is at the discretion of the registrant.  Having considered the comments received and having reviewed the available data, the Commission has determined that $100 per hour for Financial Managers, and $125 for Lawyers, remain reasonable estimates of the per-hour average salary for purposes of its PRA analysis.  The Commission also notes that this determination is consistent with the Commission’s estimate for the hourly wage for chief compliance officers under the recently adopted final rules establishing certain internal business conduct standards for swap dealers and major swap participants.</w:t>
      </w:r>
      <w:r w:rsidRPr="00BA1318">
        <w:rPr>
          <w:rFonts w:ascii="Times New Roman" w:eastAsia="Times New Roman" w:hAnsi="Times New Roman" w:cs="Times New Roman"/>
          <w:sz w:val="24"/>
          <w:szCs w:val="24"/>
          <w:vertAlign w:val="superscript"/>
        </w:rPr>
        <w:footnoteReference w:id="1"/>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received other comments related to the PRA in response to its notices of proposed rulemaking.  Notably, none of these commenters suggested specific revised calculations with regard to the Commission’s burden estimate.  </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One commenter commented that if all confirmations must be in writing, the additional employee time cost for each market participant would be substantial and is not included in the annual cost analysis.  That commenter also commented that the estimate of 10 hours per counterparty to negotiate new documentation is too low.  Because the rule requires transaction-by-transaction valuation methodologies that will need to be newly negotiated for many transactions, the commenter believed that the Commission should calculate an aggregate amount based on the number of transactions.  Also, the time needed must include not only negotiation, but also time for determining pricing points and inputs, executive decision-maker time, and also senior management and board time for reviewing forms and material modifications.  Time will also be needed to reevaluate documentation.  </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Another commenter requested that the Commission evaluate the proposed rules in light of its various recordkeeping and reporting proposals, as such may cause firms to incur tremendous administrative obligations to record changes to its swap portfolio, its accounting records, treasury arrangements and capital allocations (including loss of cash flow hedging treatment under hedge </w:t>
      </w:r>
      <w:r w:rsidRPr="00BA1318">
        <w:rPr>
          <w:rFonts w:ascii="Times New Roman" w:eastAsia="Times New Roman" w:hAnsi="Times New Roman" w:cs="Times New Roman"/>
          <w:sz w:val="24"/>
          <w:szCs w:val="24"/>
        </w:rPr>
        <w:lastRenderedPageBreak/>
        <w:t xml:space="preserve">accounting rules), as well as incurring reporting obligations to swap data repositories on a swap-by-swap basis.  </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considered the comments received concerning the PRA-related burden estimates set forth in the notices of proposed rulemaking.  However, because none of the commenters suggested specific revised calculations on the estimates, the only change that the Commission is making to its estimation of annual burdens associated with the rules is the change to reflect the new estimate of the number of SDs and MSPs.</w:t>
      </w:r>
    </w:p>
    <w:p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affirmatively sought comment from the public and from other Federal agencies on the information collection requirements of the proposed regulations, both generally and specifically regarding the variables used in the hourly burden calculations.  In addition to the requests set forth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xml:space="preserve">, the Commission engaged persons outside of the agency repeatedly – through meetings, roundtables, and other forums – to gain additional information.  </w:t>
      </w:r>
    </w:p>
    <w:p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9.</w:t>
      </w:r>
      <w:r w:rsidRPr="00BA1318">
        <w:rPr>
          <w:rFonts w:ascii="Times New Roman" w:eastAsia="Times New Roman" w:hAnsi="Times New Roman" w:cs="Times New Roman"/>
          <w:b/>
          <w:sz w:val="24"/>
          <w:szCs w:val="24"/>
        </w:rPr>
        <w:tab/>
        <w:t xml:space="preserve">Explain any decision to provide any payment or gift to respondents, other than </w:t>
      </w:r>
      <w:proofErr w:type="spellStart"/>
      <w:r w:rsidRPr="00BA1318">
        <w:rPr>
          <w:rFonts w:ascii="Times New Roman" w:eastAsia="Times New Roman" w:hAnsi="Times New Roman" w:cs="Times New Roman"/>
          <w:b/>
          <w:sz w:val="24"/>
          <w:szCs w:val="24"/>
        </w:rPr>
        <w:t>renumeration</w:t>
      </w:r>
      <w:proofErr w:type="spellEnd"/>
      <w:r w:rsidRPr="00BA1318">
        <w:rPr>
          <w:rFonts w:ascii="Times New Roman" w:eastAsia="Times New Roman" w:hAnsi="Times New Roman" w:cs="Times New Roman"/>
          <w:b/>
          <w:sz w:val="24"/>
          <w:szCs w:val="24"/>
        </w:rPr>
        <w:t xml:space="preserve"> of contractors or grantees.</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10.</w:t>
      </w:r>
      <w:r w:rsidRPr="00BA1318">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  Additionally, the Commission has prescribed procedures whereby persons may request confidential treatment of information submitted to the agency.  Those procedures are set forth in Commission regulation 145.9.</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11.</w:t>
      </w:r>
      <w:r w:rsidRPr="00BA1318">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12.</w:t>
      </w:r>
      <w:r w:rsidRPr="00BA1318">
        <w:rPr>
          <w:rFonts w:ascii="Times New Roman" w:eastAsia="Times New Roman" w:hAnsi="Times New Roman" w:cs="Times New Roman"/>
          <w:b/>
          <w:sz w:val="24"/>
          <w:szCs w:val="24"/>
        </w:rPr>
        <w:tab/>
        <w:t>Provide estimates of the hour burden of the collection of information.  The Statement should:</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Attachment A.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As noted above in response to Question 8, the final regulations were proposed in 3 separate notices of proposed rulemaking.  Those 3 notices are identified herein as the Documentation NPRM,</w:t>
      </w:r>
      <w:r w:rsidRPr="00BA1318">
        <w:rPr>
          <w:rFonts w:ascii="Times New Roman" w:eastAsia="Times New Roman" w:hAnsi="Times New Roman" w:cs="Times New Roman"/>
          <w:sz w:val="24"/>
          <w:szCs w:val="24"/>
          <w:vertAlign w:val="superscript"/>
        </w:rPr>
        <w:footnoteReference w:id="2"/>
      </w:r>
      <w:r w:rsidRPr="00BA1318">
        <w:rPr>
          <w:rFonts w:ascii="Times New Roman" w:eastAsia="Times New Roman" w:hAnsi="Times New Roman" w:cs="Times New Roman"/>
          <w:sz w:val="24"/>
          <w:szCs w:val="24"/>
        </w:rPr>
        <w:t xml:space="preserve"> the Confirmation NPRM,</w:t>
      </w:r>
      <w:r w:rsidRPr="00BA1318">
        <w:rPr>
          <w:rFonts w:ascii="Times New Roman" w:eastAsia="Times New Roman" w:hAnsi="Times New Roman" w:cs="Times New Roman"/>
          <w:sz w:val="24"/>
          <w:szCs w:val="24"/>
          <w:vertAlign w:val="superscript"/>
        </w:rPr>
        <w:footnoteReference w:id="3"/>
      </w:r>
      <w:r w:rsidRPr="00BA1318">
        <w:rPr>
          <w:rFonts w:ascii="Times New Roman" w:eastAsia="Times New Roman" w:hAnsi="Times New Roman" w:cs="Times New Roman"/>
          <w:sz w:val="24"/>
          <w:szCs w:val="24"/>
        </w:rPr>
        <w:t xml:space="preserve"> and the Orderly Liquidation NPRM.</w:t>
      </w:r>
      <w:r w:rsidRPr="00BA1318">
        <w:rPr>
          <w:rFonts w:ascii="Times New Roman" w:eastAsia="Times New Roman" w:hAnsi="Times New Roman" w:cs="Times New Roman"/>
          <w:sz w:val="24"/>
          <w:szCs w:val="24"/>
          <w:vertAlign w:val="superscript"/>
        </w:rPr>
        <w:footnoteReference w:id="4"/>
      </w:r>
      <w:r w:rsidRPr="00BA1318">
        <w:rPr>
          <w:rFonts w:ascii="Times New Roman" w:eastAsia="Times New Roman" w:hAnsi="Times New Roman" w:cs="Times New Roman"/>
          <w:sz w:val="24"/>
          <w:szCs w:val="24"/>
        </w:rPr>
        <w:t xml:space="preserv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As delineated below, with respect to the rules proposed in the Documentation NPRM, the Commission now estimates the initial burden hours to be 6,168 hours per year, at an initial annual burden hour cost of $684,300, for each SD and MSP, and the initial aggregate burden cost for all registrants is $85,537,500.   With respect to the rules proposed in the Confirmation </w:t>
      </w:r>
      <w:r w:rsidRPr="00BA1318">
        <w:rPr>
          <w:rFonts w:ascii="Times New Roman" w:eastAsia="Times New Roman" w:hAnsi="Times New Roman" w:cs="Times New Roman"/>
          <w:sz w:val="24"/>
          <w:szCs w:val="24"/>
        </w:rPr>
        <w:lastRenderedPageBreak/>
        <w:t>NPRM, the Commission now estimates the burden to be 1,282.5 hours, at an annual cost of $128,250 for each SD and MSP,</w:t>
      </w:r>
      <w:r w:rsidRPr="00BA1318">
        <w:rPr>
          <w:rFonts w:ascii="Times New Roman" w:eastAsia="Times New Roman" w:hAnsi="Times New Roman" w:cs="Times New Roman"/>
          <w:sz w:val="24"/>
          <w:szCs w:val="24"/>
          <w:vertAlign w:val="superscript"/>
        </w:rPr>
        <w:footnoteReference w:id="5"/>
      </w:r>
      <w:r w:rsidRPr="00BA1318">
        <w:rPr>
          <w:rFonts w:ascii="Times New Roman" w:eastAsia="Times New Roman" w:hAnsi="Times New Roman" w:cs="Times New Roman"/>
          <w:sz w:val="24"/>
          <w:szCs w:val="24"/>
        </w:rPr>
        <w:t xml:space="preserve"> and the aggregate burden cost for all registrants is 160,312.5 burden hours and $16,031,250.  With respect to the rules set forth in the Orderly Liquidation NPRM, the Commission now estimates the initial burden to be 270 hours per year, at an initial annual cost of $27,000 for each SD and MSP, and the initial aggregate burden cost for all registrants is 33,750 burden hours and $3,375,000.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In total, the Commission estimates that the rules set forth in this Adopting Release will impose a burden of 7,720.5 hours per year, at an initial annual cost of $839,550, for each SD and MSP, and the aggregate burden cost for all registrants is $104,943,750.  The estimate may change, based on the number of SDs and MSPs that register with the Commission.  Moreover, the Commission anticipates that the costs will reduce significantly in future years, due to the initial development costs imposed by the documentation, policies and procedures, systems, and other requirements in the Final Rule.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In addition to the burden hours discussed above, the Commission anticipates that SDs and MSPs may incur certain start-up costs in connection with the recordkeeping obligations.  Such costs would include the expenditures related to developing and installing new technology and systems, or reprogramming or updating existing recordkeeping technology and systems, to enable the SD or MSP to collect, capture, process, maintain, and re-produce any newly required records.  The Commission received no comments with respect to the estimated number of burden hours for these start-up costs, or with respect to the programming wage estimate of $60 per hour.  Accordingly, the Commission estimates that the start-up costs would require 40 burden hours for the rules proposed in the Documentation NPRM and 40 hours for the rules proposed in the Confirmation NPRM.   Thus, the estimated start-up burden associated with the required technological improvements would be $4,800 [$60 × 80 hours per affected registrant] or $600,000 in the aggregate.</w:t>
      </w:r>
      <w:r w:rsidRPr="00BA1318">
        <w:rPr>
          <w:rFonts w:ascii="Times New Roman" w:eastAsia="Times New Roman" w:hAnsi="Times New Roman" w:cs="Times New Roman"/>
          <w:sz w:val="24"/>
          <w:szCs w:val="24"/>
          <w:vertAlign w:val="superscript"/>
        </w:rPr>
        <w:footnoteReference w:id="6"/>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u w:val="single"/>
        </w:rPr>
        <w:t>Documentation NPRM</w:t>
      </w:r>
      <w:r w:rsidRPr="00BA1318">
        <w:rPr>
          <w:rFonts w:ascii="Times New Roman" w:eastAsia="Times New Roman" w:hAnsi="Times New Roman" w:cs="Times New Roman"/>
          <w:sz w:val="24"/>
          <w:szCs w:val="24"/>
        </w:rPr>
        <w: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Drafting and Updating Policies and Procedures</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Initial drafting, updating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annual hour burden per registrant: 16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2,000 burden hours [125 registrants × 16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Swap Trading Relationship Documentation (excluding cleared swaps records)</w:t>
      </w:r>
      <w:r w:rsidRPr="00BA1318">
        <w:rPr>
          <w:rFonts w:ascii="Times New Roman" w:eastAsia="Times New Roman" w:hAnsi="Times New Roman" w:cs="Times New Roman"/>
          <w:sz w:val="24"/>
          <w:szCs w:val="24"/>
        </w:rPr>
        <w:t>. This hour burden arises from the obligation that swap dealers and major swap participants execute and maintain swap trading relationship documentation.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At least once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540</w:t>
      </w:r>
      <w:r w:rsidRPr="00BA1318">
        <w:rPr>
          <w:rFonts w:ascii="Times New Roman" w:eastAsia="Times New Roman" w:hAnsi="Times New Roman" w:cs="Times New Roman"/>
          <w:sz w:val="24"/>
          <w:szCs w:val="24"/>
          <w:vertAlign w:val="superscript"/>
        </w:rPr>
        <w:footnoteReference w:id="7"/>
      </w:r>
      <w:r w:rsidRPr="00BA1318">
        <w:rPr>
          <w:rFonts w:ascii="Times New Roman" w:eastAsia="Times New Roman" w:hAnsi="Times New Roman" w:cs="Times New Roman"/>
          <w:sz w:val="24"/>
          <w:szCs w:val="24"/>
        </w:rPr>
        <w:t xml:space="preserve"> [one set of agreements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67,500 [125 registrants × 540 counterparties].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5,400 [540 counterparties × 10 hours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675,000 [125 registrants × 5,400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Cleared Swap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specified information related to each swap accepted for clearing by a derivatives clearing organization.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252 [252 trading days per year].</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31,500 [125 registrants ×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504 [252 trading days × 2 hours per trading day].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hour burden: 63,000 [125 registrants × 504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Audit Recordkeeping</w:t>
      </w:r>
      <w:r w:rsidRPr="00BA1318">
        <w:rPr>
          <w:rFonts w:ascii="Times New Roman" w:eastAsia="Times New Roman" w:hAnsi="Times New Roman" w:cs="Times New Roman"/>
          <w:sz w:val="24"/>
          <w:szCs w:val="24"/>
        </w:rPr>
        <w:t>. This hourly burden arises from the requirement that swap dealers and major swap participants make and maintain records of the results of their annual internal or external audits to examine for compliance with the requirements of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Annually.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 [125 registrants ×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4.</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500 [125 registrants × 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Valuation Dispute Reporting</w:t>
      </w:r>
      <w:r w:rsidRPr="00BA1318">
        <w:rPr>
          <w:rFonts w:ascii="Times New Roman" w:eastAsia="Times New Roman" w:hAnsi="Times New Roman" w:cs="Times New Roman"/>
          <w:sz w:val="24"/>
          <w:szCs w:val="24"/>
        </w:rPr>
        <w:t>. This hourly burden arises from the requirement that swap dealers and major swap participants submit reports of certain unresolved valuation disputes.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As applicable.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240.</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30,000 [125 registrants × 240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24.</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3,000 [125 registrants × 24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End user Exception Documentation Recordkeeping</w:t>
      </w:r>
      <w:r w:rsidRPr="00BA1318">
        <w:rPr>
          <w:rFonts w:ascii="Times New Roman" w:eastAsia="Times New Roman" w:hAnsi="Times New Roman" w:cs="Times New Roman"/>
          <w:sz w:val="24"/>
          <w:szCs w:val="24"/>
        </w:rPr>
        <w:t>. This hourly burden arises from the requirement that swap dealers and major swap participants make and maintain records of its end user exception documentation.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Once per applicable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220.</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27,500 [125 registrants × 220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220 [220 responses × 1 hour per response].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27,500 [125 registrants × 220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r w:rsidRPr="00BA1318">
        <w:rPr>
          <w:rFonts w:ascii="Times New Roman" w:eastAsia="Times New Roman" w:hAnsi="Times New Roman" w:cs="Times New Roman"/>
          <w:sz w:val="24"/>
          <w:szCs w:val="24"/>
          <w:u w:val="single"/>
        </w:rPr>
        <w:t>Confirmation NPRM</w:t>
      </w:r>
      <w:r w:rsidRPr="00BA1318">
        <w:rPr>
          <w:rFonts w:ascii="Times New Roman" w:eastAsia="Times New Roman" w:hAnsi="Times New Roman" w:cs="Times New Roman"/>
          <w:sz w:val="24"/>
          <w:szCs w:val="24"/>
        </w:rPr>
        <w:t>:</w:t>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r w:rsidRPr="00BA1318">
        <w:rPr>
          <w:rFonts w:ascii="Times New Roman" w:eastAsia="Times New Roman" w:hAnsi="Times New Roman" w:cs="Times New Roman"/>
          <w:sz w:val="24"/>
          <w:szCs w:val="20"/>
        </w:rPr>
        <w:tab/>
      </w: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Drafting and Updating Policies and Procedures</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initial implementation, updating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40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5,000 burden hours [125 registrants x 40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Acknowledgment and Confirmation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252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31,500 [125 registrants x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annual hour burden per registrant: 252 [252 trading days x 1 hour per day].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31,500 burden hours [125 registrants x 252 hours].</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roofErr w:type="gramStart"/>
      <w:r w:rsidRPr="00BA1318">
        <w:rPr>
          <w:rFonts w:ascii="Times New Roman" w:eastAsia="Times New Roman" w:hAnsi="Times New Roman" w:cs="Times New Roman"/>
          <w:i/>
          <w:sz w:val="24"/>
          <w:szCs w:val="24"/>
        </w:rPr>
        <w:t>Portfolio Reconciliation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the portfolio reconciliation exercises in which they engage.</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 weekly, quarterly, or annually.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8,120.</w:t>
      </w:r>
      <w:r w:rsidRPr="00BA1318">
        <w:rPr>
          <w:rFonts w:ascii="Times New Roman" w:eastAsia="Times New Roman" w:hAnsi="Times New Roman" w:cs="Times New Roman"/>
          <w:sz w:val="24"/>
          <w:szCs w:val="24"/>
          <w:vertAlign w:val="superscript"/>
        </w:rPr>
        <w:footnoteReference w:id="8"/>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1,015,000 [125 registrants x 8,120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812 hours [8,120 x .10 hours per response].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101,500 burden hours [125 registrants x 812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Portfolio Compression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results from the requirement that swap dealers and major swap participants make and maintain records of the bilateral offsets and portfolio compression exercises in which they participate.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1,029 [24 multilateral compression records] + [465 bilateral compression exercise records] + [540 bilateral offset records].</w:t>
      </w:r>
      <w:r w:rsidRPr="00BA1318">
        <w:rPr>
          <w:rFonts w:ascii="Times New Roman" w:eastAsia="Times New Roman" w:hAnsi="Times New Roman" w:cs="Times New Roman"/>
          <w:sz w:val="24"/>
          <w:szCs w:val="24"/>
          <w:vertAlign w:val="superscript"/>
        </w:rPr>
        <w:footnoteReference w:id="9"/>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128,625 [125 registrants x 1,029 responses per year].</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22,312.5 burden hours [125 registrants x 178.5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r w:rsidRPr="00BA1318">
        <w:rPr>
          <w:rFonts w:ascii="Times New Roman" w:eastAsia="Times New Roman" w:hAnsi="Times New Roman" w:cs="Times New Roman"/>
          <w:sz w:val="24"/>
          <w:szCs w:val="24"/>
          <w:u w:val="single"/>
        </w:rPr>
        <w:t>Orderly Liquidation NPRM</w:t>
      </w:r>
      <w:r w:rsidRPr="00BA1318">
        <w:rPr>
          <w:rFonts w:ascii="Times New Roman" w:eastAsia="Times New Roman" w:hAnsi="Times New Roman" w:cs="Times New Roman"/>
          <w:sz w:val="24"/>
          <w:szCs w:val="24"/>
        </w:rPr>
        <w: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Orderly Liquidation Termination Notice Provision</w:t>
      </w:r>
      <w:r w:rsidRPr="00BA1318">
        <w:rPr>
          <w:rFonts w:ascii="Times New Roman" w:eastAsia="Times New Roman" w:hAnsi="Times New Roman" w:cs="Times New Roman"/>
          <w:sz w:val="24"/>
          <w:szCs w:val="24"/>
        </w:rPr>
        <w:t>.</w:t>
      </w:r>
      <w:proofErr w:type="gramEnd"/>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At least once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number of annual responses per registrant: 540 [one per counterparty].</w:t>
      </w:r>
      <w:r w:rsidRPr="00BA1318">
        <w:rPr>
          <w:rFonts w:ascii="Times New Roman" w:eastAsia="Times New Roman" w:hAnsi="Times New Roman" w:cs="Times New Roman"/>
          <w:sz w:val="24"/>
          <w:szCs w:val="24"/>
          <w:vertAlign w:val="superscript"/>
        </w:rPr>
        <w:footnoteReference w:id="10"/>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67,500 [125 registrants × 540 counterparties].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270 [540 counterparties × .5 hours per counterparty].</w:t>
      </w:r>
      <w:r w:rsidRPr="00BA1318">
        <w:rPr>
          <w:rFonts w:ascii="Times New Roman" w:eastAsia="Times New Roman" w:hAnsi="Times New Roman" w:cs="Times New Roman"/>
          <w:sz w:val="24"/>
          <w:szCs w:val="24"/>
          <w:vertAlign w:val="superscript"/>
        </w:rPr>
        <w:footnoteReference w:id="11"/>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33,750 [125 registrants × 270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keepNext/>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13.</w:t>
      </w:r>
      <w:r w:rsidRPr="00BA1318">
        <w:rPr>
          <w:rFonts w:ascii="Times New Roman" w:eastAsia="Times New Roman" w:hAnsi="Times New Roman" w:cs="Times New Roman"/>
          <w:b/>
          <w:sz w:val="24"/>
          <w:szCs w:val="24"/>
        </w:rPr>
        <w:tab/>
        <w:t xml:space="preserve">Provide an estimate of the total annual cost burden to respondents or </w:t>
      </w:r>
      <w:proofErr w:type="spellStart"/>
      <w:r w:rsidRPr="00BA1318">
        <w:rPr>
          <w:rFonts w:ascii="Times New Roman" w:eastAsia="Times New Roman" w:hAnsi="Times New Roman" w:cs="Times New Roman"/>
          <w:b/>
          <w:sz w:val="24"/>
          <w:szCs w:val="24"/>
        </w:rPr>
        <w:t>recordkeepers</w:t>
      </w:r>
      <w:proofErr w:type="spellEnd"/>
      <w:r w:rsidRPr="00BA1318">
        <w:rPr>
          <w:rFonts w:ascii="Times New Roman" w:eastAsia="Times New Roman" w:hAnsi="Times New Roman" w:cs="Times New Roman"/>
          <w:b/>
          <w:sz w:val="24"/>
          <w:szCs w:val="24"/>
        </w:rPr>
        <w:t xml:space="preserve"> resulting from the collection of information.  (Do not include the cost of any hour burden shown in Items 12 and 14).</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A1318">
        <w:rPr>
          <w:rFonts w:ascii="Times New Roman" w:eastAsia="Times New Roman" w:hAnsi="Times New Roman" w:cs="Times New Roman"/>
          <w:b/>
          <w:sz w:val="24"/>
          <w:szCs w:val="24"/>
        </w:rPr>
        <w:t>government,</w:t>
      </w:r>
      <w:proofErr w:type="gramEnd"/>
      <w:r w:rsidRPr="00BA1318">
        <w:rPr>
          <w:rFonts w:ascii="Times New Roman" w:eastAsia="Times New Roman" w:hAnsi="Times New Roman" w:cs="Times New Roman"/>
          <w:b/>
          <w:sz w:val="24"/>
          <w:szCs w:val="24"/>
        </w:rPr>
        <w:t xml:space="preserve"> or (4) as part of customary and usual business or private practices.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In addition to the burden hours discussed above, the Commission anticipates that SDs and MSPs may incur certain start-up costs in connection with the recordkeeping obligations.  Such costs would include the expenditures related to developing and installing new technology and systems, or reprogramming or updating existing recordkeeping technology and systems, to enable the SD or MSP to collect, capture, process, maintain, and re-produce any newly required records.  The Commission estimates that the start-up costs will require 40 burden hours for the rules proposed </w:t>
      </w:r>
      <w:r w:rsidRPr="00BA1318">
        <w:rPr>
          <w:rFonts w:ascii="Times New Roman" w:eastAsia="Times New Roman" w:hAnsi="Times New Roman" w:cs="Times New Roman"/>
          <w:sz w:val="24"/>
          <w:szCs w:val="24"/>
        </w:rPr>
        <w:lastRenderedPageBreak/>
        <w:t>in the Documentation NPRM and 40 hours for the rules proposed in the Confirmation NPRM.</w:t>
      </w:r>
      <w:r w:rsidRPr="00BA1318">
        <w:rPr>
          <w:rFonts w:ascii="Times New Roman" w:eastAsia="Times New Roman" w:hAnsi="Times New Roman" w:cs="Times New Roman"/>
          <w:sz w:val="24"/>
          <w:szCs w:val="24"/>
          <w:vertAlign w:val="superscript"/>
        </w:rPr>
        <w:footnoteReference w:id="12"/>
      </w:r>
      <w:r w:rsidRPr="00BA1318">
        <w:rPr>
          <w:rFonts w:ascii="Times New Roman" w:eastAsia="Times New Roman" w:hAnsi="Times New Roman" w:cs="Times New Roman"/>
          <w:sz w:val="24"/>
          <w:szCs w:val="24"/>
        </w:rPr>
        <w:t xml:space="preserve">  Thus, the estimated start-up burden associated with the required technological improvements is $4,800 [$60 × 80 hours per affected registrant] or $600,000 in the aggregate.</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14.</w:t>
      </w:r>
      <w:r w:rsidRPr="00BA1318">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It is not anticipated that the regulations will impose any additional costs to the Federal Government.</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15.</w:t>
      </w:r>
      <w:r w:rsidRPr="00BA1318">
        <w:rPr>
          <w:rFonts w:ascii="Times New Roman" w:eastAsia="Times New Roman" w:hAnsi="Times New Roman" w:cs="Times New Roman"/>
          <w:b/>
          <w:sz w:val="24"/>
          <w:szCs w:val="24"/>
        </w:rPr>
        <w:tab/>
        <w:t>Explain the reasons for any program changes or adjustments reported in Items 13 or 14 of the OMB Form 83-I.</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program changes or adjustments are required by the Dodd-Frank Act, which established a new regulatory scheme.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16.</w:t>
      </w:r>
      <w:r w:rsidRPr="00BA1318">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17.</w:t>
      </w:r>
      <w:r w:rsidRPr="00BA1318">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18.</w:t>
      </w:r>
      <w:r w:rsidRPr="00BA1318">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40"/>
          <w:szCs w:val="20"/>
        </w:rPr>
        <w:br w:type="page"/>
      </w:r>
      <w:r w:rsidRPr="00BA1318">
        <w:rPr>
          <w:rFonts w:ascii="Times New Roman" w:eastAsia="Times New Roman" w:hAnsi="Times New Roman" w:cs="Times New Roman"/>
          <w:b/>
          <w:sz w:val="24"/>
          <w:szCs w:val="24"/>
        </w:rPr>
        <w:lastRenderedPageBreak/>
        <w:t>Attachment A</w:t>
      </w:r>
    </w:p>
    <w:p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3038-0068, 3038-0083, and 3038-0088</w:t>
      </w:r>
    </w:p>
    <w:p w:rsidR="00BA1318" w:rsidRPr="00BA1318" w:rsidRDefault="00BA1318" w:rsidP="00BA1318">
      <w:pPr>
        <w:spacing w:after="0" w:line="360" w:lineRule="auto"/>
        <w:rPr>
          <w:rFonts w:ascii="Times New Roman" w:eastAsia="Times New Roman" w:hAnsi="Times New Roman" w:cs="Times New Roman"/>
          <w:sz w:val="24"/>
          <w:szCs w:val="24"/>
        </w:rPr>
      </w:pPr>
    </w:p>
    <w:p w:rsidR="00BA1318" w:rsidRPr="00BA1318" w:rsidRDefault="00BA1318" w:rsidP="00BA1318">
      <w:pPr>
        <w:spacing w:after="0" w:line="360" w:lineRule="auto"/>
        <w:rPr>
          <w:rFonts w:ascii="Times New Roman" w:eastAsia="Times New Roman" w:hAnsi="Times New Roman" w:cs="Times New Roman"/>
          <w:b/>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Recordkeeping:  Daily, weekly, quarterly, annually, or as needed (see chart below)</w:t>
      </w:r>
    </w:p>
    <w:p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Start-up Cost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$4,800</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Aggregate Start-Up Cost:  $600,000 </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Average Burden Hours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7,720.5 </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Burden Hours:   965,062.5</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Annual Cost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$839,550</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Aggregate Annual Cost:   $104,943,750  </w:t>
      </w:r>
      <w:r w:rsidRPr="00BA1318">
        <w:rPr>
          <w:rFonts w:ascii="Times New Roman" w:eastAsia="Times New Roman" w:hAnsi="Times New Roman" w:cs="Times New Roman"/>
          <w:sz w:val="24"/>
          <w:szCs w:val="24"/>
        </w:rPr>
        <w:tab/>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methods of calculation listed in response to question 12 of this Supporting Statement</w:t>
      </w:r>
    </w:p>
    <w:p w:rsidR="00BA1318" w:rsidRPr="00BA1318" w:rsidRDefault="00BA1318" w:rsidP="00BA1318">
      <w:pPr>
        <w:spacing w:after="0" w:line="36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br w:type="page"/>
      </w:r>
    </w:p>
    <w:p w:rsidR="00BA1318" w:rsidRPr="00BA1318" w:rsidRDefault="00BA1318" w:rsidP="00BA1318">
      <w:pPr>
        <w:spacing w:after="0" w:line="36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Documentation NPRM:</w:t>
      </w:r>
    </w:p>
    <w:p w:rsidR="00BA1318" w:rsidRPr="00BA1318" w:rsidRDefault="00BA1318" w:rsidP="00BA1318">
      <w:pPr>
        <w:spacing w:after="0" w:line="240" w:lineRule="auto"/>
        <w:jc w:val="both"/>
        <w:rPr>
          <w:rFonts w:ascii="Times New Roman" w:eastAsia="Times New Roman" w:hAnsi="Times New Roman" w:cs="Times New Roman"/>
          <w:sz w:val="24"/>
          <w:szCs w:val="24"/>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2"/>
        <w:gridCol w:w="1157"/>
        <w:gridCol w:w="1216"/>
      </w:tblGrid>
      <w:tr w:rsidR="00BA1318" w:rsidRPr="00BA1318" w:rsidTr="003F49CB">
        <w:trPr>
          <w:jc w:val="center"/>
        </w:trPr>
        <w:tc>
          <w:tcPr>
            <w:tcW w:w="157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227"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gridSpan w:val="2"/>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3"/>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2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4"/>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Drafting and Updating Policies and Procedures</w:t>
            </w:r>
          </w:p>
          <w:p w:rsidR="00BA1318" w:rsidRPr="00BA1318" w:rsidRDefault="00BA1318" w:rsidP="00BA1318">
            <w:pPr>
              <w:spacing w:after="0" w:line="240" w:lineRule="auto"/>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Initial drafting, updating 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 16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2,000 hours</w:t>
            </w:r>
          </w:p>
        </w:tc>
        <w:tc>
          <w:tcPr>
            <w:tcW w:w="1039"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$1,600]</w:t>
            </w: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Swap Trading Relationship Documentation (excluding cleared swap records)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At least once per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5,400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$607,500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[(2,700 hours x $100) + (2,700 hours x $125)]</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$75,937,500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$607,500]</w:t>
            </w: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Cleared Swaps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Daily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63,000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$6,300,000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$50,400]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Audit</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$400]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End User Exception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Once per applicable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$22,000]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Reporting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Valuation Disputes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As applicable</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$2,400]</w:t>
            </w:r>
          </w:p>
        </w:tc>
      </w:tr>
    </w:tbl>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br w:type="page"/>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lastRenderedPageBreak/>
        <w:t>Confirmation NPRM:</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
    <w:tbl>
      <w:tblPr>
        <w:tblW w:w="11813"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116"/>
        <w:gridCol w:w="1522"/>
        <w:gridCol w:w="1061"/>
        <w:gridCol w:w="1061"/>
        <w:gridCol w:w="1016"/>
        <w:gridCol w:w="1039"/>
        <w:gridCol w:w="1049"/>
        <w:gridCol w:w="12"/>
        <w:gridCol w:w="1157"/>
        <w:gridCol w:w="1216"/>
      </w:tblGrid>
      <w:tr w:rsidR="00BA1318" w:rsidRPr="00BA1318" w:rsidTr="003F49CB">
        <w:trPr>
          <w:jc w:val="center"/>
        </w:trPr>
        <w:tc>
          <w:tcPr>
            <w:tcW w:w="1794"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52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gridSpan w:val="2"/>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5"/>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6"/>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b/>
                <w:sz w:val="20"/>
                <w:szCs w:val="20"/>
              </w:rPr>
              <w:t>Drafting &amp; Updating Policies and Procedures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Initial implementation, updating 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 hours</w:t>
            </w:r>
          </w:p>
        </w:tc>
        <w:tc>
          <w:tcPr>
            <w:tcW w:w="1039"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$4,000]</w:t>
            </w: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Acknowledgement and Confirmation</w:t>
            </w:r>
          </w:p>
          <w:p w:rsidR="00BA1318" w:rsidRPr="00BA1318" w:rsidRDefault="00BA1318" w:rsidP="00BA1318">
            <w:pPr>
              <w:spacing w:after="0" w:line="240" w:lineRule="auto"/>
              <w:rPr>
                <w:rFonts w:ascii="Times New Roman" w:eastAsia="Times New Roman" w:hAnsi="Times New Roman" w:cs="Times New Roman"/>
                <w:b/>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Daily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252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 hour</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$25,200]</w:t>
            </w: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Portfolio Reconciliation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Daily, weekly, quarterly, or annually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8,120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$81,200]</w:t>
            </w:r>
          </w:p>
        </w:tc>
      </w:tr>
      <w:tr w:rsidR="00BA1318" w:rsidRPr="00BA1318" w:rsidTr="003F49CB">
        <w:trPr>
          <w:trHeight w:val="341"/>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xml:space="preserve">: </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Portfolio Compression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1,029</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128,625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22,312.5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$2,231,250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$17,850]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t>Orderly Liquidation NPRM:</w:t>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169"/>
        <w:gridCol w:w="1116"/>
      </w:tblGrid>
      <w:tr w:rsidR="00BA1318" w:rsidRPr="00BA1318" w:rsidTr="003F49CB">
        <w:trPr>
          <w:jc w:val="center"/>
        </w:trPr>
        <w:tc>
          <w:tcPr>
            <w:tcW w:w="157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227"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7"/>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2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8"/>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Orderly Liquidation Termination Notice Provision</w:t>
            </w:r>
          </w:p>
          <w:p w:rsidR="00BA1318" w:rsidRPr="00BA1318" w:rsidRDefault="00BA1318" w:rsidP="00BA1318">
            <w:pPr>
              <w:spacing w:after="0" w:line="240" w:lineRule="auto"/>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At least once per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33,750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$3,375,000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$27,000]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p>
    <w:p w:rsidR="0055646B" w:rsidRDefault="0055646B"/>
    <w:sectPr w:rsidR="0055646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AE" w:rsidRDefault="00DF56AE" w:rsidP="00BA1318">
      <w:pPr>
        <w:spacing w:after="0" w:line="240" w:lineRule="auto"/>
      </w:pPr>
      <w:r>
        <w:separator/>
      </w:r>
    </w:p>
  </w:endnote>
  <w:endnote w:type="continuationSeparator" w:id="0">
    <w:p w:rsidR="00DF56AE" w:rsidRDefault="00DF56AE"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C5" w:rsidRDefault="00BA1318">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1C314B">
      <w:rPr>
        <w:rFonts w:ascii="Times New Roman" w:hAnsi="Times New Roman"/>
        <w:noProof/>
        <w:sz w:val="20"/>
        <w:szCs w:val="20"/>
      </w:rPr>
      <w:t>18</w:t>
    </w:r>
    <w:r>
      <w:rPr>
        <w:rFonts w:ascii="Times New Roman" w:hAnsi="Times New Roman"/>
        <w:sz w:val="20"/>
        <w:szCs w:val="20"/>
      </w:rPr>
      <w:fldChar w:fldCharType="end"/>
    </w:r>
  </w:p>
  <w:p w:rsidR="000415C5" w:rsidRDefault="001C3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AE" w:rsidRDefault="00DF56AE" w:rsidP="00BA1318">
      <w:pPr>
        <w:spacing w:after="0" w:line="240" w:lineRule="auto"/>
      </w:pPr>
      <w:r>
        <w:separator/>
      </w:r>
    </w:p>
  </w:footnote>
  <w:footnote w:type="continuationSeparator" w:id="0">
    <w:p w:rsidR="00DF56AE" w:rsidRDefault="00DF56AE" w:rsidP="00BA1318">
      <w:pPr>
        <w:spacing w:after="0" w:line="240" w:lineRule="auto"/>
      </w:pPr>
      <w:r>
        <w:continuationSeparator/>
      </w:r>
    </w:p>
  </w:footnote>
  <w:footnote w:id="1">
    <w:p w:rsidR="00BA1318" w:rsidRDefault="00BA1318" w:rsidP="00BA1318">
      <w:pPr>
        <w:pStyle w:val="FootnoteText"/>
      </w:pPr>
      <w:r>
        <w:rPr>
          <w:rStyle w:val="FootnoteReference"/>
        </w:rPr>
        <w:footnoteRef/>
      </w:r>
      <w:r>
        <w:t xml:space="preserve"> </w:t>
      </w:r>
      <w:r w:rsidRPr="00224898">
        <w:rPr>
          <w:u w:val="single"/>
        </w:rPr>
        <w:t>See</w:t>
      </w:r>
      <w:r>
        <w:t xml:space="preserve"> 77 FR 20128 (Apr. 3, 2012) (Swap Dealer and Major Swap Participant Recordkeeping, Reporting, and Duties Rules; Futures Commission Merchant and Introducing Broker Conflicts of Interest Rules; and Chief Compliance Officer Rules for Swap Dealers, Major Swap Participants, and Futures Commission Merchants).</w:t>
      </w:r>
    </w:p>
  </w:footnote>
  <w:footnote w:id="2">
    <w:p w:rsidR="00BA1318" w:rsidRDefault="00BA1318" w:rsidP="00BA1318">
      <w:pPr>
        <w:pStyle w:val="FootnoteText"/>
      </w:pPr>
      <w:r>
        <w:rPr>
          <w:rStyle w:val="FootnoteReference"/>
        </w:rPr>
        <w:footnoteRef/>
      </w:r>
      <w:r>
        <w:t xml:space="preserve"> </w:t>
      </w:r>
      <w:r w:rsidRPr="00644F3A">
        <w:t>76 FR 6715 (Feb. 8, 2011)</w:t>
      </w:r>
      <w:r>
        <w:t>.</w:t>
      </w:r>
    </w:p>
  </w:footnote>
  <w:footnote w:id="3">
    <w:p w:rsidR="00BA1318" w:rsidRDefault="00BA1318" w:rsidP="00BA1318">
      <w:pPr>
        <w:pStyle w:val="FootnoteText"/>
      </w:pPr>
      <w:r>
        <w:rPr>
          <w:rStyle w:val="FootnoteReference"/>
        </w:rPr>
        <w:footnoteRef/>
      </w:r>
      <w:r>
        <w:t xml:space="preserve"> </w:t>
      </w:r>
      <w:r w:rsidRPr="00644F3A">
        <w:t>75 FR 81519 (Dec. 28, 2010)</w:t>
      </w:r>
      <w:r>
        <w:t>.</w:t>
      </w:r>
    </w:p>
  </w:footnote>
  <w:footnote w:id="4">
    <w:p w:rsidR="00BA1318" w:rsidRDefault="00BA1318" w:rsidP="00BA1318">
      <w:pPr>
        <w:pStyle w:val="FootnoteText"/>
      </w:pPr>
      <w:r>
        <w:rPr>
          <w:rStyle w:val="FootnoteReference"/>
        </w:rPr>
        <w:footnoteRef/>
      </w:r>
      <w:r>
        <w:t xml:space="preserve"> </w:t>
      </w:r>
      <w:r w:rsidRPr="00644F3A">
        <w:t>76 FR 6708 (Feb. 8, 2011)</w:t>
      </w:r>
      <w:r>
        <w:t>.</w:t>
      </w:r>
    </w:p>
  </w:footnote>
  <w:footnote w:id="5">
    <w:p w:rsidR="00BA1318" w:rsidRDefault="00BA1318" w:rsidP="00BA1318">
      <w:pPr>
        <w:pStyle w:val="FootnoteText"/>
      </w:pPr>
      <w:r>
        <w:rPr>
          <w:rStyle w:val="FootnoteReference"/>
        </w:rPr>
        <w:footnoteRef/>
      </w:r>
      <w:r>
        <w:t xml:space="preserve"> In the Confirmation NPRM, the Commission stated that the annual cost for each SD and MSP would be $1,282,250.  This was a scrivener’s error.  </w:t>
      </w:r>
      <w:r w:rsidRPr="000A16BA">
        <w:rPr>
          <w:u w:val="single"/>
        </w:rPr>
        <w:t>See</w:t>
      </w:r>
      <w:r>
        <w:t xml:space="preserve"> </w:t>
      </w:r>
      <w:r w:rsidRPr="000A16BA">
        <w:t xml:space="preserve">75 FR </w:t>
      </w:r>
      <w:r>
        <w:t xml:space="preserve">at </w:t>
      </w:r>
      <w:r w:rsidRPr="000A16BA">
        <w:t>815</w:t>
      </w:r>
      <w:r>
        <w:t>27.</w:t>
      </w:r>
    </w:p>
  </w:footnote>
  <w:footnote w:id="6">
    <w:p w:rsidR="00BA1318" w:rsidRPr="000A16BA" w:rsidRDefault="00BA1318" w:rsidP="00BA1318">
      <w:pPr>
        <w:pStyle w:val="FootnoteText"/>
        <w:rPr>
          <w:szCs w:val="24"/>
        </w:rPr>
      </w:pPr>
      <w:r>
        <w:rPr>
          <w:rStyle w:val="FootnoteReference"/>
        </w:rPr>
        <w:footnoteRef/>
      </w:r>
      <w:r>
        <w:t xml:space="preserve"> </w:t>
      </w:r>
      <w:r w:rsidRPr="00735439">
        <w:rPr>
          <w:szCs w:val="24"/>
        </w:rPr>
        <w:t xml:space="preserve">The total startup costs have been reduced as a result of the </w:t>
      </w:r>
      <w:r w:rsidRPr="0007732E">
        <w:rPr>
          <w:szCs w:val="24"/>
        </w:rPr>
        <w:t xml:space="preserve">lower </w:t>
      </w:r>
      <w:r w:rsidRPr="000A16BA">
        <w:rPr>
          <w:szCs w:val="24"/>
        </w:rPr>
        <w:t xml:space="preserve">combined number of SDs and MSPs </w:t>
      </w:r>
      <w:r>
        <w:rPr>
          <w:szCs w:val="24"/>
        </w:rPr>
        <w:t xml:space="preserve">that the Commission expects to register.  In the NPRMs, the Commission estimated that approximately </w:t>
      </w:r>
      <w:r w:rsidRPr="000A16BA">
        <w:rPr>
          <w:szCs w:val="24"/>
        </w:rPr>
        <w:t xml:space="preserve">300 </w:t>
      </w:r>
      <w:r>
        <w:rPr>
          <w:szCs w:val="24"/>
        </w:rPr>
        <w:t xml:space="preserve">SDs and MSPs would register; however, as discussed more fully in the response to Question 8, the Commission now believes that approximately 125 SDs and MSPs will register and, thus, </w:t>
      </w:r>
      <w:r w:rsidRPr="000A16BA">
        <w:rPr>
          <w:szCs w:val="24"/>
        </w:rPr>
        <w:t>be subject to new information collection requirements under these rules.</w:t>
      </w:r>
    </w:p>
  </w:footnote>
  <w:footnote w:id="7">
    <w:p w:rsidR="00BA1318" w:rsidRPr="00735439" w:rsidRDefault="00BA1318" w:rsidP="00BA1318">
      <w:pPr>
        <w:autoSpaceDE w:val="0"/>
        <w:autoSpaceDN w:val="0"/>
        <w:adjustRightInd w:val="0"/>
      </w:pPr>
      <w:r>
        <w:rPr>
          <w:rStyle w:val="FootnoteReference"/>
        </w:rPr>
        <w:footnoteRef/>
      </w:r>
      <w:r>
        <w:t xml:space="preserve"> </w:t>
      </w:r>
      <w:r>
        <w:rPr>
          <w:rFonts w:ascii="Melior" w:hAnsi="Melior" w:cs="Melior"/>
        </w:rPr>
        <w:t xml:space="preserve">For the reasons discussed in response to Question 8, the Commission has reduced the estimated number of SDs and MSPs that are expected to register, from 300 to 125.  However, based on information currently available to the Commission, the Commission continues to believe that each such registrant, on average, will have 540 counterparties.  </w:t>
      </w:r>
      <w:r w:rsidRPr="00047274">
        <w:rPr>
          <w:rFonts w:ascii="Melior" w:hAnsi="Melior" w:cs="Melior"/>
        </w:rPr>
        <w:t xml:space="preserve">Due to the absence of prior experience in regulating </w:t>
      </w:r>
      <w:r>
        <w:rPr>
          <w:rFonts w:ascii="Melior" w:hAnsi="Melior" w:cs="Melior"/>
        </w:rPr>
        <w:t>SD</w:t>
      </w:r>
      <w:r w:rsidRPr="00047274">
        <w:rPr>
          <w:rFonts w:ascii="Melior" w:hAnsi="Melior" w:cs="Melior"/>
        </w:rPr>
        <w:t xml:space="preserve">s and </w:t>
      </w:r>
      <w:r>
        <w:rPr>
          <w:rFonts w:ascii="Melior" w:hAnsi="Melior" w:cs="Melior"/>
        </w:rPr>
        <w:t>MSP</w:t>
      </w:r>
      <w:r w:rsidRPr="00047274">
        <w:rPr>
          <w:rFonts w:ascii="Melior" w:hAnsi="Melior" w:cs="Melior"/>
        </w:rPr>
        <w:t xml:space="preserve">s, the actual, average number of counterparties that a </w:t>
      </w:r>
      <w:r>
        <w:rPr>
          <w:rFonts w:ascii="Melior" w:hAnsi="Melior" w:cs="Melior"/>
        </w:rPr>
        <w:t>SD</w:t>
      </w:r>
      <w:r w:rsidRPr="00047274">
        <w:rPr>
          <w:rFonts w:ascii="Melior" w:hAnsi="Melior" w:cs="Melior"/>
        </w:rPr>
        <w:t xml:space="preserve"> or </w:t>
      </w:r>
      <w:r>
        <w:rPr>
          <w:rFonts w:ascii="Melior" w:hAnsi="Melior" w:cs="Melior"/>
        </w:rPr>
        <w:t>MSP is likely to have—</w:t>
      </w:r>
      <w:r w:rsidRPr="00047274">
        <w:rPr>
          <w:rFonts w:ascii="Melior" w:hAnsi="Melior" w:cs="Melior"/>
        </w:rPr>
        <w:t>and the average size of its portfolio</w:t>
      </w:r>
      <w:r>
        <w:rPr>
          <w:rFonts w:ascii="Melior" w:hAnsi="Melior" w:cs="Melior"/>
        </w:rPr>
        <w:t xml:space="preserve"> with particular counterparties—i</w:t>
      </w:r>
      <w:r w:rsidRPr="00047274">
        <w:rPr>
          <w:rFonts w:ascii="Melior" w:hAnsi="Melior" w:cs="Melior"/>
        </w:rPr>
        <w:t>s uncertain.</w:t>
      </w:r>
    </w:p>
  </w:footnote>
  <w:footnote w:id="8">
    <w:p w:rsidR="00BA1318" w:rsidRDefault="00BA1318" w:rsidP="00BA1318">
      <w:pPr>
        <w:pStyle w:val="FootnoteText"/>
      </w:pPr>
      <w:r>
        <w:rPr>
          <w:rStyle w:val="FootnoteReference"/>
        </w:rPr>
        <w:footnoteRef/>
      </w:r>
      <w:r>
        <w:t xml:space="preserve"> </w:t>
      </w:r>
      <w:r>
        <w:rPr>
          <w:rFonts w:ascii="Melior" w:hAnsi="Melior" w:cs="Melior"/>
        </w:rPr>
        <w:t xml:space="preserve">For the reasons discussed in response to Question 8, the Commission has reduced the estimated number of SDs and MSPs that are expected to register, from 300 to 125.  However, based on information currently available to the Commission, the Commission continues to believe that each such registrant, on average, will have 540 counterparties.  </w:t>
      </w:r>
      <w:r w:rsidRPr="00047274">
        <w:rPr>
          <w:rFonts w:ascii="Melior" w:hAnsi="Melior" w:cs="Melior"/>
        </w:rPr>
        <w:t xml:space="preserve">Due to the absence of prior experience in regulating </w:t>
      </w:r>
      <w:r>
        <w:rPr>
          <w:rFonts w:ascii="Melior" w:hAnsi="Melior" w:cs="Melior"/>
        </w:rPr>
        <w:t>SD</w:t>
      </w:r>
      <w:r w:rsidRPr="00047274">
        <w:rPr>
          <w:rFonts w:ascii="Melior" w:hAnsi="Melior" w:cs="Melior"/>
        </w:rPr>
        <w:t xml:space="preserve">s and </w:t>
      </w:r>
      <w:r>
        <w:rPr>
          <w:rFonts w:ascii="Melior" w:hAnsi="Melior" w:cs="Melior"/>
        </w:rPr>
        <w:t>MSP</w:t>
      </w:r>
      <w:r w:rsidRPr="00047274">
        <w:rPr>
          <w:rFonts w:ascii="Melior" w:hAnsi="Melior" w:cs="Melior"/>
        </w:rPr>
        <w:t xml:space="preserve">s, the actual, average number of counterparties that a </w:t>
      </w:r>
      <w:r>
        <w:rPr>
          <w:rFonts w:ascii="Melior" w:hAnsi="Melior" w:cs="Melior"/>
        </w:rPr>
        <w:t>SD</w:t>
      </w:r>
      <w:r w:rsidRPr="00047274">
        <w:rPr>
          <w:rFonts w:ascii="Melior" w:hAnsi="Melior" w:cs="Melior"/>
        </w:rPr>
        <w:t xml:space="preserve"> or </w:t>
      </w:r>
      <w:r>
        <w:rPr>
          <w:rFonts w:ascii="Melior" w:hAnsi="Melior" w:cs="Melior"/>
        </w:rPr>
        <w:t>MSP is likely to have—</w:t>
      </w:r>
      <w:r w:rsidRPr="00047274">
        <w:rPr>
          <w:rFonts w:ascii="Melior" w:hAnsi="Melior" w:cs="Melior"/>
        </w:rPr>
        <w:t>and the average size of its portfolio</w:t>
      </w:r>
      <w:r>
        <w:rPr>
          <w:rFonts w:ascii="Melior" w:hAnsi="Melior" w:cs="Melior"/>
        </w:rPr>
        <w:t xml:space="preserve"> with particular counterparties—i</w:t>
      </w:r>
      <w:r w:rsidRPr="00047274">
        <w:rPr>
          <w:rFonts w:ascii="Melior" w:hAnsi="Melior" w:cs="Melior"/>
        </w:rPr>
        <w:t>s uncertain.</w:t>
      </w:r>
      <w:r>
        <w:t xml:space="preserve"> </w:t>
      </w:r>
    </w:p>
  </w:footnote>
  <w:footnote w:id="9">
    <w:p w:rsidR="00BA1318" w:rsidRDefault="00BA1318" w:rsidP="00BA1318">
      <w:pPr>
        <w:pStyle w:val="FootnoteText"/>
      </w:pPr>
      <w:r>
        <w:rPr>
          <w:rStyle w:val="FootnoteReference"/>
        </w:rPr>
        <w:footnoteRef/>
      </w:r>
      <w:r>
        <w:t xml:space="preserve"> </w:t>
      </w:r>
      <w:r w:rsidRPr="00047274">
        <w:rPr>
          <w:u w:val="single"/>
        </w:rPr>
        <w:t>See id</w:t>
      </w:r>
      <w:r>
        <w:t>.</w:t>
      </w:r>
    </w:p>
  </w:footnote>
  <w:footnote w:id="10">
    <w:p w:rsidR="00BA1318" w:rsidRDefault="00BA1318" w:rsidP="00BA1318">
      <w:pPr>
        <w:pStyle w:val="FootnoteText"/>
      </w:pPr>
      <w:r>
        <w:rPr>
          <w:rStyle w:val="FootnoteReference"/>
        </w:rPr>
        <w:footnoteRef/>
      </w:r>
      <w:r>
        <w:t xml:space="preserve"> </w:t>
      </w:r>
      <w:r w:rsidRPr="00CC5660">
        <w:rPr>
          <w:u w:val="single"/>
        </w:rPr>
        <w:t>See Id</w:t>
      </w:r>
      <w:r>
        <w:t>.</w:t>
      </w:r>
    </w:p>
  </w:footnote>
  <w:footnote w:id="11">
    <w:p w:rsidR="00BA1318" w:rsidRDefault="00BA1318" w:rsidP="00BA1318">
      <w:pPr>
        <w:pStyle w:val="FootnoteText"/>
      </w:pPr>
      <w:r>
        <w:rPr>
          <w:rStyle w:val="FootnoteReference"/>
        </w:rPr>
        <w:footnoteRef/>
      </w:r>
      <w:r>
        <w:t xml:space="preserve"> </w:t>
      </w:r>
      <w:r w:rsidRPr="00CC5660">
        <w:rPr>
          <w:u w:val="single"/>
        </w:rPr>
        <w:t>See Id</w:t>
      </w:r>
      <w:r>
        <w:t>.</w:t>
      </w:r>
    </w:p>
  </w:footnote>
  <w:footnote w:id="12">
    <w:p w:rsidR="00BA1318" w:rsidRDefault="00BA1318" w:rsidP="00BA1318">
      <w:pPr>
        <w:pStyle w:val="FootnoteText"/>
      </w:pPr>
      <w:r>
        <w:rPr>
          <w:rStyle w:val="FootnoteReference"/>
        </w:rPr>
        <w:footnoteRef/>
      </w:r>
      <w:r>
        <w:t xml:space="preserve"> As noted in the Orderly Liquidation NPRM, the Commission does not anticipate that swap dealers and major swap participants would incur any startup costs in connection with the recordkeeping obligations in that portion of the final rules, other than those previously noted and accounted for in the Documentation NPRM.</w:t>
      </w:r>
    </w:p>
  </w:footnote>
  <w:footnote w:id="13">
    <w:p w:rsidR="00BA1318" w:rsidRPr="008E7834" w:rsidRDefault="00BA1318" w:rsidP="00BA1318">
      <w:pPr>
        <w:pStyle w:val="FootnoteText"/>
        <w:rPr>
          <w:b/>
        </w:rPr>
      </w:pPr>
      <w:r>
        <w:rPr>
          <w:rStyle w:val="FootnoteReference"/>
        </w:rPr>
        <w:footnoteRef/>
      </w:r>
      <w:r>
        <w:t xml:space="preserve"> With the exception of the category titled “Recordkeeping: Swap Trading Relationship Documentation (excluding cleared swap records),” an hourly wage rate of $100 was used for purposes of these cost estimates.  Thus, with the exception of that category, the figures in this column reflect the “</w:t>
      </w:r>
      <w:r w:rsidRPr="000415C5">
        <w:t xml:space="preserve">Estimated Annual Hour Burden </w:t>
      </w:r>
      <w:proofErr w:type="gramStart"/>
      <w:r w:rsidRPr="000415C5">
        <w:t>Per</w:t>
      </w:r>
      <w:proofErr w:type="gramEnd"/>
      <w:r w:rsidRPr="000415C5">
        <w:t xml:space="preserve"> Registrant</w:t>
      </w:r>
      <w:r>
        <w:t xml:space="preserve">” multiplied by $100.  For purposes of “Recordkeeping: Swap Trading Relationship Documentation (excluding cleared swap records),” the Commission has used an hourly wage rate of $100 for one half of the burden hours in that category and an hourly wage rate of $125 for one half of the burden hours.  The reasoning for this treatment was explained in the Documentation NPRM.  </w:t>
      </w:r>
      <w:r w:rsidRPr="008E7834">
        <w:rPr>
          <w:u w:val="single"/>
        </w:rPr>
        <w:t>See</w:t>
      </w:r>
      <w:r>
        <w:t xml:space="preserve"> 76 FR at 6723 (“To account for the possibility that the services of outside counsel may be required to satisfy the requirements associated with negotiating, drafting, and maintaining the required trading relationship documentation (except the cleared swap records), the Commission has used an average salary of $125 per hour to calculate this burden for one half of the necessary hours.”).</w:t>
      </w:r>
    </w:p>
  </w:footnote>
  <w:footnote w:id="14">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 w:id="15">
    <w:p w:rsidR="00BA1318" w:rsidRDefault="00BA1318" w:rsidP="00BA131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16">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 w:id="17">
    <w:p w:rsidR="00BA1318" w:rsidRDefault="00BA1318" w:rsidP="00BA131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18">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1C314B"/>
    <w:rsid w:val="003F207B"/>
    <w:rsid w:val="0055646B"/>
    <w:rsid w:val="00BA1318"/>
    <w:rsid w:val="00D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6103</Words>
  <Characters>34789</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WMcobb</cp:lastModifiedBy>
  <cp:revision>2</cp:revision>
  <dcterms:created xsi:type="dcterms:W3CDTF">2012-09-19T20:45:00Z</dcterms:created>
  <dcterms:modified xsi:type="dcterms:W3CDTF">2012-09-19T20:45:00Z</dcterms:modified>
</cp:coreProperties>
</file>