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United States Environmental Protection Agency</w:t>
      </w: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auto"/>
      </w:pPr>
    </w:p>
    <w:p w:rsidR="008869EA" w:rsidRDefault="00AA30E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A30E0">
        <w:rPr>
          <w:noProof/>
          <w:sz w:val="32"/>
        </w:rPr>
        <w:pict>
          <v:line id="_x0000_s1076" style="position:absolute;z-index:6" from="-145.45pt,9.3pt" to="358.55pt,9.3pt" strokeweight="3pt"/>
        </w:pict>
      </w:r>
    </w:p>
    <w:p w:rsidR="008869EA" w:rsidRDefault="00AA30E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sidRPr="00AA30E0">
        <w:pict>
          <v:shapetype id="_x0000_t202" coordsize="21600,21600" o:spt="202" path="m,l,21600r21600,l21600,xe">
            <v:stroke joinstyle="miter"/>
            <v:path gradientshapeok="t" o:connecttype="rect"/>
          </v:shapetype>
          <v:shape id="_x0000_s1026" type="#_x0000_t202" style="position:absolute;margin-left:-139.7pt;margin-top:9.2pt;width:66.25pt;height:36.7pt;z-index:1;mso-wrap-distance-left:12pt;mso-wrap-distance-top:12pt;mso-wrap-distance-right:12pt;mso-wrap-distance-bottom:12pt;mso-position-horizontal-relative:margin" stroked="f">
            <v:textbox style="mso-next-textbox:#_x0000_s1026" inset="0,6pt,6pt,6pt">
              <w:txbxContent>
                <w:p w:rsidR="004817C3" w:rsidRDefault="004817C3">
                  <w:r>
                    <w:rPr>
                      <w:rFonts w:ascii="Arial" w:hAnsi="Arial"/>
                      <w:b/>
                      <w:sz w:val="48"/>
                    </w:rPr>
                    <w:t>EPA</w:t>
                  </w:r>
                </w:p>
              </w:txbxContent>
            </v:textbox>
            <w10:wrap type="square" side="largest" anchorx="margin"/>
          </v:shape>
        </w:pict>
      </w:r>
      <w:r w:rsidR="008869EA">
        <w:rPr>
          <w:sz w:val="32"/>
        </w:rPr>
        <w:t>Office of Air and Radiation</w:t>
      </w: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Office of Air Quality Planning and Standards</w:t>
      </w:r>
    </w:p>
    <w:p w:rsidR="008869EA" w:rsidRDefault="006510F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Air Quality Policy Division</w:t>
      </w:r>
    </w:p>
    <w:p w:rsidR="006510F8" w:rsidRDefault="002C2F6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32"/>
        </w:rPr>
        <w:t>Geographic Strategies Group</w:t>
      </w:r>
    </w:p>
    <w:p w:rsidR="008869EA" w:rsidRDefault="00AA30E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A30E0">
        <w:rPr>
          <w:b/>
          <w:noProof/>
        </w:rPr>
        <w:pict>
          <v:shape id="_x0000_s1080" type="#_x0000_t202" style="position:absolute;margin-left:-140.5pt;margin-top:13.1pt;width:145.75pt;height:20.95pt;z-index:8" stroked="f">
            <v:textbox style="mso-next-textbox:#_x0000_s1080" inset="0">
              <w:txbxContent>
                <w:p w:rsidR="004817C3" w:rsidRPr="00C94B69" w:rsidRDefault="004817C3">
                  <w:pPr>
                    <w:rPr>
                      <w:color w:val="FF0000"/>
                    </w:rPr>
                  </w:pPr>
                </w:p>
              </w:txbxContent>
            </v:textbox>
          </v:shape>
        </w:pict>
      </w:r>
      <w:r w:rsidRPr="00AA30E0">
        <w:rPr>
          <w:noProof/>
          <w:sz w:val="32"/>
        </w:rPr>
        <w:pict>
          <v:line id="_x0000_s1077" style="position:absolute;z-index:7" from="-145.45pt,7.6pt" to="358.55pt,7.6pt" strokeweight="3pt"/>
        </w:pict>
      </w: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auto"/>
      </w:pPr>
    </w:p>
    <w:p w:rsidR="008869EA" w:rsidRDefault="008869EA" w:rsidP="005D29C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b/>
        </w:rPr>
      </w:pPr>
      <w:r>
        <w:rPr>
          <w:b/>
        </w:rPr>
        <w:t>August, 2003</w:t>
      </w:r>
    </w:p>
    <w:p w:rsidR="005D29C8" w:rsidRDefault="005D29C8" w:rsidP="005D29C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C2F63" w:rsidRDefault="002C2F63" w:rsidP="00A40417">
      <w:pPr>
        <w:jc w:val="center"/>
        <w:rPr>
          <w:b/>
          <w:sz w:val="36"/>
          <w:szCs w:val="36"/>
        </w:rPr>
      </w:pPr>
    </w:p>
    <w:p w:rsidR="00A40417" w:rsidRPr="00A40417" w:rsidRDefault="00A40417" w:rsidP="00A40417">
      <w:pPr>
        <w:jc w:val="center"/>
        <w:rPr>
          <w:b/>
          <w:sz w:val="36"/>
          <w:szCs w:val="36"/>
        </w:rPr>
      </w:pPr>
      <w:r w:rsidRPr="00A40417">
        <w:rPr>
          <w:b/>
          <w:sz w:val="36"/>
          <w:szCs w:val="36"/>
        </w:rPr>
        <w:t>INFORMATION COLLECTION REQUEST</w:t>
      </w:r>
    </w:p>
    <w:p w:rsidR="00A40417" w:rsidRPr="00A40417" w:rsidRDefault="00A40417" w:rsidP="00A40417">
      <w:pPr>
        <w:jc w:val="center"/>
        <w:rPr>
          <w:b/>
          <w:sz w:val="36"/>
          <w:szCs w:val="36"/>
        </w:rPr>
      </w:pPr>
      <w:r w:rsidRPr="00A40417">
        <w:rPr>
          <w:b/>
          <w:sz w:val="36"/>
          <w:szCs w:val="36"/>
        </w:rPr>
        <w:t>SUPPORTING STATEMENT FOR</w:t>
      </w:r>
    </w:p>
    <w:p w:rsidR="00A40417" w:rsidRPr="00A40417" w:rsidRDefault="002C2F63" w:rsidP="00A40417">
      <w:pPr>
        <w:jc w:val="center"/>
        <w:rPr>
          <w:b/>
          <w:sz w:val="36"/>
          <w:szCs w:val="36"/>
        </w:rPr>
      </w:pPr>
      <w:r>
        <w:rPr>
          <w:b/>
          <w:sz w:val="36"/>
          <w:szCs w:val="36"/>
        </w:rPr>
        <w:t>EPA ICR NUMBER 1813.0</w:t>
      </w:r>
      <w:r w:rsidR="00FF41AD">
        <w:rPr>
          <w:b/>
          <w:sz w:val="36"/>
          <w:szCs w:val="36"/>
        </w:rPr>
        <w:t>8</w:t>
      </w:r>
      <w:r w:rsidR="00A40417" w:rsidRPr="00A40417">
        <w:rPr>
          <w:b/>
          <w:sz w:val="36"/>
          <w:szCs w:val="36"/>
        </w:rPr>
        <w:t>,</w:t>
      </w:r>
    </w:p>
    <w:p w:rsidR="00A40417" w:rsidRPr="00A40417" w:rsidRDefault="00A40417" w:rsidP="00A40417">
      <w:pPr>
        <w:jc w:val="center"/>
        <w:rPr>
          <w:b/>
          <w:sz w:val="36"/>
          <w:szCs w:val="36"/>
        </w:rPr>
      </w:pPr>
      <w:r w:rsidRPr="00A40417">
        <w:rPr>
          <w:b/>
          <w:sz w:val="36"/>
          <w:szCs w:val="36"/>
        </w:rPr>
        <w:t xml:space="preserve">RENEWAL OF THE ICR FOR THE REGIONAL HAZE RULE </w:t>
      </w: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b/>
          <w:sz w:val="20"/>
        </w:rPr>
        <w:t xml:space="preserve"> </w:t>
      </w: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8869EA" w:rsidRDefault="008869EA">
      <w:pPr>
        <w:tabs>
          <w:tab w:val="center" w:pos="3600"/>
        </w:tabs>
        <w:rPr>
          <w:b/>
          <w:sz w:val="20"/>
        </w:rPr>
      </w:pPr>
      <w:r>
        <w:rPr>
          <w:sz w:val="20"/>
        </w:rPr>
        <w:tab/>
      </w:r>
      <w:r>
        <w:rPr>
          <w:b/>
          <w:sz w:val="20"/>
        </w:rPr>
        <w:t xml:space="preserve"> </w:t>
      </w: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Default="008869EA">
      <w:pPr>
        <w:tabs>
          <w:tab w:val="center" w:pos="3600"/>
        </w:tabs>
      </w:pPr>
      <w:r>
        <w:tab/>
      </w:r>
      <w:r w:rsidR="00AA30E0">
        <w:pict>
          <v:shape id="_x0000_s1027" type="#_x0000_t202" style="position:absolute;margin-left:-2in;margin-top:557.9pt;width:7in;height:128.45pt;z-index:-1;mso-wrap-distance-left:4.5pt;mso-wrap-distance-top:4.5pt;mso-wrap-distance-right:4.5pt;mso-wrap-distance-bottom:4.5pt;mso-position-horizontal-relative:margin;mso-position-vertical-relative:margin" o:allowincell="f" stroked="f">
            <v:textbox style="mso-next-textbox:#_x0000_s1027" inset="0,0,0,0">
              <w:txbxContent>
                <w:p w:rsidR="004817C3" w:rsidRDefault="00AA30E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128.25pt">
                        <v:imagedata r:id="rId8" o:title=""/>
                      </v:shape>
                    </w:pict>
                  </w:r>
                </w:p>
              </w:txbxContent>
            </v:textbox>
            <w10:wrap anchorx="margin" anchory="margin"/>
          </v:shape>
        </w:pict>
      </w: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4" w:lineRule="auto"/>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Default="00AA30E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rFonts w:ascii="Courier" w:hAnsi="Courier"/>
        </w:rPr>
      </w:pPr>
      <w:r w:rsidRPr="00AA30E0">
        <w:rPr>
          <w:b/>
          <w:noProof/>
          <w:sz w:val="36"/>
        </w:rPr>
        <w:pict>
          <v:shape id="_x0000_s1082" type="#_x0000_t202" style="position:absolute;margin-left:-145.25pt;margin-top:124.65pt;width:111.35pt;height:20.95pt;z-index:10" stroked="f">
            <v:textbox style="mso-next-textbox:#_x0000_s1082" inset="0">
              <w:txbxContent>
                <w:p w:rsidR="004817C3" w:rsidRDefault="004817C3" w:rsidP="005A437B">
                  <w:r>
                    <w:t>EPA # 1813.08</w:t>
                  </w:r>
                </w:p>
              </w:txbxContent>
            </v:textbox>
          </v:shape>
        </w:pict>
      </w:r>
      <w:r w:rsidRPr="00AA30E0">
        <w:rPr>
          <w:b/>
          <w:noProof/>
          <w:sz w:val="36"/>
        </w:rPr>
        <w:pict>
          <v:line id="_x0000_s1081" style="position:absolute;z-index:9" from="-145.7pt,150.65pt" to="5in,150.65pt" strokeweight="3pt"/>
        </w:pict>
      </w:r>
      <w:r w:rsidR="008869EA">
        <w:rPr>
          <w:b/>
        </w:rPr>
        <w:t>EPA # 1230.16</w:t>
      </w:r>
    </w:p>
    <w:p w:rsidR="00440C98" w:rsidRPr="006C210C" w:rsidRDefault="00440C98" w:rsidP="00440C98"/>
    <w:p w:rsidR="00440C98" w:rsidRPr="006C210C" w:rsidRDefault="00560DAD" w:rsidP="00440C98">
      <w:r>
        <w:rPr>
          <w:rFonts w:ascii="Courier" w:hAnsi="Courier"/>
        </w:rPr>
        <w:br w:type="page"/>
      </w:r>
      <w:r w:rsidR="00AA30E0">
        <w:lastRenderedPageBreak/>
        <w:pict>
          <v:shape id="_x0000_s1028" type="#_x0000_t202" style="position:absolute;margin-left:-180pt;margin-top:0;width:132.6pt;height:28.4pt;z-index:2;mso-wrap-distance-left:12pt;mso-wrap-distance-top:12pt;mso-wrap-distance-right:12pt;mso-wrap-distance-bottom:12pt;mso-position-horizontal-relative:margin" filled="f" stroked="f">
            <v:textbox style="mso-next-textbox:#_x0000_s1028" inset="0,0,6pt,6pt">
              <w:txbxContent>
                <w:p w:rsidR="004817C3" w:rsidRDefault="004817C3">
                  <w:r>
                    <w:rPr>
                      <w:rFonts w:ascii="Arial" w:hAnsi="Arial"/>
                      <w:b/>
                    </w:rPr>
                    <w:t>Executive Summary</w:t>
                  </w:r>
                </w:p>
              </w:txbxContent>
            </v:textbox>
            <w10:wrap type="square" side="largest" anchorx="margin"/>
          </v:shape>
        </w:pict>
      </w:r>
      <w:r w:rsidR="00AA30E0">
        <w:rPr>
          <w:noProof/>
        </w:rPr>
        <w:pict>
          <v:shape id="_x0000_s1164" type="#_x0000_t202" style="position:absolute;margin-left:-2.6pt;margin-top:-344.7pt;width:94.45pt;height:18.45pt;z-index:20" stroked="f">
            <v:textbox style="mso-next-textbox:#_x0000_s1164">
              <w:txbxContent>
                <w:p w:rsidR="004817C3" w:rsidRPr="000C7495" w:rsidRDefault="004817C3">
                  <w:pPr>
                    <w:rPr>
                      <w:b/>
                      <w:i/>
                    </w:rPr>
                  </w:pPr>
                  <w:r w:rsidRPr="000C7495">
                    <w:rPr>
                      <w:b/>
                      <w:i/>
                    </w:rPr>
                    <w:t>Draft 05/01/06</w:t>
                  </w:r>
                </w:p>
              </w:txbxContent>
            </v:textbox>
          </v:shape>
        </w:pict>
      </w:r>
      <w:r w:rsidR="00440C98">
        <w:t xml:space="preserve">This ICR, EPA Form 1813.08, is an update of the Office of Management and Budget (OMB) Control Number 2060-0421; EPA Form 1813.07 which expires on October </w:t>
      </w:r>
      <w:r w:rsidR="00440C98" w:rsidRPr="006C210C">
        <w:t xml:space="preserve">31, 2012. The current approved collection is for 859 respondents, 31,841 hours per year, and $2,563,000 per year. This renewal requests approval for </w:t>
      </w:r>
      <w:r w:rsidR="00D65DAA">
        <w:t>5</w:t>
      </w:r>
      <w:r w:rsidR="007F4647">
        <w:t>3</w:t>
      </w:r>
      <w:r w:rsidR="00344514" w:rsidRPr="006C210C">
        <w:t xml:space="preserve"> </w:t>
      </w:r>
      <w:r w:rsidR="00440C98" w:rsidRPr="006C210C">
        <w:t>respondents (</w:t>
      </w:r>
      <w:r w:rsidR="00D65DAA">
        <w:t>5</w:t>
      </w:r>
      <w:r w:rsidR="007F4647">
        <w:t>2</w:t>
      </w:r>
      <w:r w:rsidR="00440C98" w:rsidRPr="006C210C">
        <w:t xml:space="preserve"> </w:t>
      </w:r>
      <w:r w:rsidR="00344514">
        <w:t>s</w:t>
      </w:r>
      <w:r w:rsidR="00344514" w:rsidRPr="006C210C">
        <w:t xml:space="preserve">tate </w:t>
      </w:r>
      <w:r w:rsidR="00440C98" w:rsidRPr="006C210C">
        <w:t>agencies, and 1 group of F</w:t>
      </w:r>
      <w:r w:rsidR="0075250D">
        <w:t>ederal Land Managers (F</w:t>
      </w:r>
      <w:r w:rsidR="00440C98" w:rsidRPr="006C210C">
        <w:t>LMs)</w:t>
      </w:r>
      <w:r w:rsidR="0075250D">
        <w:t>)</w:t>
      </w:r>
      <w:r w:rsidR="00440C98" w:rsidRPr="006C210C">
        <w:t xml:space="preserve">, </w:t>
      </w:r>
      <w:r w:rsidR="002775B1">
        <w:t>6</w:t>
      </w:r>
      <w:r w:rsidR="00D65DAA">
        <w:t>,</w:t>
      </w:r>
      <w:r w:rsidR="002775B1">
        <w:t>048</w:t>
      </w:r>
      <w:r w:rsidR="00440C98" w:rsidRPr="006C210C">
        <w:t xml:space="preserve"> hours per year, and $</w:t>
      </w:r>
      <w:r w:rsidR="00D65DAA">
        <w:t>2</w:t>
      </w:r>
      <w:r w:rsidR="00181F4C">
        <w:t>9</w:t>
      </w:r>
      <w:r w:rsidR="007E064D">
        <w:t>3</w:t>
      </w:r>
      <w:r w:rsidR="00D65DAA">
        <w:t>,</w:t>
      </w:r>
      <w:r w:rsidR="00181F4C">
        <w:t>631</w:t>
      </w:r>
      <w:r w:rsidR="00181F4C" w:rsidRPr="006C210C">
        <w:t xml:space="preserve"> </w:t>
      </w:r>
      <w:r w:rsidR="00440C98" w:rsidRPr="006C210C">
        <w:t>per year</w:t>
      </w:r>
      <w:r w:rsidR="00DC4668">
        <w:t xml:space="preserve">. </w:t>
      </w:r>
      <w:r w:rsidR="00440C98" w:rsidRPr="006C210C">
        <w:t xml:space="preserve">Table E.1 summarizes the total annual respondent burden for this renewal. </w:t>
      </w:r>
      <w:r w:rsidR="00336365">
        <w:t xml:space="preserve">Tribes are not required to </w:t>
      </w:r>
      <w:r w:rsidR="006E3DED">
        <w:t xml:space="preserve">submit regional haze plans, so there are no burden estimates for </w:t>
      </w:r>
      <w:r w:rsidR="00336365">
        <w:t>Tribal governments</w:t>
      </w:r>
      <w:r w:rsidR="006E3DED">
        <w:t>.</w:t>
      </w:r>
    </w:p>
    <w:p w:rsidR="00440C98" w:rsidRPr="006C210C" w:rsidRDefault="00AA30E0"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pict>
          <v:shape id="_x0000_s1198" type="#_x0000_t202" style="position:absolute;margin-left:-2.6pt;margin-top:-151.55pt;width:131.6pt;height:18.45pt;z-index:43" stroked="f">
            <v:textbox style="mso-next-textbox:#_x0000_s1198">
              <w:txbxContent>
                <w:p w:rsidR="004817C3" w:rsidRPr="000C7495" w:rsidRDefault="004817C3" w:rsidP="00440C98">
                  <w:pPr>
                    <w:rPr>
                      <w:b/>
                      <w:i/>
                    </w:rPr>
                  </w:pPr>
                </w:p>
              </w:txbxContent>
            </v:textbox>
          </v:shape>
        </w:pict>
      </w:r>
    </w:p>
    <w:p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C210C">
        <w:t>The change in burden reflect</w:t>
      </w:r>
      <w:r w:rsidR="004817C3">
        <w:t>s</w:t>
      </w:r>
      <w:r w:rsidRPr="006C210C">
        <w:t xml:space="preserve"> changes in labor rates, changes in the activities conducted due to the normal progression of the program</w:t>
      </w:r>
      <w:r>
        <w:t xml:space="preserve">, and the fact that the </w:t>
      </w:r>
      <w:r w:rsidR="00336365">
        <w:t xml:space="preserve">majority of </w:t>
      </w:r>
      <w:r>
        <w:t xml:space="preserve">regional haze </w:t>
      </w:r>
      <w:r w:rsidR="00FD5710">
        <w:t>state implementation plans (</w:t>
      </w:r>
      <w:r>
        <w:t>SIPs</w:t>
      </w:r>
      <w:r w:rsidR="00FD5710">
        <w:t>)</w:t>
      </w:r>
      <w:r>
        <w:t xml:space="preserve"> </w:t>
      </w:r>
      <w:r w:rsidR="00336365">
        <w:t>for the first 10-year implementation period (including</w:t>
      </w:r>
      <w:r>
        <w:t xml:space="preserve"> </w:t>
      </w:r>
      <w:r w:rsidR="00FD5710">
        <w:t>best available retrofit technology (</w:t>
      </w:r>
      <w:r>
        <w:t>BART</w:t>
      </w:r>
      <w:r w:rsidR="00FD5710">
        <w:t>)</w:t>
      </w:r>
      <w:r>
        <w:t xml:space="preserve"> determinations</w:t>
      </w:r>
      <w:r w:rsidR="00336365">
        <w:t>)</w:t>
      </w:r>
      <w:r>
        <w:t xml:space="preserve"> will </w:t>
      </w:r>
      <w:r w:rsidR="00272515">
        <w:t xml:space="preserve">have been </w:t>
      </w:r>
      <w:r>
        <w:t>acted on by the EPA by November 2012</w:t>
      </w:r>
      <w:r w:rsidR="00336365">
        <w:t xml:space="preserve">. After EPA’s action on the SIPs for the first implementation period, </w:t>
      </w:r>
      <w:r>
        <w:t xml:space="preserve">the states will be </w:t>
      </w:r>
      <w:r w:rsidR="00443CF7">
        <w:t xml:space="preserve">shifting their </w:t>
      </w:r>
      <w:r w:rsidR="00247A8B">
        <w:t xml:space="preserve">primary </w:t>
      </w:r>
      <w:r w:rsidR="00443CF7">
        <w:t>focus to development of interim progress reports required by the regional haze rule</w:t>
      </w:r>
      <w:r w:rsidR="00336365">
        <w:t xml:space="preserve"> and to assessing whether revisions to the SIPs will be needed in 2018.</w:t>
      </w:r>
      <w:r>
        <w:t xml:space="preserve"> </w:t>
      </w:r>
      <w:r w:rsidR="00247A8B">
        <w:t xml:space="preserve">A few states will be required to submit SIP revisions by June 2014 to remedy EPA disapproval of their current plans. </w:t>
      </w:r>
    </w:p>
    <w:p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40C98" w:rsidRPr="00B72F80"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771DB">
        <w:rPr>
          <w:rFonts w:ascii="CourierNewPSMT" w:hAnsi="CourierNewPSMT" w:cs="CourierNewPSMT"/>
          <w:b/>
        </w:rPr>
        <w:t xml:space="preserve">Table </w:t>
      </w:r>
      <w:r>
        <w:rPr>
          <w:rFonts w:ascii="CourierNewPSMT" w:hAnsi="CourierNewPSMT" w:cs="CourierNewPSMT"/>
          <w:b/>
        </w:rPr>
        <w:t>E-1</w:t>
      </w:r>
      <w:r>
        <w:rPr>
          <w:rFonts w:ascii="CourierNewPSMT" w:hAnsi="CourierNewPSMT" w:cs="CourierNewPSMT"/>
        </w:rPr>
        <w:t xml:space="preserve"> </w:t>
      </w:r>
      <w:r w:rsidRPr="007771DB">
        <w:rPr>
          <w:b/>
        </w:rPr>
        <w:t xml:space="preserve">Estimated </w:t>
      </w:r>
      <w:r>
        <w:rPr>
          <w:b/>
        </w:rPr>
        <w:t>State</w:t>
      </w:r>
      <w:r w:rsidR="002775B1">
        <w:rPr>
          <w:b/>
        </w:rPr>
        <w:t xml:space="preserve"> </w:t>
      </w:r>
      <w:r>
        <w:rPr>
          <w:b/>
        </w:rPr>
        <w:t xml:space="preserve">and FLM </w:t>
      </w:r>
      <w:r w:rsidRPr="007771DB">
        <w:rPr>
          <w:b/>
        </w:rPr>
        <w:t>Respondent Burden to Implement Requirements</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
      <w:tblGrid>
        <w:gridCol w:w="1530"/>
        <w:gridCol w:w="1530"/>
        <w:gridCol w:w="1645"/>
        <w:gridCol w:w="1170"/>
        <w:gridCol w:w="1775"/>
      </w:tblGrid>
      <w:tr w:rsidR="002775B1" w:rsidRPr="00917C21" w:rsidTr="002775B1">
        <w:trPr>
          <w:tblHeader/>
        </w:trPr>
        <w:tc>
          <w:tcPr>
            <w:tcW w:w="1530" w:type="dxa"/>
            <w:vMerge w:val="restart"/>
            <w:vAlign w:val="center"/>
          </w:tcPr>
          <w:p w:rsidR="002775B1" w:rsidRPr="00917C21" w:rsidRDefault="002775B1" w:rsidP="0072715D">
            <w:pPr>
              <w:rPr>
                <w:rFonts w:ascii="Arial" w:hAnsi="Arial" w:cs="Arial"/>
                <w:b/>
                <w:sz w:val="16"/>
                <w:szCs w:val="16"/>
              </w:rPr>
            </w:pPr>
            <w:r w:rsidRPr="00917C21">
              <w:rPr>
                <w:rFonts w:ascii="Arial" w:hAnsi="Arial" w:cs="Arial"/>
                <w:b/>
                <w:sz w:val="16"/>
                <w:szCs w:val="16"/>
              </w:rPr>
              <w:t>Task Element</w:t>
            </w:r>
          </w:p>
        </w:tc>
        <w:tc>
          <w:tcPr>
            <w:tcW w:w="3175" w:type="dxa"/>
            <w:gridSpan w:val="2"/>
          </w:tcPr>
          <w:p w:rsidR="002775B1" w:rsidRPr="00917C21" w:rsidRDefault="002775B1" w:rsidP="0072715D">
            <w:pPr>
              <w:jc w:val="center"/>
              <w:rPr>
                <w:rFonts w:ascii="Arial" w:hAnsi="Arial" w:cs="Arial"/>
                <w:b/>
                <w:sz w:val="16"/>
                <w:szCs w:val="16"/>
              </w:rPr>
            </w:pPr>
            <w:r w:rsidRPr="00917C21">
              <w:rPr>
                <w:rFonts w:ascii="Arial" w:hAnsi="Arial" w:cs="Arial"/>
                <w:b/>
                <w:sz w:val="16"/>
                <w:szCs w:val="16"/>
              </w:rPr>
              <w:t>States</w:t>
            </w:r>
          </w:p>
        </w:tc>
        <w:tc>
          <w:tcPr>
            <w:tcW w:w="2945" w:type="dxa"/>
            <w:gridSpan w:val="2"/>
          </w:tcPr>
          <w:p w:rsidR="002775B1" w:rsidRPr="00917C21" w:rsidRDefault="002775B1" w:rsidP="0072715D">
            <w:pPr>
              <w:jc w:val="center"/>
              <w:rPr>
                <w:rFonts w:ascii="Arial" w:hAnsi="Arial" w:cs="Arial"/>
                <w:b/>
                <w:sz w:val="16"/>
                <w:szCs w:val="16"/>
              </w:rPr>
            </w:pPr>
            <w:r w:rsidRPr="00917C21">
              <w:rPr>
                <w:rFonts w:ascii="Arial" w:hAnsi="Arial" w:cs="Arial"/>
                <w:b/>
                <w:sz w:val="16"/>
                <w:szCs w:val="16"/>
              </w:rPr>
              <w:t>FLMs</w:t>
            </w:r>
          </w:p>
        </w:tc>
      </w:tr>
      <w:tr w:rsidR="002775B1" w:rsidRPr="00917C21" w:rsidTr="002775B1">
        <w:trPr>
          <w:trHeight w:val="723"/>
          <w:tblHeader/>
        </w:trPr>
        <w:tc>
          <w:tcPr>
            <w:tcW w:w="1530" w:type="dxa"/>
            <w:vMerge/>
          </w:tcPr>
          <w:p w:rsidR="002775B1" w:rsidRPr="00917C21" w:rsidRDefault="002775B1" w:rsidP="0072715D">
            <w:pPr>
              <w:rPr>
                <w:rFonts w:ascii="Arial" w:hAnsi="Arial" w:cs="Arial"/>
                <w:b/>
                <w:sz w:val="16"/>
                <w:szCs w:val="16"/>
              </w:rPr>
            </w:pPr>
          </w:p>
        </w:tc>
        <w:tc>
          <w:tcPr>
            <w:tcW w:w="1530" w:type="dxa"/>
          </w:tcPr>
          <w:p w:rsidR="002775B1" w:rsidRPr="00917C21" w:rsidRDefault="002775B1" w:rsidP="0072715D">
            <w:pPr>
              <w:rPr>
                <w:rFonts w:ascii="Arial" w:hAnsi="Arial" w:cs="Arial"/>
                <w:b/>
                <w:sz w:val="16"/>
                <w:szCs w:val="16"/>
              </w:rPr>
            </w:pPr>
            <w:r w:rsidRPr="00917C21">
              <w:rPr>
                <w:rFonts w:ascii="Arial" w:hAnsi="Arial" w:cs="Arial"/>
                <w:b/>
                <w:sz w:val="16"/>
                <w:szCs w:val="16"/>
              </w:rPr>
              <w:t>Average Annual Hours</w:t>
            </w:r>
          </w:p>
        </w:tc>
        <w:tc>
          <w:tcPr>
            <w:tcW w:w="1645" w:type="dxa"/>
          </w:tcPr>
          <w:p w:rsidR="002775B1" w:rsidRPr="00917C21" w:rsidRDefault="002775B1" w:rsidP="0072715D">
            <w:pPr>
              <w:rPr>
                <w:rFonts w:ascii="Arial" w:hAnsi="Arial" w:cs="Arial"/>
                <w:b/>
                <w:sz w:val="16"/>
                <w:szCs w:val="16"/>
              </w:rPr>
            </w:pPr>
            <w:r>
              <w:rPr>
                <w:rFonts w:ascii="Arial" w:hAnsi="Arial" w:cs="Arial"/>
                <w:b/>
                <w:sz w:val="16"/>
                <w:szCs w:val="16"/>
              </w:rPr>
              <w:t>Average Annual Cost ($</w:t>
            </w:r>
            <w:r w:rsidRPr="00917C21">
              <w:rPr>
                <w:rFonts w:ascii="Arial" w:hAnsi="Arial" w:cs="Arial"/>
                <w:b/>
                <w:sz w:val="16"/>
                <w:szCs w:val="16"/>
              </w:rPr>
              <w:t>)</w:t>
            </w:r>
          </w:p>
        </w:tc>
        <w:tc>
          <w:tcPr>
            <w:tcW w:w="1170" w:type="dxa"/>
          </w:tcPr>
          <w:p w:rsidR="002775B1" w:rsidRPr="00917C21" w:rsidRDefault="002775B1" w:rsidP="0072715D">
            <w:pPr>
              <w:rPr>
                <w:rFonts w:ascii="Arial" w:hAnsi="Arial" w:cs="Arial"/>
                <w:b/>
                <w:sz w:val="16"/>
                <w:szCs w:val="16"/>
              </w:rPr>
            </w:pPr>
          </w:p>
          <w:p w:rsidR="002775B1" w:rsidRPr="00917C21" w:rsidRDefault="002775B1" w:rsidP="0072715D">
            <w:pPr>
              <w:rPr>
                <w:rFonts w:ascii="Arial" w:hAnsi="Arial" w:cs="Arial"/>
                <w:b/>
                <w:sz w:val="16"/>
                <w:szCs w:val="16"/>
              </w:rPr>
            </w:pPr>
            <w:r w:rsidRPr="00917C21">
              <w:rPr>
                <w:rFonts w:ascii="Arial" w:hAnsi="Arial" w:cs="Arial"/>
                <w:b/>
                <w:sz w:val="16"/>
                <w:szCs w:val="16"/>
              </w:rPr>
              <w:t>Average Annual  Hours</w:t>
            </w:r>
          </w:p>
        </w:tc>
        <w:tc>
          <w:tcPr>
            <w:tcW w:w="1775" w:type="dxa"/>
            <w:shd w:val="clear" w:color="auto" w:fill="auto"/>
          </w:tcPr>
          <w:p w:rsidR="002775B1" w:rsidRPr="00917C21" w:rsidRDefault="002775B1" w:rsidP="0072715D">
            <w:pPr>
              <w:rPr>
                <w:rFonts w:ascii="Arial" w:hAnsi="Arial" w:cs="Arial"/>
                <w:b/>
                <w:sz w:val="16"/>
                <w:szCs w:val="16"/>
              </w:rPr>
            </w:pPr>
            <w:r>
              <w:rPr>
                <w:rFonts w:ascii="Arial" w:hAnsi="Arial" w:cs="Arial"/>
                <w:b/>
                <w:sz w:val="16"/>
                <w:szCs w:val="16"/>
              </w:rPr>
              <w:t>Average Annual Cost ($</w:t>
            </w:r>
            <w:r w:rsidRPr="00917C21">
              <w:rPr>
                <w:rFonts w:ascii="Arial" w:hAnsi="Arial" w:cs="Arial"/>
                <w:b/>
                <w:sz w:val="16"/>
                <w:szCs w:val="16"/>
              </w:rPr>
              <w:t>)</w:t>
            </w:r>
          </w:p>
        </w:tc>
      </w:tr>
      <w:tr w:rsidR="00181F4C" w:rsidRPr="00917C21" w:rsidTr="002775B1">
        <w:tc>
          <w:tcPr>
            <w:tcW w:w="1530" w:type="dxa"/>
          </w:tcPr>
          <w:p w:rsidR="00181F4C" w:rsidRPr="00917C21" w:rsidRDefault="00181F4C" w:rsidP="0072715D">
            <w:pPr>
              <w:rPr>
                <w:rFonts w:ascii="Arial" w:hAnsi="Arial" w:cs="Arial"/>
                <w:sz w:val="16"/>
                <w:szCs w:val="16"/>
              </w:rPr>
            </w:pPr>
            <w:r w:rsidRPr="00917C21">
              <w:rPr>
                <w:rFonts w:ascii="Arial" w:hAnsi="Arial" w:cs="Arial"/>
                <w:sz w:val="16"/>
                <w:szCs w:val="16"/>
              </w:rPr>
              <w:t>Total Burden by Respondent</w:t>
            </w:r>
          </w:p>
        </w:tc>
        <w:tc>
          <w:tcPr>
            <w:tcW w:w="1530" w:type="dxa"/>
          </w:tcPr>
          <w:p w:rsidR="00181F4C" w:rsidRPr="00917C21" w:rsidRDefault="00181F4C" w:rsidP="0072715D">
            <w:pPr>
              <w:rPr>
                <w:rFonts w:ascii="Arial" w:hAnsi="Arial" w:cs="Arial"/>
                <w:sz w:val="16"/>
                <w:szCs w:val="16"/>
              </w:rPr>
            </w:pPr>
            <w:r>
              <w:rPr>
                <w:rFonts w:ascii="Arial" w:hAnsi="Arial" w:cs="Arial"/>
                <w:sz w:val="16"/>
                <w:szCs w:val="16"/>
              </w:rPr>
              <w:t>5,021</w:t>
            </w:r>
          </w:p>
        </w:tc>
        <w:tc>
          <w:tcPr>
            <w:tcW w:w="1645" w:type="dxa"/>
          </w:tcPr>
          <w:p w:rsidR="00181F4C" w:rsidRPr="00917C21" w:rsidRDefault="00181F4C" w:rsidP="0072715D">
            <w:pPr>
              <w:rPr>
                <w:rFonts w:ascii="Arial" w:hAnsi="Arial" w:cs="Arial"/>
                <w:sz w:val="16"/>
                <w:szCs w:val="16"/>
              </w:rPr>
            </w:pPr>
            <w:r>
              <w:rPr>
                <w:rFonts w:ascii="Arial" w:hAnsi="Arial" w:cs="Arial"/>
                <w:sz w:val="16"/>
                <w:szCs w:val="16"/>
              </w:rPr>
              <w:t>243,770</w:t>
            </w:r>
          </w:p>
        </w:tc>
        <w:tc>
          <w:tcPr>
            <w:tcW w:w="1170" w:type="dxa"/>
          </w:tcPr>
          <w:p w:rsidR="00181F4C" w:rsidRPr="00917C21" w:rsidRDefault="00181F4C" w:rsidP="0072715D">
            <w:pPr>
              <w:rPr>
                <w:rFonts w:ascii="Arial" w:hAnsi="Arial" w:cs="Arial"/>
                <w:sz w:val="16"/>
                <w:szCs w:val="16"/>
              </w:rPr>
            </w:pPr>
            <w:r>
              <w:rPr>
                <w:rFonts w:ascii="Arial" w:hAnsi="Arial" w:cs="Arial"/>
                <w:sz w:val="16"/>
                <w:szCs w:val="16"/>
              </w:rPr>
              <w:t>1,027</w:t>
            </w:r>
          </w:p>
        </w:tc>
        <w:tc>
          <w:tcPr>
            <w:tcW w:w="1775" w:type="dxa"/>
            <w:shd w:val="clear" w:color="auto" w:fill="auto"/>
          </w:tcPr>
          <w:p w:rsidR="00181F4C" w:rsidRPr="00917C21" w:rsidRDefault="00181F4C" w:rsidP="0072715D">
            <w:pPr>
              <w:rPr>
                <w:rFonts w:ascii="Arial" w:hAnsi="Arial" w:cs="Arial"/>
                <w:sz w:val="16"/>
                <w:szCs w:val="16"/>
              </w:rPr>
            </w:pPr>
            <w:r>
              <w:rPr>
                <w:rFonts w:ascii="Arial" w:hAnsi="Arial" w:cs="Arial"/>
                <w:sz w:val="16"/>
                <w:szCs w:val="16"/>
              </w:rPr>
              <w:t>49,861</w:t>
            </w:r>
          </w:p>
        </w:tc>
      </w:tr>
      <w:tr w:rsidR="00181F4C" w:rsidRPr="00917C21" w:rsidTr="0072715D">
        <w:tc>
          <w:tcPr>
            <w:tcW w:w="1530" w:type="dxa"/>
          </w:tcPr>
          <w:p w:rsidR="00181F4C" w:rsidRPr="00917C21" w:rsidRDefault="00181F4C" w:rsidP="0072715D">
            <w:pPr>
              <w:rPr>
                <w:rFonts w:ascii="Arial" w:hAnsi="Arial" w:cs="Arial"/>
                <w:sz w:val="16"/>
                <w:szCs w:val="16"/>
              </w:rPr>
            </w:pPr>
            <w:r w:rsidRPr="00917C21">
              <w:rPr>
                <w:rFonts w:ascii="Arial" w:hAnsi="Arial" w:cs="Arial"/>
                <w:b/>
                <w:sz w:val="16"/>
                <w:szCs w:val="16"/>
              </w:rPr>
              <w:t>Total for Respondent Universe</w:t>
            </w:r>
          </w:p>
        </w:tc>
        <w:tc>
          <w:tcPr>
            <w:tcW w:w="6120" w:type="dxa"/>
            <w:gridSpan w:val="4"/>
          </w:tcPr>
          <w:p w:rsidR="00181F4C" w:rsidRPr="00917C21" w:rsidRDefault="00181F4C" w:rsidP="002775B1">
            <w:pPr>
              <w:tabs>
                <w:tab w:val="left" w:pos="4365"/>
              </w:tabs>
              <w:rPr>
                <w:rFonts w:ascii="Arial" w:hAnsi="Arial" w:cs="Arial"/>
                <w:sz w:val="16"/>
                <w:szCs w:val="16"/>
              </w:rPr>
            </w:pPr>
            <w:r>
              <w:rPr>
                <w:rFonts w:ascii="Arial" w:hAnsi="Arial" w:cs="Arial"/>
                <w:b/>
                <w:sz w:val="16"/>
                <w:szCs w:val="16"/>
              </w:rPr>
              <w:t>6,048</w:t>
            </w:r>
            <w:r w:rsidRPr="001A1839">
              <w:rPr>
                <w:rFonts w:ascii="Arial" w:hAnsi="Arial" w:cs="Arial"/>
                <w:b/>
                <w:sz w:val="16"/>
                <w:szCs w:val="16"/>
              </w:rPr>
              <w:t xml:space="preserve"> hours; $</w:t>
            </w:r>
            <w:r>
              <w:rPr>
                <w:rFonts w:ascii="Arial" w:hAnsi="Arial" w:cs="Arial"/>
                <w:b/>
                <w:sz w:val="16"/>
                <w:szCs w:val="16"/>
              </w:rPr>
              <w:t>293,631</w:t>
            </w:r>
            <w:r>
              <w:rPr>
                <w:rFonts w:ascii="Arial" w:hAnsi="Arial" w:cs="Arial"/>
                <w:sz w:val="16"/>
                <w:szCs w:val="16"/>
              </w:rPr>
              <w:tab/>
            </w:r>
          </w:p>
        </w:tc>
      </w:tr>
    </w:tbl>
    <w:p w:rsidR="00440C98" w:rsidRPr="004644F8" w:rsidRDefault="00440C98" w:rsidP="00440C98">
      <w:pPr>
        <w:ind w:left="-1260"/>
        <w:rPr>
          <w:rFonts w:ascii="Arial" w:hAnsi="Arial" w:cs="Arial"/>
          <w:b/>
          <w:color w:val="000000"/>
        </w:rPr>
      </w:pPr>
    </w:p>
    <w:p w:rsidR="00440C98" w:rsidRDefault="00440C98" w:rsidP="00440C98">
      <w:pPr>
        <w:rPr>
          <w:color w:val="000000"/>
        </w:rPr>
      </w:pPr>
      <w:r>
        <w:rPr>
          <w:color w:val="000000"/>
        </w:rPr>
        <w:t xml:space="preserve"> </w:t>
      </w:r>
    </w:p>
    <w:p w:rsidR="00440C98" w:rsidRDefault="00440C98" w:rsidP="00440C98">
      <w:pPr>
        <w:rPr>
          <w:color w:val="000000"/>
        </w:rPr>
      </w:pPr>
      <w:r>
        <w:rPr>
          <w:color w:val="000000"/>
        </w:rPr>
        <w:br w:type="page"/>
      </w:r>
      <w:r w:rsidR="00AA30E0" w:rsidRPr="00AA30E0">
        <w:lastRenderedPageBreak/>
        <w:pict>
          <v:shape id="_x0000_s1196" type="#_x0000_t202" style="position:absolute;margin-left:154.95pt;margin-top:59.3pt;width:184.85pt;height:102.2pt;z-index:41;mso-wrap-distance-left:12pt;mso-wrap-distance-top:12pt;mso-wrap-distance-right:12pt;mso-wrap-distance-bottom:12pt;mso-position-horizontal-relative:margin" wrapcoords="-176 -159 -176 21600 21776 21600 21776 -159 -176 -159" filled="f" fillcolor="red" strokeweight="1.92pt">
            <v:fill color2="red"/>
            <v:textbox style="mso-next-textbox:#_x0000_s1196" inset="6pt,6pt,6pt,6pt">
              <w:txbxContent>
                <w:p w:rsidR="004817C3" w:rsidRDefault="004817C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EPA TRACKING NUMBER: 1813.08</w:t>
                  </w:r>
                </w:p>
                <w:p w:rsidR="004817C3" w:rsidRDefault="004817C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p>
                <w:p w:rsidR="004817C3" w:rsidRDefault="004817C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E-TRACKING NUMBER:</w:t>
                  </w:r>
                </w:p>
                <w:p w:rsidR="004817C3" w:rsidRDefault="004817C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OMB-2060-0421</w:t>
                  </w:r>
                </w:p>
              </w:txbxContent>
            </v:textbox>
            <w10:wrap type="square" side="left" anchorx="margin"/>
          </v:shape>
        </w:pict>
      </w:r>
      <w:r w:rsidR="00AA30E0" w:rsidRPr="00AA30E0">
        <w:pict>
          <v:shape id="_x0000_s1177" type="#_x0000_t202" style="position:absolute;margin-left:-180pt;margin-top:-27.85pt;width:532.45pt;height:21.5pt;z-index:22;mso-wrap-distance-left:12pt;mso-wrap-distance-top:12pt;mso-wrap-distance-right:12pt;mso-wrap-distance-bottom:12pt;mso-position-horizontal-relative:margin" filled="f" stroked="f">
            <v:textbox style="mso-next-textbox:#_x0000_s1177" inset="0,0,6pt,6pt">
              <w:txbxContent>
                <w:p w:rsidR="004817C3" w:rsidRDefault="004817C3" w:rsidP="00440C98">
                  <w:r>
                    <w:rPr>
                      <w:rFonts w:ascii="Arial" w:hAnsi="Arial"/>
                      <w:b/>
                    </w:rPr>
                    <w:t>1</w:t>
                  </w:r>
                  <w:r>
                    <w:rPr>
                      <w:rFonts w:ascii="Arial" w:hAnsi="Arial"/>
                      <w:b/>
                    </w:rPr>
                    <w:tab/>
                  </w:r>
                  <w:r w:rsidRPr="009A6412">
                    <w:rPr>
                      <w:rStyle w:val="Heading1Char"/>
                      <w:sz w:val="24"/>
                      <w:szCs w:val="24"/>
                    </w:rPr>
                    <w:t>Identification of the Information Collection</w:t>
                  </w:r>
                </w:p>
              </w:txbxContent>
            </v:textbox>
            <w10:wrap type="square" side="largest" anchorx="margin"/>
          </v:shape>
        </w:pict>
      </w:r>
      <w:r w:rsidR="00AA30E0" w:rsidRPr="00AA30E0">
        <w:pict>
          <v:shape id="_x0000_s1178" type="#_x0000_t202" style="position:absolute;margin-left:-180pt;margin-top:0;width:132.6pt;height:27.7pt;z-index:23;mso-wrap-distance-left:12pt;mso-wrap-distance-top:12pt;mso-wrap-distance-right:12pt;mso-wrap-distance-bottom:12pt;mso-position-horizontal-relative:margin" filled="f" stroked="f">
            <v:textbox style="mso-next-textbox:#_x0000_s1178" inset="0,0,6pt,6pt">
              <w:txbxContent>
                <w:p w:rsidR="004817C3" w:rsidRDefault="004817C3" w:rsidP="00440C98">
                  <w:r>
                    <w:rPr>
                      <w:rFonts w:ascii="Arial" w:hAnsi="Arial"/>
                      <w:b/>
                    </w:rPr>
                    <w:t>1.1</w:t>
                  </w:r>
                  <w:r>
                    <w:rPr>
                      <w:rFonts w:ascii="Arial" w:hAnsi="Arial"/>
                      <w:b/>
                    </w:rPr>
                    <w:tab/>
                    <w:t>Title</w:t>
                  </w:r>
                </w:p>
              </w:txbxContent>
            </v:textbox>
            <w10:wrap type="square" side="largest" anchorx="margin"/>
          </v:shape>
        </w:pict>
      </w:r>
      <w:r>
        <w:rPr>
          <w:color w:val="000000"/>
        </w:rPr>
        <w:t>This document fulfills the Agency's requirements under the Paperwork Reduction Act (PRA) with regards to determining the regulatory burden associated with the implementation of the regional haze program (40 CFR 51.308) and requirements related to the Grand Canyon Visibility Transport Commission (40 CFR 51.309). It has been assigned EPA tracking number 1813.08. The title of this Information Collection Request (ICR) is “Information Collection Request Supporting Statement f</w:t>
      </w:r>
      <w:r w:rsidRPr="00014D06">
        <w:rPr>
          <w:color w:val="000000"/>
        </w:rPr>
        <w:t>or</w:t>
      </w:r>
      <w:r>
        <w:rPr>
          <w:color w:val="000000"/>
        </w:rPr>
        <w:t xml:space="preserve"> </w:t>
      </w:r>
      <w:r w:rsidRPr="00014D06">
        <w:rPr>
          <w:color w:val="000000"/>
        </w:rPr>
        <w:t>E</w:t>
      </w:r>
      <w:r>
        <w:rPr>
          <w:color w:val="000000"/>
        </w:rPr>
        <w:t>PA</w:t>
      </w:r>
      <w:r w:rsidRPr="00014D06">
        <w:rPr>
          <w:color w:val="000000"/>
        </w:rPr>
        <w:t xml:space="preserve"> I</w:t>
      </w:r>
      <w:r>
        <w:rPr>
          <w:color w:val="000000"/>
        </w:rPr>
        <w:t>CR</w:t>
      </w:r>
      <w:r w:rsidRPr="00014D06">
        <w:rPr>
          <w:color w:val="000000"/>
        </w:rPr>
        <w:t xml:space="preserve"> Number 1813.0</w:t>
      </w:r>
      <w:r>
        <w:rPr>
          <w:color w:val="000000"/>
        </w:rPr>
        <w:t>8</w:t>
      </w:r>
      <w:r w:rsidRPr="00014D06">
        <w:rPr>
          <w:color w:val="000000"/>
        </w:rPr>
        <w:t>,</w:t>
      </w:r>
      <w:r>
        <w:rPr>
          <w:color w:val="000000"/>
        </w:rPr>
        <w:t xml:space="preserve"> Renewal o</w:t>
      </w:r>
      <w:r w:rsidRPr="00014D06">
        <w:rPr>
          <w:color w:val="000000"/>
        </w:rPr>
        <w:t>f The I</w:t>
      </w:r>
      <w:r>
        <w:rPr>
          <w:color w:val="000000"/>
        </w:rPr>
        <w:t>CR for t</w:t>
      </w:r>
      <w:r w:rsidRPr="00014D06">
        <w:rPr>
          <w:color w:val="000000"/>
        </w:rPr>
        <w:t>he Regional Haze Rule</w:t>
      </w:r>
      <w:r>
        <w:rPr>
          <w:color w:val="000000"/>
        </w:rPr>
        <w:t>.”</w:t>
      </w:r>
    </w:p>
    <w:p w:rsidR="00440C98" w:rsidRDefault="00AA30E0"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bookmarkStart w:id="0" w:name="QuickMark_1"/>
      <w:bookmarkEnd w:id="0"/>
      <w:r w:rsidRPr="00AA30E0">
        <w:rPr>
          <w:noProof/>
        </w:rPr>
        <w:pict>
          <v:shape id="_x0000_s1197" type="#_x0000_t202" style="position:absolute;margin-left:-180pt;margin-top:290.8pt;width:116.9pt;height:59.1pt;z-index:42;mso-position-horizontal-relative:margin;mso-position-vertical-relative:page" stroked="f">
            <v:textbox style="mso-next-textbox:#_x0000_s1197" inset="0,0">
              <w:txbxContent>
                <w:p w:rsidR="004817C3" w:rsidRPr="00415613" w:rsidRDefault="004817C3" w:rsidP="00440C98">
                  <w:pPr>
                    <w:rPr>
                      <w:rFonts w:ascii="Arial" w:hAnsi="Arial" w:cs="Arial"/>
                      <w:b/>
                    </w:rPr>
                  </w:pPr>
                  <w:r>
                    <w:rPr>
                      <w:rFonts w:ascii="Arial" w:hAnsi="Arial" w:cs="Arial"/>
                      <w:b/>
                    </w:rPr>
                    <w:t>1.2</w:t>
                  </w:r>
                  <w:r>
                    <w:rPr>
                      <w:rFonts w:ascii="Arial" w:hAnsi="Arial" w:cs="Arial"/>
                      <w:b/>
                    </w:rPr>
                    <w:tab/>
                    <w:t>Description</w:t>
                  </w:r>
                </w:p>
              </w:txbxContent>
            </v:textbox>
            <w10:wrap anchorx="margin" anchory="page"/>
          </v:shape>
        </w:pict>
      </w:r>
      <w:r w:rsidRPr="00AA30E0">
        <w:pict>
          <v:shape id="_x0000_s1179" type="#_x0000_t202" style="position:absolute;margin-left:-180pt;margin-top:10.8pt;width:132.6pt;height:28.1pt;z-index:24;mso-wrap-distance-left:12pt;mso-wrap-distance-top:12pt;mso-wrap-distance-right:12pt;mso-wrap-distance-bottom:12pt;mso-position-horizontal-relative:margin" filled="f" stroked="f">
            <v:textbox style="mso-next-textbox:#_x0000_s1179" inset="0,0,6pt,6pt">
              <w:txbxContent>
                <w:p w:rsidR="004817C3" w:rsidRDefault="004817C3" w:rsidP="00440C98">
                  <w:r>
                    <w:t>OMD1.2</w:t>
                  </w:r>
                  <w:r>
                    <w:tab/>
                    <w:t>Description</w:t>
                  </w:r>
                </w:p>
              </w:txbxContent>
            </v:textbox>
            <w10:wrap type="square" side="largest" anchorx="margin"/>
          </v:shape>
        </w:pict>
      </w:r>
    </w:p>
    <w:p w:rsidR="00440C98" w:rsidRDefault="00440C98" w:rsidP="00440C98">
      <w:pPr>
        <w:spacing w:line="238" w:lineRule="auto"/>
      </w:pPr>
      <w:r>
        <w:t>Subpart P</w:t>
      </w:r>
      <w:r w:rsidR="0053034F">
        <w:t xml:space="preserve"> of 40 CFR 51</w:t>
      </w:r>
      <w:r>
        <w:t xml:space="preserve">, Protection of Visibility, also known as the regional haze rule, is the subject of this clearance request. In the next </w:t>
      </w:r>
      <w:r w:rsidR="009A7A4F">
        <w:t xml:space="preserve">three </w:t>
      </w:r>
      <w:r>
        <w:t xml:space="preserve">years, activities conducted by the states, Federal Land Managers (FLMs), and </w:t>
      </w:r>
      <w:r w:rsidR="006601C4">
        <w:t xml:space="preserve">the </w:t>
      </w:r>
      <w:r>
        <w:t xml:space="preserve">EPA will focus on  </w:t>
      </w:r>
      <w:r w:rsidR="0053034F">
        <w:t>reporting requirements</w:t>
      </w:r>
      <w:r>
        <w:t xml:space="preserve"> in the rule to address the progress of regional haze implementation plans. </w:t>
      </w:r>
      <w:r w:rsidR="009A7A4F">
        <w:t>During the next three years, s</w:t>
      </w:r>
      <w:r w:rsidR="00A75549">
        <w:t>ix s</w:t>
      </w:r>
      <w:r w:rsidR="00A648F3">
        <w:t xml:space="preserve">tates </w:t>
      </w:r>
      <w:r w:rsidR="003E1135">
        <w:t xml:space="preserve">(Alabama, Arkansas, Florida, Louisiana, Mississippi, and North Carolina) </w:t>
      </w:r>
      <w:r w:rsidR="00A648F3">
        <w:t>will</w:t>
      </w:r>
      <w:r w:rsidR="00A75549">
        <w:t xml:space="preserve"> also be responsible for submitting SIP revisions to remedy EPA’s disapproval of specific elements of their regional haze programs. </w:t>
      </w:r>
      <w:r>
        <w:t>40 CFR 51.</w:t>
      </w:r>
      <w:r>
        <w:rPr>
          <w:iCs/>
        </w:rPr>
        <w:t>308 (g)</w:t>
      </w:r>
      <w:r>
        <w:t xml:space="preserve"> requires states to develop periodic reports evaluating progress towards the reasonable progress </w:t>
      </w:r>
      <w:r w:rsidR="0053034F">
        <w:t xml:space="preserve">goals for </w:t>
      </w:r>
      <w:r>
        <w:t xml:space="preserve">improving visibility in  Class I areas inside the state and in neighboring </w:t>
      </w:r>
      <w:r w:rsidR="0053034F">
        <w:t>states</w:t>
      </w:r>
      <w:r>
        <w:t>. The</w:t>
      </w:r>
      <w:r w:rsidR="0053034F">
        <w:t>re are similar reporting requirements under</w:t>
      </w:r>
      <w:r>
        <w:t xml:space="preserve"> 40 CFR 51.</w:t>
      </w:r>
      <w:r>
        <w:rPr>
          <w:iCs/>
        </w:rPr>
        <w:t>309</w:t>
      </w:r>
      <w:r>
        <w:t xml:space="preserve">, </w:t>
      </w:r>
      <w:r w:rsidR="0053034F">
        <w:t xml:space="preserve">a section of the regional haze rule in which </w:t>
      </w:r>
      <w:r w:rsidR="003E1135">
        <w:t xml:space="preserve">three </w:t>
      </w:r>
      <w:r w:rsidR="0053034F">
        <w:t>states (Utah, Wyoming, and New Mexico) elected to submit their SIPs. Under section 309, these states adopted regional haze</w:t>
      </w:r>
      <w:r>
        <w:t xml:space="preserve"> strategies for the period from 2003 to 2018 for sulfur dioxide emissions. These strategies are based on recommendations from the Grand Canyon Visibility Transport Commission (GCVTC) for protecting the 16 Class I areas </w:t>
      </w:r>
      <w:r w:rsidR="00A75549">
        <w:t>i</w:t>
      </w:r>
      <w:r>
        <w:t xml:space="preserve">n the Colorado Plateau area. </w:t>
      </w:r>
    </w:p>
    <w:p w:rsidR="00440C98" w:rsidRDefault="00440C98" w:rsidP="00440C98"/>
    <w:p w:rsidR="00440C98" w:rsidRPr="00147695" w:rsidRDefault="00440C98" w:rsidP="00440C98">
      <w:r w:rsidRPr="00147695">
        <w:t xml:space="preserve">On June 15, 2005, </w:t>
      </w:r>
      <w:r w:rsidR="006601C4">
        <w:t xml:space="preserve">the </w:t>
      </w:r>
      <w:r w:rsidRPr="00147695">
        <w:t xml:space="preserve">EPA finalized amendments to the July 1999 </w:t>
      </w:r>
      <w:r>
        <w:t xml:space="preserve">regional haze rule. </w:t>
      </w:r>
      <w:r w:rsidRPr="00147695">
        <w:t xml:space="preserve">These amendments apply to the provisions of the </w:t>
      </w:r>
      <w:r>
        <w:t>regional haze rule</w:t>
      </w:r>
      <w:r w:rsidRPr="00147695">
        <w:t xml:space="preserve"> that require emission controls known as best available retrofit technology, or BART, for industrial facilities emitting air pollutants that reduce visibility by causing or</w:t>
      </w:r>
      <w:r>
        <w:t xml:space="preserve"> contributing to regional haze. </w:t>
      </w:r>
      <w:r w:rsidRPr="00147695">
        <w:t>The pollutants that reduce visibility include fine particulate matter (PM</w:t>
      </w:r>
      <w:r w:rsidRPr="002E66D1">
        <w:rPr>
          <w:vertAlign w:val="subscript"/>
        </w:rPr>
        <w:t>2.5</w:t>
      </w:r>
      <w:r w:rsidRPr="00147695">
        <w:t>), and compounds which contribute to PM</w:t>
      </w:r>
      <w:r w:rsidRPr="002E66D1">
        <w:rPr>
          <w:vertAlign w:val="subscript"/>
        </w:rPr>
        <w:t xml:space="preserve">2.5 </w:t>
      </w:r>
      <w:r w:rsidRPr="00147695">
        <w:t>formation, such as nitrogen oxides (NO</w:t>
      </w:r>
      <w:r>
        <w:rPr>
          <w:szCs w:val="24"/>
          <w:vertAlign w:val="subscript"/>
        </w:rPr>
        <w:t>X</w:t>
      </w:r>
      <w:r w:rsidRPr="00147695">
        <w:t>), sulfur dioxides (SO</w:t>
      </w:r>
      <w:r w:rsidRPr="002E66D1">
        <w:rPr>
          <w:vertAlign w:val="subscript"/>
        </w:rPr>
        <w:t>2</w:t>
      </w:r>
      <w:r w:rsidRPr="00147695">
        <w:t>), and under certain conditions volatile organic compounds</w:t>
      </w:r>
      <w:r>
        <w:t xml:space="preserve"> (VOC)</w:t>
      </w:r>
      <w:r w:rsidRPr="00147695">
        <w:t>, and ammonia.</w:t>
      </w:r>
      <w:r>
        <w:t xml:space="preserve">  </w:t>
      </w:r>
    </w:p>
    <w:p w:rsidR="00440C98" w:rsidRDefault="00440C98" w:rsidP="00440C98"/>
    <w:p w:rsidR="00440C98" w:rsidRDefault="00440C98" w:rsidP="00440C98">
      <w:r w:rsidRPr="00147695">
        <w:lastRenderedPageBreak/>
        <w:t xml:space="preserve">The BART requirements of the </w:t>
      </w:r>
      <w:r>
        <w:t>regional haze rule</w:t>
      </w:r>
      <w:r w:rsidRPr="00147695">
        <w:t xml:space="preserve"> apply to facilities built between 1962 and 1977 that have the potential to emit more than 250 tons </w:t>
      </w:r>
      <w:r>
        <w:t>per</w:t>
      </w:r>
      <w:r w:rsidRPr="00147695">
        <w:t xml:space="preserve"> year of visibility-impairing pollution. Those facilities fall into 26 categories, including utility and industrial boilers, and large industrial plants such as pulp mills, refineries and smelters. </w:t>
      </w:r>
      <w:r>
        <w:t xml:space="preserve"> </w:t>
      </w:r>
      <w:r w:rsidRPr="00147695">
        <w:t xml:space="preserve">Many of these facilities have not been previously subject to </w:t>
      </w:r>
      <w:r w:rsidR="0050637A">
        <w:t>f</w:t>
      </w:r>
      <w:r w:rsidRPr="00147695">
        <w:t>ederal pollution control requirements for these pollutants.</w:t>
      </w:r>
    </w:p>
    <w:p w:rsidR="00440C98" w:rsidRDefault="00440C98" w:rsidP="00440C98"/>
    <w:p w:rsidR="007623CD" w:rsidRDefault="00440C98" w:rsidP="00440C98">
      <w:r w:rsidRPr="0003324F">
        <w:t xml:space="preserve">Under the 1999 regional haze rule, states are required to set periodic goals for improving visibility in the 156 </w:t>
      </w:r>
      <w:r w:rsidR="00442693">
        <w:t xml:space="preserve">Mandatory Class I </w:t>
      </w:r>
      <w:r w:rsidRPr="0003324F">
        <w:t xml:space="preserve">Federal </w:t>
      </w:r>
      <w:r w:rsidR="00442693">
        <w:t>A</w:t>
      </w:r>
      <w:r w:rsidRPr="0003324F">
        <w:t xml:space="preserve">reas. As states work to reach these goals, they must develop regional haze implementation plans that contain enforceable measures and strategies for reducing visibility-impairing pollution. The 2005 amendments include guidelines, known as BART guidelines, for states to use in determining which facilities must install controls and the type of controls the facilities must use. States </w:t>
      </w:r>
      <w:r w:rsidR="00A75549">
        <w:t>were required</w:t>
      </w:r>
      <w:r w:rsidR="00A75549" w:rsidRPr="0003324F">
        <w:t xml:space="preserve"> </w:t>
      </w:r>
      <w:r w:rsidRPr="0003324F">
        <w:t xml:space="preserve">to develop their implementation plans by December, 2007. As part of those plans, states </w:t>
      </w:r>
      <w:r w:rsidR="005166BE">
        <w:t>were</w:t>
      </w:r>
      <w:r w:rsidR="005166BE" w:rsidRPr="0003324F">
        <w:t xml:space="preserve"> </w:t>
      </w:r>
      <w:r w:rsidRPr="0003324F">
        <w:t xml:space="preserve">required identify the facilities that </w:t>
      </w:r>
      <w:r w:rsidR="00A75549">
        <w:t>are subject to BART and conduct appropriate BART determinations in accordance with the regional haze rule and BART guidelines.</w:t>
      </w:r>
      <w:r w:rsidR="00A75549" w:rsidRPr="0003324F" w:rsidDel="00A75549">
        <w:t xml:space="preserve"> </w:t>
      </w:r>
    </w:p>
    <w:p w:rsidR="00440C98" w:rsidRPr="0003324F" w:rsidRDefault="00440C98" w:rsidP="00440C98"/>
    <w:p w:rsidR="00440C98" w:rsidRPr="008E4CBD" w:rsidRDefault="005166BE" w:rsidP="00440C98">
      <w:r>
        <w:t xml:space="preserve">The majority of the states did not submit their SIPs on time, and </w:t>
      </w:r>
      <w:r w:rsidR="006601C4">
        <w:t xml:space="preserve">the </w:t>
      </w:r>
      <w:r w:rsidR="00440C98" w:rsidRPr="0003324F">
        <w:t xml:space="preserve">EPA is currently subject to several consent decrees </w:t>
      </w:r>
      <w:r w:rsidR="00A75549">
        <w:t xml:space="preserve">that have </w:t>
      </w:r>
      <w:r w:rsidR="0023547B">
        <w:t>establish</w:t>
      </w:r>
      <w:r w:rsidR="00A75549">
        <w:t>ed</w:t>
      </w:r>
      <w:r w:rsidR="0023547B">
        <w:t xml:space="preserve"> </w:t>
      </w:r>
      <w:r>
        <w:t>schedule</w:t>
      </w:r>
      <w:r w:rsidR="0023547B">
        <w:t>s</w:t>
      </w:r>
      <w:r>
        <w:t xml:space="preserve"> for final action</w:t>
      </w:r>
      <w:r w:rsidR="0023547B">
        <w:t>s</w:t>
      </w:r>
      <w:r>
        <w:t xml:space="preserve"> on the SIPs, or promulgation of FIPs</w:t>
      </w:r>
      <w:r w:rsidR="00AC4B28">
        <w:t>. These consent decre</w:t>
      </w:r>
      <w:r w:rsidR="003E1135">
        <w:t>e</w:t>
      </w:r>
      <w:r w:rsidR="00AC4B28">
        <w:t>s</w:t>
      </w:r>
      <w:r w:rsidR="00155320">
        <w:t>,</w:t>
      </w:r>
      <w:r w:rsidR="00AC4B28">
        <w:t xml:space="preserve"> </w:t>
      </w:r>
      <w:r w:rsidR="00440C98" w:rsidRPr="0003324F">
        <w:t>that in the aggregate</w:t>
      </w:r>
      <w:r w:rsidR="00155320">
        <w:t>,</w:t>
      </w:r>
      <w:r w:rsidR="00440C98" w:rsidRPr="0003324F">
        <w:t xml:space="preserve"> require the agency to complete </w:t>
      </w:r>
      <w:r w:rsidR="00AC4B28">
        <w:t xml:space="preserve">the majority of the </w:t>
      </w:r>
      <w:r w:rsidR="00440C98" w:rsidRPr="0003324F">
        <w:t>remaining unfinished actions on the initial regional haze implementation plans b</w:t>
      </w:r>
      <w:r w:rsidR="0023547B">
        <w:t>y</w:t>
      </w:r>
      <w:r w:rsidR="00440C98" w:rsidRPr="0003324F">
        <w:t xml:space="preserve"> November 2012.</w:t>
      </w:r>
      <w:r w:rsidR="00440C98" w:rsidRPr="008E4CBD">
        <w:t xml:space="preserve"> </w:t>
      </w:r>
      <w:r>
        <w:t>Since that date aligns closely with the expiration of the currently approved ICR</w:t>
      </w:r>
      <w:r w:rsidR="00AB7F91">
        <w:t xml:space="preserve"> (October 31, 2012)</w:t>
      </w:r>
      <w:r>
        <w:t xml:space="preserve"> and the majority of the effort required to complete the actions on the initial SIPs</w:t>
      </w:r>
      <w:r w:rsidR="00AB7F91">
        <w:t xml:space="preserve"> will have occurred,</w:t>
      </w:r>
      <w:r>
        <w:t xml:space="preserve"> </w:t>
      </w:r>
      <w:r w:rsidR="00440C98">
        <w:t xml:space="preserve">the primary focus for estimating burden </w:t>
      </w:r>
      <w:r>
        <w:t>f</w:t>
      </w:r>
      <w:r w:rsidR="00440C98">
        <w:t>or th</w:t>
      </w:r>
      <w:r>
        <w:t xml:space="preserve">is </w:t>
      </w:r>
      <w:r w:rsidR="00440C98">
        <w:t>3 year renewal period (October 31, 2012 – October 30, 2015) will apply to the next program milestone which is the 5</w:t>
      </w:r>
      <w:r w:rsidR="00AC4B28">
        <w:t>-</w:t>
      </w:r>
      <w:r w:rsidR="00440C98">
        <w:t xml:space="preserve">year </w:t>
      </w:r>
      <w:r w:rsidR="00505326">
        <w:t xml:space="preserve">periodic </w:t>
      </w:r>
      <w:r w:rsidR="00440C98">
        <w:t xml:space="preserve">progress report (see 40 CFR </w:t>
      </w:r>
      <w:r w:rsidR="00C8779B">
        <w:t>51.</w:t>
      </w:r>
      <w:r w:rsidR="00440C98">
        <w:t>308(g)).</w:t>
      </w:r>
      <w:r>
        <w:t xml:space="preserve"> The due date for states to submit the progress reports is 5</w:t>
      </w:r>
      <w:r w:rsidR="0023547B">
        <w:t xml:space="preserve"> </w:t>
      </w:r>
      <w:r>
        <w:t>years from their initial regional haze SIP submittal, and for many states, that due date falls within the</w:t>
      </w:r>
      <w:r w:rsidR="0023547B">
        <w:t xml:space="preserve"> date range of this ICR renewal. </w:t>
      </w:r>
      <w:r w:rsidR="00996F5D">
        <w:t>In the 5</w:t>
      </w:r>
      <w:r w:rsidR="00AC4B28">
        <w:t>-</w:t>
      </w:r>
      <w:r w:rsidR="00996F5D">
        <w:t xml:space="preserve">year progress report, </w:t>
      </w:r>
      <w:r w:rsidR="00AC4B28">
        <w:t xml:space="preserve">the </w:t>
      </w:r>
      <w:r w:rsidR="00996F5D">
        <w:t>states are required to describe the status of the implementation of measures needed to achieve reasonable progress goals, report on the emissions reductions achieved, assess visibility changes, and evaluate whether the current implementation plan is sufficient to meet all established reasonable progress goals.</w:t>
      </w:r>
    </w:p>
    <w:p w:rsidR="00AA1A66" w:rsidRPr="00CC31B8" w:rsidRDefault="00440C98" w:rsidP="00AA1A66">
      <w:pPr>
        <w:autoSpaceDE w:val="0"/>
        <w:autoSpaceDN w:val="0"/>
        <w:adjustRightInd w:val="0"/>
        <w:rPr>
          <w:szCs w:val="24"/>
        </w:rPr>
      </w:pPr>
      <w:r>
        <w:rPr>
          <w:color w:val="000000"/>
        </w:rPr>
        <w:br w:type="page"/>
      </w:r>
      <w:r w:rsidR="00AA30E0" w:rsidRPr="00AA30E0">
        <w:lastRenderedPageBreak/>
        <w:pict>
          <v:shape id="_x0000_s1180" type="#_x0000_t202" style="position:absolute;margin-left:-180pt;margin-top:-8.45pt;width:532.8pt;height:24.85pt;z-index:25;mso-wrap-distance-left:12pt;mso-wrap-distance-top:12pt;mso-wrap-distance-right:12pt;mso-wrap-distance-bottom:12pt;mso-position-horizontal-relative:margin" filled="f" stroked="f">
            <v:textbox style="mso-next-textbox:#_x0000_s1180" inset="0,0,6pt,6pt">
              <w:txbxContent>
                <w:p w:rsidR="004817C3" w:rsidRDefault="004817C3" w:rsidP="00440C98">
                  <w:r>
                    <w:rPr>
                      <w:rFonts w:ascii="Arial" w:hAnsi="Arial"/>
                      <w:b/>
                    </w:rPr>
                    <w:t>2</w:t>
                  </w:r>
                  <w:r>
                    <w:rPr>
                      <w:rFonts w:ascii="Arial" w:hAnsi="Arial"/>
                      <w:b/>
                    </w:rPr>
                    <w:tab/>
                    <w:t>Need and Use of the Collection</w:t>
                  </w:r>
                </w:p>
              </w:txbxContent>
            </v:textbox>
            <w10:wrap type="square" side="largest" anchorx="margin"/>
          </v:shape>
        </w:pict>
      </w:r>
      <w:r w:rsidRPr="00F71B89">
        <w:rPr>
          <w:szCs w:val="24"/>
        </w:rPr>
        <w:t xml:space="preserve">Section 169A of the Clean Air Act (CAA) sets forth a national goal for visibility. The goal is the “prevention of any future, and the remedying of any existing, impairment in visibility in mandatory Class I Federal areas which impairment results from man-made air pollution.” This section of the </w:t>
      </w:r>
      <w:r>
        <w:rPr>
          <w:szCs w:val="24"/>
        </w:rPr>
        <w:t>CAA</w:t>
      </w:r>
      <w:r w:rsidRPr="00F71B89">
        <w:rPr>
          <w:szCs w:val="24"/>
        </w:rPr>
        <w:t xml:space="preserve"> also calls for EPA regulations to assure that </w:t>
      </w:r>
      <w:r w:rsidR="00996B2D">
        <w:rPr>
          <w:szCs w:val="24"/>
        </w:rPr>
        <w:t>s</w:t>
      </w:r>
      <w:r w:rsidR="00996B2D" w:rsidRPr="00F71B89">
        <w:rPr>
          <w:szCs w:val="24"/>
        </w:rPr>
        <w:t xml:space="preserve">tates </w:t>
      </w:r>
      <w:r w:rsidRPr="00F71B89">
        <w:rPr>
          <w:szCs w:val="24"/>
        </w:rPr>
        <w:t xml:space="preserve">provide for reasonable progress toward meeting the national goal. The </w:t>
      </w:r>
      <w:r>
        <w:rPr>
          <w:szCs w:val="24"/>
        </w:rPr>
        <w:t xml:space="preserve">original </w:t>
      </w:r>
      <w:r w:rsidRPr="00F71B89">
        <w:rPr>
          <w:szCs w:val="24"/>
        </w:rPr>
        <w:t xml:space="preserve">regulations on protection of visibility in mandatory Class I Federal areas, developed in 1980, addressed visibility that is “reasonably attributable” to a single source or small group of sources. The </w:t>
      </w:r>
      <w:r>
        <w:rPr>
          <w:szCs w:val="24"/>
        </w:rPr>
        <w:t>r</w:t>
      </w:r>
      <w:r w:rsidRPr="00F71B89">
        <w:rPr>
          <w:szCs w:val="24"/>
        </w:rPr>
        <w:t xml:space="preserve">egional </w:t>
      </w:r>
      <w:r>
        <w:rPr>
          <w:szCs w:val="24"/>
        </w:rPr>
        <w:t>h</w:t>
      </w:r>
      <w:r w:rsidRPr="00F71B89">
        <w:rPr>
          <w:szCs w:val="24"/>
        </w:rPr>
        <w:t xml:space="preserve">aze </w:t>
      </w:r>
      <w:r>
        <w:rPr>
          <w:szCs w:val="24"/>
        </w:rPr>
        <w:t>r</w:t>
      </w:r>
      <w:r w:rsidRPr="00F71B89">
        <w:rPr>
          <w:szCs w:val="24"/>
        </w:rPr>
        <w:t>ule, promulgated in 1999, added new sections to the code of federal environmental regulations. These included sections 40 CFR 51.308 and 40 CFR 51.309.</w:t>
      </w:r>
      <w:r>
        <w:rPr>
          <w:szCs w:val="24"/>
        </w:rPr>
        <w:t xml:space="preserve"> </w:t>
      </w:r>
      <w:r w:rsidRPr="00F71B89">
        <w:rPr>
          <w:szCs w:val="24"/>
        </w:rPr>
        <w:t>This ICR renewal request provides for continued implementation of</w:t>
      </w:r>
      <w:r>
        <w:rPr>
          <w:szCs w:val="24"/>
        </w:rPr>
        <w:t xml:space="preserve"> the regional raze rule. During this clearance period, we anticipate that the </w:t>
      </w:r>
      <w:r w:rsidR="00454FCD">
        <w:rPr>
          <w:szCs w:val="24"/>
        </w:rPr>
        <w:t xml:space="preserve">reporting requirements under </w:t>
      </w:r>
      <w:r>
        <w:rPr>
          <w:szCs w:val="24"/>
        </w:rPr>
        <w:t>40 CFR 51.308</w:t>
      </w:r>
      <w:r w:rsidR="00454FCD">
        <w:rPr>
          <w:szCs w:val="24"/>
        </w:rPr>
        <w:t>(g)</w:t>
      </w:r>
      <w:r>
        <w:rPr>
          <w:szCs w:val="24"/>
        </w:rPr>
        <w:t xml:space="preserve"> will be the major program focus </w:t>
      </w:r>
      <w:r w:rsidR="00454FCD">
        <w:rPr>
          <w:szCs w:val="24"/>
        </w:rPr>
        <w:t xml:space="preserve">and the similar reporting requirements (see 40 CFR 51.309(d)(10)) for </w:t>
      </w:r>
      <w:r w:rsidR="00442693">
        <w:rPr>
          <w:szCs w:val="24"/>
        </w:rPr>
        <w:t xml:space="preserve">the three </w:t>
      </w:r>
      <w:r w:rsidR="00454FCD">
        <w:rPr>
          <w:szCs w:val="24"/>
        </w:rPr>
        <w:t>states that submitted regional haze SIPs under 40 CFR 51.309</w:t>
      </w:r>
      <w:r w:rsidR="00442693">
        <w:rPr>
          <w:szCs w:val="24"/>
        </w:rPr>
        <w:t xml:space="preserve">. </w:t>
      </w:r>
      <w:r w:rsidR="00AA1A66">
        <w:rPr>
          <w:szCs w:val="24"/>
        </w:rPr>
        <w:t xml:space="preserve">Six states will be required to conduct additional analyses and submit approvable SIP revisions to remedy EPA’s disapproval of specific elements of their current regional haze plan. </w:t>
      </w:r>
      <w:r w:rsidR="00442693">
        <w:rPr>
          <w:szCs w:val="24"/>
        </w:rPr>
        <w:t>We also anticipate that a small subset of states (</w:t>
      </w:r>
      <w:r w:rsidR="00AA1A66">
        <w:rPr>
          <w:szCs w:val="24"/>
        </w:rPr>
        <w:t>13</w:t>
      </w:r>
      <w:r w:rsidR="00983A0F">
        <w:rPr>
          <w:szCs w:val="24"/>
        </w:rPr>
        <w:t xml:space="preserve">) </w:t>
      </w:r>
      <w:r w:rsidR="00AA1A66">
        <w:rPr>
          <w:szCs w:val="24"/>
        </w:rPr>
        <w:t xml:space="preserve">may submit minor SIP revisions to </w:t>
      </w:r>
      <w:r w:rsidR="00AA1A66">
        <w:rPr>
          <w:color w:val="000000"/>
        </w:rPr>
        <w:t>adopt the requirements of the Cross-State Air Pollution Rule (CSAPR) as a BART alternative, to replace a Federal Implementation Plan (FIP).</w:t>
      </w:r>
    </w:p>
    <w:p w:rsidR="00440C98" w:rsidRPr="00F71B89" w:rsidRDefault="00AA30E0" w:rsidP="00440C98">
      <w:pPr>
        <w:rPr>
          <w:szCs w:val="24"/>
        </w:rPr>
      </w:pPr>
      <w:r w:rsidRPr="00AA30E0">
        <w:pict>
          <v:shape id="_x0000_s1181" type="#_x0000_t202" style="position:absolute;margin-left:-180.8pt;margin-top:-303.65pt;width:149.3pt;height:43.75pt;z-index:26;mso-wrap-distance-left:12pt;mso-wrap-distance-top:12pt;mso-wrap-distance-right:12pt;mso-wrap-distance-bottom:12pt;mso-position-horizontal-relative:margin" filled="f" stroked="f">
            <v:textbox style="mso-next-textbox:#_x0000_s1181" inset="0,0,6pt,6pt">
              <w:txbxContent>
                <w:p w:rsidR="004817C3" w:rsidRDefault="004817C3" w:rsidP="00440C98">
                  <w:pPr>
                    <w:ind w:left="720" w:hanging="720"/>
                  </w:pPr>
                  <w:r>
                    <w:rPr>
                      <w:rFonts w:ascii="Arial" w:hAnsi="Arial"/>
                      <w:b/>
                    </w:rPr>
                    <w:t>2.1</w:t>
                  </w:r>
                  <w:r>
                    <w:rPr>
                      <w:rFonts w:ascii="Arial" w:hAnsi="Arial"/>
                      <w:b/>
                    </w:rPr>
                    <w:tab/>
                    <w:t>Need / Authority for the Collection</w:t>
                  </w:r>
                </w:p>
              </w:txbxContent>
            </v:textbox>
            <w10:wrap type="square" side="largest" anchorx="margin"/>
          </v:shape>
        </w:pict>
      </w:r>
    </w:p>
    <w:p w:rsidR="00440C98" w:rsidRPr="00F71B89" w:rsidRDefault="00440C98" w:rsidP="00440C98">
      <w:pPr>
        <w:rPr>
          <w:szCs w:val="24"/>
        </w:rPr>
      </w:pPr>
      <w:r>
        <w:rPr>
          <w:szCs w:val="24"/>
        </w:rPr>
        <w:t xml:space="preserve">  </w:t>
      </w:r>
    </w:p>
    <w:p w:rsidR="00440C98" w:rsidRPr="00F71B89" w:rsidRDefault="00AA30E0" w:rsidP="00440C98">
      <w:pPr>
        <w:rPr>
          <w:szCs w:val="24"/>
        </w:rPr>
      </w:pPr>
      <w:r w:rsidRPr="00AA30E0">
        <w:pict>
          <v:shape id="_x0000_s1182" type="#_x0000_t202" style="position:absolute;margin-left:-180pt;margin-top:-.5pt;width:148.5pt;height:39.75pt;z-index:27;mso-wrap-distance-left:12pt;mso-wrap-distance-top:12pt;mso-wrap-distance-right:12pt;mso-wrap-distance-bottom:12pt;mso-position-horizontal-relative:margin" filled="f" stroked="f">
            <v:textbox style="mso-next-textbox:#_x0000_s1182" inset="0,0,6pt,6pt">
              <w:txbxContent>
                <w:p w:rsidR="004817C3" w:rsidRDefault="004817C3" w:rsidP="00440C98">
                  <w:pPr>
                    <w:ind w:left="720" w:hanging="720"/>
                  </w:pPr>
                  <w:r>
                    <w:rPr>
                      <w:rFonts w:ascii="Arial" w:hAnsi="Arial"/>
                      <w:b/>
                    </w:rPr>
                    <w:t>2.2</w:t>
                  </w:r>
                  <w:r>
                    <w:rPr>
                      <w:rFonts w:ascii="Arial" w:hAnsi="Arial"/>
                      <w:b/>
                    </w:rPr>
                    <w:tab/>
                    <w:t>Practical Utility / Users of the Data</w:t>
                  </w:r>
                </w:p>
              </w:txbxContent>
            </v:textbox>
            <w10:wrap type="square" side="largest" anchorx="margin"/>
          </v:shape>
        </w:pict>
      </w:r>
      <w:r w:rsidR="00440C98" w:rsidRPr="00F71B89">
        <w:rPr>
          <w:szCs w:val="24"/>
        </w:rPr>
        <w:t>The data collected from resp</w:t>
      </w:r>
      <w:r w:rsidR="00440C98">
        <w:rPr>
          <w:szCs w:val="24"/>
        </w:rPr>
        <w:t xml:space="preserve">ondents include </w:t>
      </w:r>
      <w:r w:rsidR="00AD6BF8">
        <w:rPr>
          <w:szCs w:val="24"/>
        </w:rPr>
        <w:t xml:space="preserve">revised </w:t>
      </w:r>
      <w:r w:rsidR="00440C98">
        <w:rPr>
          <w:szCs w:val="24"/>
        </w:rPr>
        <w:t xml:space="preserve">state </w:t>
      </w:r>
      <w:r w:rsidR="00440C98" w:rsidRPr="00F71B89">
        <w:rPr>
          <w:szCs w:val="24"/>
        </w:rPr>
        <w:t>implementation plans. These data confirm progress in assessing visibility impairment and source contribution</w:t>
      </w:r>
      <w:r w:rsidR="00AD6BF8">
        <w:rPr>
          <w:szCs w:val="24"/>
        </w:rPr>
        <w:t>, and</w:t>
      </w:r>
      <w:r w:rsidR="00440C98" w:rsidRPr="00F71B89">
        <w:rPr>
          <w:szCs w:val="24"/>
        </w:rPr>
        <w:t xml:space="preserve"> provide the foundation for the </w:t>
      </w:r>
      <w:r w:rsidR="00AD6BF8">
        <w:rPr>
          <w:szCs w:val="24"/>
        </w:rPr>
        <w:t>establishment</w:t>
      </w:r>
      <w:r w:rsidR="00AD6BF8" w:rsidRPr="00F71B89">
        <w:rPr>
          <w:szCs w:val="24"/>
        </w:rPr>
        <w:t xml:space="preserve"> </w:t>
      </w:r>
      <w:r w:rsidR="00440C98" w:rsidRPr="00F71B89">
        <w:rPr>
          <w:szCs w:val="24"/>
        </w:rPr>
        <w:t xml:space="preserve">of </w:t>
      </w:r>
      <w:r w:rsidR="00AD6BF8">
        <w:rPr>
          <w:szCs w:val="24"/>
        </w:rPr>
        <w:t xml:space="preserve">the reasonable </w:t>
      </w:r>
      <w:r w:rsidR="00440C98" w:rsidRPr="00F71B89">
        <w:rPr>
          <w:szCs w:val="24"/>
        </w:rPr>
        <w:t xml:space="preserve">progress goals, control strategies, and BART requirements. </w:t>
      </w:r>
    </w:p>
    <w:p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F71B89">
        <w:rPr>
          <w:szCs w:val="24"/>
        </w:rPr>
        <w:tab/>
      </w:r>
    </w:p>
    <w:p w:rsidR="00440C98" w:rsidRPr="005653E0" w:rsidRDefault="00AA30E0"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A30E0">
        <w:pict>
          <v:shape id="_x0000_s1183" type="#_x0000_t202" style="position:absolute;margin-left:-180pt;margin-top:1.15pt;width:132.6pt;height:51.5pt;z-index:28;mso-wrap-distance-left:12pt;mso-wrap-distance-top:12pt;mso-wrap-distance-right:12pt;mso-wrap-distance-bottom:12pt;mso-position-horizontal-relative:margin" filled="f" stroked="f">
            <v:textbox style="mso-next-textbox:#_x0000_s1183" inset="0,0,6pt,6pt">
              <w:txbxContent>
                <w:p w:rsidR="004817C3" w:rsidRDefault="004817C3" w:rsidP="00440C98">
                  <w:pPr>
                    <w:ind w:left="720" w:hanging="720"/>
                  </w:pPr>
                  <w:r>
                    <w:rPr>
                      <w:rFonts w:ascii="Arial" w:hAnsi="Arial"/>
                      <w:b/>
                    </w:rPr>
                    <w:t>2.3</w:t>
                  </w:r>
                  <w:r>
                    <w:rPr>
                      <w:rFonts w:ascii="Arial" w:hAnsi="Arial"/>
                      <w:b/>
                    </w:rPr>
                    <w:tab/>
                    <w:t>Caveats and Considerations</w:t>
                  </w:r>
                </w:p>
              </w:txbxContent>
            </v:textbox>
            <w10:wrap type="square" side="largest" anchorx="margin"/>
          </v:shape>
        </w:pict>
      </w:r>
      <w:r w:rsidR="00440C98">
        <w:rPr>
          <w:color w:val="000000"/>
        </w:rPr>
        <w:t>The information in this ICR is based upon the best data available to the Agency at this time. However, incomplete data and sampling limitations imposed necessitated a certain amount of extrapolation and “best-guess” estimat</w:t>
      </w:r>
      <w:r w:rsidR="00442693">
        <w:rPr>
          <w:color w:val="000000"/>
        </w:rPr>
        <w:t>es</w:t>
      </w:r>
      <w:r w:rsidR="00440C98">
        <w:rPr>
          <w:color w:val="000000"/>
        </w:rPr>
        <w:t>.</w:t>
      </w:r>
      <w:r w:rsidR="00440C98">
        <w:rPr>
          <w:b/>
          <w:color w:val="000000"/>
        </w:rPr>
        <w:t xml:space="preserve"> </w:t>
      </w:r>
      <w:r w:rsidR="00440C98" w:rsidRPr="005653E0">
        <w:rPr>
          <w:color w:val="000000"/>
        </w:rPr>
        <w:t xml:space="preserve">Consequently, the reader should not consider the conclusions to be an exact representation of the level of burden or cost that </w:t>
      </w:r>
      <w:r w:rsidR="00440C98" w:rsidRPr="005653E0">
        <w:rPr>
          <w:i/>
          <w:color w:val="000000"/>
        </w:rPr>
        <w:t>will</w:t>
      </w:r>
      <w:r w:rsidR="00440C98" w:rsidRPr="005653E0">
        <w:rPr>
          <w:color w:val="000000"/>
        </w:rPr>
        <w:t xml:space="preserve"> occur. Instead, this ICR should be considered a directionally correct assessment of the impact the programmatic changes included in this rulemaking </w:t>
      </w:r>
      <w:r w:rsidR="00440C98" w:rsidRPr="005653E0">
        <w:rPr>
          <w:i/>
          <w:color w:val="000000"/>
        </w:rPr>
        <w:t>may</w:t>
      </w:r>
      <w:r w:rsidR="00440C98" w:rsidRPr="005653E0">
        <w:rPr>
          <w:color w:val="000000"/>
        </w:rPr>
        <w:t xml:space="preserve"> have over the next </w:t>
      </w:r>
      <w:r w:rsidR="00440C98">
        <w:rPr>
          <w:color w:val="000000"/>
        </w:rPr>
        <w:t>3</w:t>
      </w:r>
      <w:r w:rsidR="00440C98" w:rsidRPr="005653E0">
        <w:rPr>
          <w:color w:val="000000"/>
        </w:rPr>
        <w:t xml:space="preserve"> years. </w:t>
      </w:r>
    </w:p>
    <w:p w:rsidR="00440C98" w:rsidRPr="005653E0"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40C98" w:rsidRPr="005653E0"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5653E0">
        <w:rPr>
          <w:color w:val="000000"/>
        </w:rPr>
        <w:t xml:space="preserve">Throughout this ICR, the reader will observe estimated values that show accuracy to the single hour or dollar. However, reporting values at the single unit level can be misleading. In most situations, the proper way to present estimated data would be to determine an appropriate level of precision and truncate values accordingly, usually in terms of thousands or </w:t>
      </w:r>
      <w:r w:rsidRPr="005653E0">
        <w:rPr>
          <w:color w:val="000000"/>
        </w:rPr>
        <w:lastRenderedPageBreak/>
        <w:t>millions of units. For instance, a spreadsheet generated estimation of $5,456,295 could be presented in the text as $5.5 (millions) or $5,456 (thousands). One problem with such an approach is the loss of data richness when the report contains a mixture of very large and very small numbers. Consequently, to avoid t</w:t>
      </w:r>
      <w:r>
        <w:rPr>
          <w:color w:val="000000"/>
        </w:rPr>
        <w:t xml:space="preserve">he loss of information through </w:t>
      </w:r>
      <w:r w:rsidRPr="005653E0">
        <w:rPr>
          <w:color w:val="000000"/>
        </w:rPr>
        <w:t>rounding, this ICR reports all values at the single unit level and reminds the reader that there is no implied precision inherent in this style of reporting.</w:t>
      </w:r>
    </w:p>
    <w:p w:rsidR="00440C98" w:rsidRPr="00A4148E" w:rsidRDefault="00440C98" w:rsidP="00440C98">
      <w:pPr>
        <w:rPr>
          <w:color w:val="000000"/>
        </w:rPr>
      </w:pPr>
      <w:r>
        <w:rPr>
          <w:b/>
          <w:color w:val="000000"/>
        </w:rPr>
        <w:br w:type="page"/>
      </w:r>
      <w:r>
        <w:rPr>
          <w:color w:val="000000"/>
        </w:rPr>
        <w:lastRenderedPageBreak/>
        <w:t>This information collection renewal request is</w:t>
      </w:r>
      <w:r w:rsidR="00996F5D">
        <w:rPr>
          <w:color w:val="000000"/>
        </w:rPr>
        <w:t xml:space="preserve"> related to provisions in 40 </w:t>
      </w:r>
      <w:r>
        <w:rPr>
          <w:color w:val="000000"/>
        </w:rPr>
        <w:t xml:space="preserve">CFR 51.308(g) </w:t>
      </w:r>
      <w:r w:rsidR="00726FD7">
        <w:rPr>
          <w:color w:val="000000"/>
        </w:rPr>
        <w:t xml:space="preserve">and 40 CFR 51.309(d)(10) </w:t>
      </w:r>
      <w:r>
        <w:rPr>
          <w:color w:val="000000"/>
        </w:rPr>
        <w:t xml:space="preserve">which require periodic reports describing progress towards the reasonable progress goals. Each state must submit an implementation plan </w:t>
      </w:r>
      <w:r w:rsidR="00726FD7">
        <w:rPr>
          <w:color w:val="000000"/>
        </w:rPr>
        <w:t xml:space="preserve">revision </w:t>
      </w:r>
      <w:r>
        <w:rPr>
          <w:color w:val="000000"/>
        </w:rPr>
        <w:t xml:space="preserve">evaluating </w:t>
      </w:r>
      <w:r w:rsidR="00EB4568">
        <w:rPr>
          <w:color w:val="000000"/>
        </w:rPr>
        <w:t>whether improvement in visibility is made</w:t>
      </w:r>
      <w:r>
        <w:rPr>
          <w:color w:val="000000"/>
        </w:rPr>
        <w:t xml:space="preserve"> towards the reasonable progress goal for each mandatory Class 1 Federal area located within the state and in each mandatory Class 1 Federal area located outside the state which may be affected by emissions from within the state. These implementation plans are due 5 years from the submittal of the initial regional haze plan. </w:t>
      </w:r>
      <w:r>
        <w:rPr>
          <w:szCs w:val="24"/>
        </w:rPr>
        <w:t>The reasonable progress implementation plans required by the regional haze rule are unique and do not duplicate other implementation plan requirements.</w:t>
      </w:r>
    </w:p>
    <w:p w:rsidR="00440C98" w:rsidRDefault="00AA30E0"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A30E0">
        <w:pict>
          <v:shape id="_x0000_s1185" type="#_x0000_t202" style="position:absolute;margin-left:-180pt;margin-top:-180.05pt;width:138.45pt;height:21.7pt;z-index:30;mso-wrap-distance-left:12pt;mso-wrap-distance-top:12pt;mso-wrap-distance-right:12pt;mso-wrap-distance-bottom:12pt;mso-position-horizontal-relative:margin" filled="f" stroked="f">
            <v:textbox style="mso-next-textbox:#_x0000_s1185" inset="0,0,6pt,6pt">
              <w:txbxContent>
                <w:p w:rsidR="004817C3" w:rsidRDefault="004817C3" w:rsidP="00440C98">
                  <w:r>
                    <w:rPr>
                      <w:rFonts w:ascii="Arial" w:hAnsi="Arial"/>
                      <w:b/>
                    </w:rPr>
                    <w:t>3.1</w:t>
                  </w:r>
                  <w:r>
                    <w:rPr>
                      <w:rFonts w:ascii="Arial" w:hAnsi="Arial"/>
                      <w:b/>
                    </w:rPr>
                    <w:tab/>
                    <w:t>Non-Duplication</w:t>
                  </w:r>
                </w:p>
              </w:txbxContent>
            </v:textbox>
            <w10:wrap type="square" side="largest" anchorx="margin"/>
          </v:shape>
        </w:pict>
      </w:r>
      <w:r w:rsidRPr="00AA30E0">
        <w:pict>
          <v:shape id="_x0000_s1184" type="#_x0000_t202" style="position:absolute;margin-left:-183.3pt;margin-top:-220.2pt;width:535.7pt;height:21.55pt;z-index:29;mso-wrap-distance-left:12pt;mso-wrap-distance-top:12pt;mso-wrap-distance-right:12pt;mso-wrap-distance-bottom:12pt;mso-position-horizontal-relative:margin" filled="f" stroked="f">
            <v:textbox style="mso-next-textbox:#_x0000_s1184" inset="0,0,6pt,6pt">
              <w:txbxContent>
                <w:p w:rsidR="004817C3" w:rsidRDefault="004817C3" w:rsidP="00440C98">
                  <w:r>
                    <w:rPr>
                      <w:rFonts w:ascii="Arial" w:hAnsi="Arial"/>
                      <w:b/>
                    </w:rPr>
                    <w:t>3</w:t>
                  </w:r>
                  <w:r>
                    <w:rPr>
                      <w:rFonts w:ascii="Arial" w:hAnsi="Arial"/>
                      <w:b/>
                    </w:rPr>
                    <w:tab/>
                    <w:t>Non-Duplication, Consultation, and Other Collection Criteria</w:t>
                  </w:r>
                </w:p>
              </w:txbxContent>
            </v:textbox>
            <w10:wrap type="square" side="largest" anchorx="margin"/>
          </v:shape>
        </w:pict>
      </w:r>
      <w:r w:rsidRPr="00AA30E0">
        <w:pict>
          <v:shape id="_x0000_s1186" type="#_x0000_t202" style="position:absolute;margin-left:-180pt;margin-top:12pt;width:132.6pt;height:39.7pt;z-index:31;mso-wrap-distance-left:12pt;mso-wrap-distance-top:12pt;mso-wrap-distance-right:12pt;mso-wrap-distance-bottom:12pt;mso-position-horizontal-relative:margin" filled="f" stroked="f">
            <v:textbox style="mso-next-textbox:#_x0000_s1186" inset="0,0,6pt,6pt">
              <w:txbxContent>
                <w:p w:rsidR="004817C3" w:rsidRDefault="004817C3" w:rsidP="00440C98">
                  <w:pPr>
                    <w:ind w:left="720" w:hanging="720"/>
                  </w:pPr>
                  <w:r>
                    <w:rPr>
                      <w:rFonts w:ascii="Arial" w:hAnsi="Arial"/>
                      <w:b/>
                    </w:rPr>
                    <w:t>3.2</w:t>
                  </w:r>
                  <w:r>
                    <w:rPr>
                      <w:rFonts w:ascii="Arial" w:hAnsi="Arial"/>
                      <w:b/>
                    </w:rPr>
                    <w:tab/>
                    <w:t>Public Notice Requirements</w:t>
                  </w:r>
                </w:p>
              </w:txbxContent>
            </v:textbox>
            <w10:wrap type="square" side="largest" anchorx="margin"/>
          </v:shape>
        </w:pict>
      </w:r>
    </w:p>
    <w:p w:rsidR="00B63CBC" w:rsidRDefault="00B63CBC" w:rsidP="00B63CB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t>In compliance</w:t>
      </w:r>
      <w:r>
        <w:rPr>
          <w:szCs w:val="24"/>
        </w:rPr>
        <w:t xml:space="preserve"> with the PRA, this draft ICR must solicit public comments for a 60-day period prior to submission to OMB.  </w:t>
      </w:r>
    </w:p>
    <w:p w:rsidR="00B63CBC" w:rsidRDefault="00B63CBC"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t>The ICR for the regional haze rule was revised last in</w:t>
      </w:r>
      <w:r w:rsidRPr="0067517B">
        <w:t xml:space="preserve"> </w:t>
      </w:r>
      <w:r w:rsidR="004A1C87">
        <w:t>August 2009</w:t>
      </w:r>
      <w:r w:rsidRPr="0067517B">
        <w:t>.</w:t>
      </w:r>
      <w:r>
        <w:t xml:space="preserve"> </w:t>
      </w:r>
      <w:r w:rsidRPr="0067517B">
        <w:t xml:space="preserve">We solicited public comments on this ICR </w:t>
      </w:r>
      <w:r>
        <w:t xml:space="preserve">prior to submitting it to OMB. </w:t>
      </w:r>
      <w:r w:rsidRPr="0067517B">
        <w:t xml:space="preserve">We issued a </w:t>
      </w:r>
      <w:r w:rsidRPr="0050637A">
        <w:rPr>
          <w:u w:val="single"/>
        </w:rPr>
        <w:t>Federal</w:t>
      </w:r>
      <w:r w:rsidRPr="0067517B">
        <w:t xml:space="preserve"> </w:t>
      </w:r>
      <w:r w:rsidRPr="0050637A">
        <w:rPr>
          <w:u w:val="single"/>
        </w:rPr>
        <w:t>Register</w:t>
      </w:r>
      <w:r w:rsidRPr="0067517B">
        <w:t xml:space="preserve"> notice requesting comments on the ICR renewal on </w:t>
      </w:r>
      <w:r w:rsidR="004A1C87">
        <w:t>A</w:t>
      </w:r>
      <w:r w:rsidR="004252BC" w:rsidRPr="00DC28F3">
        <w:t>pril 26, 2012 (77 FR 24952</w:t>
      </w:r>
      <w:r w:rsidRPr="0067517B">
        <w:t xml:space="preserve">). </w:t>
      </w:r>
      <w:r w:rsidR="00047C22">
        <w:t xml:space="preserve"> The EPA</w:t>
      </w:r>
      <w:r w:rsidR="004252BC">
        <w:t xml:space="preserve"> received </w:t>
      </w:r>
      <w:r w:rsidR="008D227E">
        <w:t>one</w:t>
      </w:r>
      <w:r w:rsidR="00047C22">
        <w:t xml:space="preserve"> comment in response to the p</w:t>
      </w:r>
      <w:r w:rsidR="008D227E">
        <w:t>u</w:t>
      </w:r>
      <w:r w:rsidR="00047C22">
        <w:t xml:space="preserve">blic notice that was published in the </w:t>
      </w:r>
      <w:r w:rsidR="00047C22" w:rsidRPr="0050637A">
        <w:rPr>
          <w:u w:val="single"/>
        </w:rPr>
        <w:t>Federal</w:t>
      </w:r>
      <w:r w:rsidR="00047C22" w:rsidRPr="0067517B">
        <w:t xml:space="preserve"> </w:t>
      </w:r>
      <w:r w:rsidR="00047C22" w:rsidRPr="0050637A">
        <w:rPr>
          <w:u w:val="single"/>
        </w:rPr>
        <w:t>Register</w:t>
      </w:r>
      <w:r w:rsidR="004A1C87">
        <w:t>.</w:t>
      </w:r>
      <w:r w:rsidR="00B63CBC">
        <w:t xml:space="preserve"> </w:t>
      </w:r>
      <w:r w:rsidR="00047C22">
        <w:t xml:space="preserve">This comment suggested that the EPA underestimated the annual reporting burden of implementing the regulation haze regulations by focusing solely on the five year progress report. The EPA has addressed these issues in </w:t>
      </w:r>
      <w:r w:rsidR="00D72B8A">
        <w:t xml:space="preserve">this final </w:t>
      </w:r>
      <w:r w:rsidR="00047C22">
        <w:t xml:space="preserve">ICR. The comment can be found in Docket ID No. EPA-HQ-OAR-2003-0162-0012, which is available for online viewing at </w:t>
      </w:r>
      <w:hyperlink r:id="rId9" w:history="1">
        <w:r w:rsidR="00047C22" w:rsidRPr="00866ABE">
          <w:rPr>
            <w:rStyle w:val="Hyperlink"/>
          </w:rPr>
          <w:t>www.regulations.gov</w:t>
        </w:r>
      </w:hyperlink>
      <w:r w:rsidR="00047C22">
        <w:t xml:space="preserve">, or in person viewing at the Air and </w:t>
      </w:r>
      <w:r w:rsidR="00C94B69">
        <w:t>Radiation</w:t>
      </w:r>
      <w:r w:rsidR="00047C22">
        <w:t xml:space="preserve"> Docket in the EPA Docket Center (EPA/DC), EPA West, Room 3334, 1301 Constitution Ave., NW, Washington, D.C.</w:t>
      </w:r>
    </w:p>
    <w:p w:rsidR="00B63CBC" w:rsidRDefault="00B63CBC"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40C98" w:rsidRPr="000C1EE9" w:rsidRDefault="00AA30E0" w:rsidP="00440C98">
      <w:r>
        <w:pict>
          <v:shape id="_x0000_s1187" type="#_x0000_t202" style="position:absolute;margin-left:-180pt;margin-top:3.45pt;width:132.6pt;height:34.95pt;z-index:32;mso-wrap-distance-left:12pt;mso-wrap-distance-top:12pt;mso-wrap-distance-right:12pt;mso-wrap-distance-bottom:12pt;mso-position-horizontal-relative:margin" filled="f" stroked="f">
            <v:textbox style="mso-next-textbox:#_x0000_s1187" inset="0,0,6pt,6pt">
              <w:txbxContent>
                <w:p w:rsidR="004817C3" w:rsidRDefault="004817C3" w:rsidP="00440C98">
                  <w:r>
                    <w:rPr>
                      <w:rFonts w:ascii="Arial" w:hAnsi="Arial"/>
                      <w:b/>
                    </w:rPr>
                    <w:t>3.3</w:t>
                  </w:r>
                  <w:r>
                    <w:rPr>
                      <w:rFonts w:ascii="Arial" w:hAnsi="Arial"/>
                      <w:b/>
                    </w:rPr>
                    <w:tab/>
                    <w:t>Consultations</w:t>
                  </w:r>
                </w:p>
              </w:txbxContent>
            </v:textbox>
            <w10:wrap type="square" side="largest" anchorx="margin"/>
          </v:shape>
        </w:pict>
      </w:r>
      <w:r w:rsidR="00440C98" w:rsidRPr="000C1EE9">
        <w:t>The EPA consulted with the EPA Region 5 Office for comment, review, and suggestions on this ICR renewal. The point of contact for the regional office is John Summerhays, regional haze coordinator for EPA Region 5, (</w:t>
      </w:r>
      <w:r w:rsidR="004A1C87">
        <w:t>312</w:t>
      </w:r>
      <w:r w:rsidR="00440C98" w:rsidRPr="000C1EE9">
        <w:t>)</w:t>
      </w:r>
      <w:r w:rsidR="008D227E">
        <w:t xml:space="preserve"> </w:t>
      </w:r>
      <w:r w:rsidR="004A1C87">
        <w:t>886</w:t>
      </w:r>
      <w:r w:rsidR="00440C98" w:rsidRPr="000C1EE9">
        <w:t>-</w:t>
      </w:r>
      <w:r w:rsidR="004A1C87">
        <w:t>6067</w:t>
      </w:r>
      <w:r w:rsidR="00440C98" w:rsidRPr="000C1EE9">
        <w:t xml:space="preserve">. Mr. Summerhays had </w:t>
      </w:r>
      <w:r w:rsidR="004A1C87">
        <w:t xml:space="preserve">no </w:t>
      </w:r>
      <w:r w:rsidR="00440C98" w:rsidRPr="000C1EE9">
        <w:t xml:space="preserve">comments.  </w:t>
      </w:r>
    </w:p>
    <w:p w:rsidR="00440C98" w:rsidRDefault="00440C98" w:rsidP="00440C98"/>
    <w:p w:rsidR="00440C98" w:rsidRDefault="00440C98" w:rsidP="00440C98">
      <w:pPr>
        <w:autoSpaceDE w:val="0"/>
        <w:autoSpaceDN w:val="0"/>
        <w:adjustRightInd w:val="0"/>
      </w:pPr>
      <w:r w:rsidRPr="000C1EE9">
        <w:t xml:space="preserve">We also contacted the </w:t>
      </w:r>
      <w:r>
        <w:t>s</w:t>
      </w:r>
      <w:r w:rsidRPr="000C1EE9">
        <w:t xml:space="preserve">tate of </w:t>
      </w:r>
      <w:r>
        <w:t>Virginia Department of Environmental Quality (DEQ)</w:t>
      </w:r>
      <w:r w:rsidRPr="000C1EE9">
        <w:t xml:space="preserve">, explained the requirements of the ICR renewal, and solicited comment. The point of contact is </w:t>
      </w:r>
      <w:r>
        <w:t>Mr. Michael Kiss</w:t>
      </w:r>
      <w:r w:rsidRPr="000C1EE9">
        <w:t xml:space="preserve">, </w:t>
      </w:r>
      <w:r>
        <w:t>Director</w:t>
      </w:r>
      <w:r w:rsidRPr="000C1EE9">
        <w:t xml:space="preserve">, </w:t>
      </w:r>
      <w:r w:rsidRPr="003F4916">
        <w:rPr>
          <w:color w:val="000000"/>
          <w:szCs w:val="24"/>
        </w:rPr>
        <w:t>Office of Air Quality Assessments</w:t>
      </w:r>
      <w:r w:rsidRPr="003F4916">
        <w:rPr>
          <w:szCs w:val="24"/>
        </w:rPr>
        <w:t xml:space="preserve">, </w:t>
      </w:r>
      <w:r>
        <w:rPr>
          <w:szCs w:val="24"/>
        </w:rPr>
        <w:t>Richmond, VA</w:t>
      </w:r>
      <w:r w:rsidRPr="003F4916">
        <w:rPr>
          <w:szCs w:val="24"/>
        </w:rPr>
        <w:t xml:space="preserve">, </w:t>
      </w:r>
      <w:r>
        <w:rPr>
          <w:szCs w:val="24"/>
        </w:rPr>
        <w:t>(804) 698-4460</w:t>
      </w:r>
      <w:r w:rsidRPr="000C1EE9">
        <w:t xml:space="preserve">. </w:t>
      </w:r>
      <w:r>
        <w:t>Mr. Kiss</w:t>
      </w:r>
      <w:r w:rsidRPr="000C1EE9">
        <w:t xml:space="preserve"> had </w:t>
      </w:r>
      <w:r w:rsidR="004A1C87">
        <w:t>no</w:t>
      </w:r>
      <w:r w:rsidRPr="000C1EE9">
        <w:t xml:space="preserve"> comments. </w:t>
      </w:r>
    </w:p>
    <w:p w:rsidR="004517B0" w:rsidRDefault="004517B0" w:rsidP="00440C98">
      <w:pPr>
        <w:autoSpaceDE w:val="0"/>
        <w:autoSpaceDN w:val="0"/>
        <w:adjustRightInd w:val="0"/>
      </w:pPr>
    </w:p>
    <w:p w:rsidR="004517B0" w:rsidRDefault="004517B0" w:rsidP="004517B0">
      <w:r>
        <w:t>The EPA contacted the state of Alaska Department of Environmental Conservation to explain the requirements of the ICR</w:t>
      </w:r>
      <w:r w:rsidR="00910948">
        <w:t xml:space="preserve">, </w:t>
      </w:r>
      <w:r>
        <w:t>the comment submitted on the proposed ICR</w:t>
      </w:r>
      <w:r w:rsidR="00910948">
        <w:t>, and the changes to the ICR after considering the comment</w:t>
      </w:r>
      <w:r>
        <w:t xml:space="preserve">. The point of contact is </w:t>
      </w:r>
      <w:r w:rsidR="00910948">
        <w:t xml:space="preserve">Karin Landsberg, </w:t>
      </w:r>
      <w:r w:rsidR="00910948">
        <w:lastRenderedPageBreak/>
        <w:t>Environmental Program Manager, Air Quality Division, Juneau, AK, (904) 269-4913</w:t>
      </w:r>
      <w:r>
        <w:t>.</w:t>
      </w:r>
      <w:r w:rsidR="00910948">
        <w:t xml:space="preserve"> </w:t>
      </w:r>
    </w:p>
    <w:p w:rsidR="004517B0" w:rsidRPr="000C1EE9" w:rsidRDefault="004517B0" w:rsidP="00440C98">
      <w:pPr>
        <w:autoSpaceDE w:val="0"/>
        <w:autoSpaceDN w:val="0"/>
        <w:adjustRightInd w:val="0"/>
      </w:pPr>
    </w:p>
    <w:p w:rsidR="00440C98" w:rsidRDefault="00AA30E0"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A30E0">
        <w:pict>
          <v:shape id="_x0000_s1188" type="#_x0000_t202" style="position:absolute;margin-left:-180pt;margin-top:9.6pt;width:132.6pt;height:35.5pt;z-index:33;mso-wrap-distance-left:12pt;mso-wrap-distance-top:12pt;mso-wrap-distance-right:12pt;mso-wrap-distance-bottom:12pt;mso-position-horizontal-relative:margin" filled="f" stroked="f">
            <v:textbox style="mso-next-textbox:#_x0000_s1188" inset="0,0,6pt,6pt">
              <w:txbxContent>
                <w:p w:rsidR="004817C3" w:rsidRDefault="004817C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3.4</w:t>
                  </w:r>
                  <w:r>
                    <w:rPr>
                      <w:rFonts w:ascii="Arial" w:hAnsi="Arial"/>
                      <w:b/>
                    </w:rPr>
                    <w:tab/>
                    <w:t>Less Frequent</w:t>
                  </w:r>
                </w:p>
                <w:p w:rsidR="004817C3" w:rsidRDefault="004817C3" w:rsidP="00440C98">
                  <w:r>
                    <w:rPr>
                      <w:rFonts w:ascii="Arial" w:hAnsi="Arial"/>
                      <w:b/>
                    </w:rPr>
                    <w:tab/>
                    <w:t>Collection</w:t>
                  </w:r>
                </w:p>
              </w:txbxContent>
            </v:textbox>
            <w10:wrap type="square" side="largest" anchorx="margin"/>
          </v:shape>
        </w:pict>
      </w:r>
    </w:p>
    <w:p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 xml:space="preserve">The information collection requested under this ICR is necessary to ensure implementation of the 40 CFR 51.308 and 40 CFR 51.309 requirements.  </w:t>
      </w:r>
    </w:p>
    <w:p w:rsidR="00440C98" w:rsidRDefault="00AA30E0"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A30E0">
        <w:pict>
          <v:shape id="_x0000_s1189" type="#_x0000_t202" style="position:absolute;margin-left:-180pt;margin-top:12.4pt;width:132.6pt;height:54.25pt;z-index:34;mso-wrap-distance-left:12pt;mso-wrap-distance-top:12pt;mso-wrap-distance-right:12pt;mso-wrap-distance-bottom:12pt;mso-position-horizontal-relative:margin" filled="f" stroked="f">
            <v:textbox style="mso-next-textbox:#_x0000_s1189" inset="0,0,6pt,6pt">
              <w:txbxContent>
                <w:p w:rsidR="004817C3" w:rsidRDefault="004817C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3.5</w:t>
                  </w:r>
                  <w:r>
                    <w:rPr>
                      <w:rFonts w:ascii="Arial" w:hAnsi="Arial"/>
                      <w:b/>
                    </w:rPr>
                    <w:tab/>
                    <w:t>General</w:t>
                  </w:r>
                </w:p>
                <w:p w:rsidR="004817C3" w:rsidRDefault="004817C3" w:rsidP="00440C98">
                  <w:r>
                    <w:rPr>
                      <w:rFonts w:ascii="Arial" w:hAnsi="Arial"/>
                      <w:b/>
                    </w:rPr>
                    <w:tab/>
                    <w:t>Guidelines</w:t>
                  </w:r>
                </w:p>
              </w:txbxContent>
            </v:textbox>
            <w10:wrap type="square" side="largest" anchorx="margin"/>
          </v:shape>
        </w:pict>
      </w:r>
    </w:p>
    <w:p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OMB's general guidelines for information collect</w:t>
      </w:r>
      <w:r w:rsidR="0050637A">
        <w:rPr>
          <w:color w:val="000000"/>
        </w:rPr>
        <w:t>ions must be adhered to by all federal a</w:t>
      </w:r>
      <w:r>
        <w:rPr>
          <w:color w:val="000000"/>
        </w:rPr>
        <w:t>gencies for approval of any rulemaking's collection methodology. In accordance with the requirements of 5 CFR 1320.5, the Agency believes:</w:t>
      </w:r>
    </w:p>
    <w:p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The regional haze regulations do not require periodic reporting more frequently than </w:t>
      </w:r>
      <w:r w:rsidR="006D0DCE">
        <w:rPr>
          <w:color w:val="000000"/>
        </w:rPr>
        <w:t>every 5 years</w:t>
      </w:r>
      <w:r>
        <w:rPr>
          <w:color w:val="000000"/>
        </w:rPr>
        <w:t>.</w:t>
      </w:r>
    </w:p>
    <w:p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The regional haze regulations do not require respondents to participate in any statistical survey.</w:t>
      </w:r>
    </w:p>
    <w:p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Written responses to Agency inquiries are not required to be submitted in less than 30 days.</w:t>
      </w:r>
    </w:p>
    <w:p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Respondents do not receive remuneration for the preparation of reports required by the Act or part 51.</w:t>
      </w:r>
    </w:p>
    <w:p w:rsidR="00440C98" w:rsidRDefault="00440C98" w:rsidP="00440C98">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To the greatest extent possible, the Agency has taken advantage of automated methods of reporting.</w:t>
      </w:r>
    </w:p>
    <w:p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The recordkeeping and reporting requirements contained in the current regional haze program and the changes proposed in this rulemaking do not exceed any of the Paperwork Reduction Act guidelines contained in 5 CFR 1320.5, except for the guideline which limits retention of records by respondents to 3 years. The Act requires both respondents and state or local agencies to retain records for a period of 5 years. The justification for this exception is found in 28 U.S.C. 2462, which specifies 5 years as the general statute of limitations for </w:t>
      </w:r>
      <w:r w:rsidR="0050637A">
        <w:rPr>
          <w:color w:val="000000"/>
        </w:rPr>
        <w:t>f</w:t>
      </w:r>
      <w:r>
        <w:rPr>
          <w:color w:val="000000"/>
        </w:rPr>
        <w:t xml:space="preserve">ederal claims in response to violations by regulated entities. The decision in </w:t>
      </w:r>
      <w:r>
        <w:rPr>
          <w:color w:val="000000"/>
          <w:u w:val="single"/>
        </w:rPr>
        <w:t>U.S. v. Conoco, Inc.</w:t>
      </w:r>
      <w:r>
        <w:rPr>
          <w:color w:val="000000"/>
        </w:rPr>
        <w:t>, No. 83-1916-E (W.D. Okla., January 23, 1984) found that the 5-year general statute of limitations applied to the CAA.</w:t>
      </w:r>
    </w:p>
    <w:p w:rsidR="00440C98" w:rsidRDefault="00AA30E0"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A30E0">
        <w:pict>
          <v:shape id="_x0000_s1190" type="#_x0000_t202" style="position:absolute;margin-left:-180pt;margin-top:12.3pt;width:132.6pt;height:30.05pt;z-index:35;mso-wrap-distance-left:12pt;mso-wrap-distance-top:12pt;mso-wrap-distance-right:12pt;mso-wrap-distance-bottom:12pt;mso-position-horizontal-relative:margin" filled="f" stroked="f">
            <v:textbox style="mso-next-textbox:#_x0000_s1190" inset="0,0,6pt,6pt">
              <w:txbxContent>
                <w:p w:rsidR="004817C3" w:rsidRDefault="004817C3" w:rsidP="00440C98">
                  <w:r>
                    <w:rPr>
                      <w:rFonts w:ascii="Arial" w:hAnsi="Arial"/>
                      <w:b/>
                    </w:rPr>
                    <w:t>3.6</w:t>
                  </w:r>
                  <w:r>
                    <w:rPr>
                      <w:rFonts w:ascii="Arial" w:hAnsi="Arial"/>
                      <w:b/>
                    </w:rPr>
                    <w:tab/>
                    <w:t>Confidentiality</w:t>
                  </w:r>
                </w:p>
              </w:txbxContent>
            </v:textbox>
            <w10:wrap type="square" side="largest" anchorx="margin"/>
          </v:shape>
        </w:pict>
      </w:r>
    </w:p>
    <w:p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Confidentiality is not an issue for this rulemaking. In accordance with the Clean Air Act Amendments of 1990, any monitoring information to be submitted by sources is a matter of public record. To the extent that the information required is proprietary, confidential, or of a nature that could impair the ability of the source to maintain its market position, that information is collected and handled subject to the requirements of §503(e) and §114(c) of the Act. Information received and identified by owners or operators as confidential business information (CBI) and approved as CBI by EPA, in accordance with Title 40, Chapter 1, Part 2, Subpart B, shall be maintained appropriately (see 40 CFR 2; 41 FR 36902, September 1, 1976; </w:t>
      </w:r>
      <w:r>
        <w:rPr>
          <w:color w:val="000000"/>
        </w:rPr>
        <w:lastRenderedPageBreak/>
        <w:t>amended by 43 FR 39999, September 8, 1978; 43 FR 42251, September 28, 1978; 44 FR 17674, March 23, 1979).</w:t>
      </w:r>
    </w:p>
    <w:p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40C98" w:rsidRDefault="00AA30E0"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A30E0">
        <w:pict>
          <v:shape id="_x0000_s1191" type="#_x0000_t202" style="position:absolute;margin-left:-180pt;margin-top:.25pt;width:132.6pt;height:40.55pt;z-index:36;mso-wrap-distance-left:12pt;mso-wrap-distance-top:12pt;mso-wrap-distance-right:12pt;mso-wrap-distance-bottom:12pt;mso-position-horizontal-relative:margin" filled="f" stroked="f">
            <v:textbox style="mso-next-textbox:#_x0000_s1191" inset="0,0,6pt,6pt">
              <w:txbxContent>
                <w:p w:rsidR="004817C3" w:rsidRDefault="004817C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3.7</w:t>
                  </w:r>
                  <w:r>
                    <w:rPr>
                      <w:rFonts w:ascii="Arial" w:hAnsi="Arial"/>
                      <w:b/>
                    </w:rPr>
                    <w:tab/>
                    <w:t xml:space="preserve">Sensitive </w:t>
                  </w:r>
                </w:p>
                <w:p w:rsidR="004817C3" w:rsidRDefault="004817C3" w:rsidP="00440C98">
                  <w:r>
                    <w:rPr>
                      <w:rFonts w:ascii="Arial" w:hAnsi="Arial"/>
                      <w:b/>
                    </w:rPr>
                    <w:tab/>
                    <w:t>Questions</w:t>
                  </w:r>
                </w:p>
              </w:txbxContent>
            </v:textbox>
            <w10:wrap type="square" side="largest" anchorx="margin"/>
          </v:shape>
        </w:pict>
      </w:r>
      <w:r w:rsidR="00440C98">
        <w:rPr>
          <w:color w:val="000000"/>
        </w:rPr>
        <w:t>The consideration of sensitive questions, (i.e., sexual, religious, personal or other private matters), is not applicable to this rulemaking. The information gathered to develop an implementation plan does not include personal data on any owner or operator.</w:t>
      </w:r>
    </w:p>
    <w:p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40C98" w:rsidRPr="00CC31B8" w:rsidRDefault="00AA30E0" w:rsidP="00440C98">
      <w:pPr>
        <w:autoSpaceDE w:val="0"/>
        <w:autoSpaceDN w:val="0"/>
        <w:adjustRightInd w:val="0"/>
        <w:rPr>
          <w:szCs w:val="24"/>
        </w:rPr>
      </w:pPr>
      <w:r w:rsidRPr="00AA30E0">
        <w:rPr>
          <w:noProof/>
        </w:rPr>
        <w:pict>
          <v:shape id="_x0000_s1195" type="#_x0000_t202" style="position:absolute;margin-left:-180pt;margin-top:4.9pt;width:132.6pt;height:47.2pt;z-index:40;mso-wrap-distance-left:12pt;mso-wrap-distance-top:12pt;mso-wrap-distance-right:12pt;mso-wrap-distance-bottom:12pt;mso-position-horizontal-relative:margin" filled="f" stroked="f">
            <v:textbox style="mso-next-textbox:#_x0000_s1195" inset="0,0,6pt,6pt">
              <w:txbxContent>
                <w:p w:rsidR="004817C3" w:rsidRDefault="004817C3" w:rsidP="00440C98">
                  <w:pPr>
                    <w:ind w:left="720" w:hanging="720"/>
                  </w:pPr>
                  <w:r w:rsidRPr="00A309B3">
                    <w:rPr>
                      <w:rFonts w:ascii="Arial" w:hAnsi="Arial" w:cs="Arial"/>
                      <w:b/>
                    </w:rPr>
                    <w:t>3.8</w:t>
                  </w:r>
                  <w:r w:rsidRPr="00A309B3">
                    <w:rPr>
                      <w:rFonts w:ascii="Arial" w:hAnsi="Arial" w:cs="Arial"/>
                      <w:b/>
                    </w:rPr>
                    <w:tab/>
                    <w:t>Environmental Justice Considerations</w:t>
                  </w:r>
                </w:p>
              </w:txbxContent>
            </v:textbox>
            <w10:wrap type="square" side="largest" anchorx="margin"/>
          </v:shape>
        </w:pict>
      </w:r>
      <w:r w:rsidR="00440C98">
        <w:rPr>
          <w:color w:val="000000"/>
        </w:rPr>
        <w:t xml:space="preserve">Because the regional haze program operates nationwide and across </w:t>
      </w:r>
      <w:r w:rsidR="00FF12EC">
        <w:rPr>
          <w:color w:val="000000"/>
        </w:rPr>
        <w:t>numerous</w:t>
      </w:r>
      <w:r w:rsidR="00440C98">
        <w:rPr>
          <w:color w:val="000000"/>
        </w:rPr>
        <w:t xml:space="preserve"> industry classifications, the Agency does not believe there </w:t>
      </w:r>
      <w:r w:rsidR="00B26CA6">
        <w:rPr>
          <w:color w:val="000000"/>
        </w:rPr>
        <w:t>are</w:t>
      </w:r>
      <w:r w:rsidR="00440C98">
        <w:rPr>
          <w:color w:val="000000"/>
        </w:rPr>
        <w:t xml:space="preserve"> disproportionate </w:t>
      </w:r>
      <w:r w:rsidR="00B26CA6">
        <w:rPr>
          <w:color w:val="000000"/>
        </w:rPr>
        <w:t xml:space="preserve">environmental justice impacts in implementing </w:t>
      </w:r>
      <w:r w:rsidR="00440C98">
        <w:rPr>
          <w:color w:val="000000"/>
        </w:rPr>
        <w:t xml:space="preserve">in the regional haze program.  </w:t>
      </w:r>
      <w:r w:rsidR="00440C98">
        <w:rPr>
          <w:color w:val="000000"/>
        </w:rPr>
        <w:br w:type="page"/>
      </w:r>
      <w:r w:rsidRPr="00AA30E0">
        <w:lastRenderedPageBreak/>
        <w:pict>
          <v:shape id="_x0000_s1192" type="#_x0000_t202" style="position:absolute;margin-left:-178.4pt;margin-top:-25.55pt;width:532.8pt;height:20.4pt;z-index:37;mso-wrap-distance-left:12pt;mso-wrap-distance-top:12pt;mso-wrap-distance-right:12pt;mso-wrap-distance-bottom:12pt;mso-position-horizontal-relative:margin" filled="f" stroked="f">
            <v:textbox style="mso-next-textbox:#_x0000_s1192" inset="0,0,6pt,6pt">
              <w:txbxContent>
                <w:p w:rsidR="004817C3" w:rsidRDefault="004817C3" w:rsidP="00440C98">
                  <w:r>
                    <w:rPr>
                      <w:rFonts w:ascii="Arial" w:hAnsi="Arial"/>
                      <w:b/>
                    </w:rPr>
                    <w:t>4</w:t>
                  </w:r>
                  <w:r>
                    <w:rPr>
                      <w:rFonts w:ascii="Arial" w:hAnsi="Arial"/>
                      <w:b/>
                    </w:rPr>
                    <w:tab/>
                    <w:t>The Respondents and the Information Requested</w:t>
                  </w:r>
                </w:p>
              </w:txbxContent>
            </v:textbox>
            <w10:wrap type="square" side="largest" anchorx="margin"/>
          </v:shape>
        </w:pict>
      </w:r>
      <w:r w:rsidRPr="00AA30E0">
        <w:pict>
          <v:shape id="_x0000_s1193" type="#_x0000_t202" style="position:absolute;margin-left:-180pt;margin-top:1.45pt;width:145.15pt;height:38.35pt;z-index:38;mso-wrap-distance-left:12pt;mso-wrap-distance-top:12pt;mso-wrap-distance-right:12pt;mso-wrap-distance-bottom:12pt;mso-position-horizontal-relative:margin" filled="f" stroked="f">
            <v:textbox style="mso-next-textbox:#_x0000_s1193" inset="0,0,6pt,6pt">
              <w:txbxContent>
                <w:p w:rsidR="004817C3" w:rsidRDefault="004817C3" w:rsidP="00440C98">
                  <w:pPr>
                    <w:ind w:left="720" w:hanging="720"/>
                  </w:pPr>
                  <w:r w:rsidRPr="00887A63">
                    <w:rPr>
                      <w:rFonts w:ascii="Arial" w:hAnsi="Arial" w:cs="Arial"/>
                      <w:b/>
                    </w:rPr>
                    <w:t>4.1</w:t>
                  </w:r>
                  <w:r>
                    <w:rPr>
                      <w:rFonts w:ascii="Arial" w:hAnsi="Arial" w:cs="Arial"/>
                      <w:b/>
                    </w:rPr>
                    <w:tab/>
                  </w:r>
                  <w:r w:rsidRPr="00887A63">
                    <w:rPr>
                      <w:rFonts w:ascii="Arial" w:hAnsi="Arial" w:cs="Arial"/>
                      <w:b/>
                    </w:rPr>
                    <w:t>Re</w:t>
                  </w:r>
                  <w:r>
                    <w:rPr>
                      <w:rFonts w:ascii="Arial" w:hAnsi="Arial" w:cs="Arial"/>
                      <w:b/>
                    </w:rPr>
                    <w:t>s</w:t>
                  </w:r>
                  <w:r w:rsidRPr="00887A63">
                    <w:rPr>
                      <w:rFonts w:ascii="Arial" w:hAnsi="Arial" w:cs="Arial"/>
                      <w:b/>
                    </w:rPr>
                    <w:t>pond</w:t>
                  </w:r>
                  <w:r>
                    <w:rPr>
                      <w:rFonts w:ascii="Arial" w:hAnsi="Arial" w:cs="Arial"/>
                      <w:b/>
                    </w:rPr>
                    <w:t>e</w:t>
                  </w:r>
                  <w:r w:rsidRPr="00887A63">
                    <w:rPr>
                      <w:rFonts w:ascii="Arial" w:hAnsi="Arial" w:cs="Arial"/>
                      <w:b/>
                    </w:rPr>
                    <w:t>nts/</w:t>
                  </w:r>
                  <w:r>
                    <w:rPr>
                      <w:rFonts w:ascii="Arial" w:hAnsi="Arial" w:cs="Arial"/>
                      <w:b/>
                    </w:rPr>
                    <w:t xml:space="preserve"> </w:t>
                  </w:r>
                </w:p>
              </w:txbxContent>
            </v:textbox>
            <w10:wrap type="square" side="largest" anchorx="margin"/>
          </v:shape>
        </w:pict>
      </w:r>
      <w:r w:rsidR="00440C98" w:rsidRPr="00CC31B8">
        <w:rPr>
          <w:szCs w:val="24"/>
        </w:rPr>
        <w:t>The major categories of respondents dire</w:t>
      </w:r>
      <w:r w:rsidR="00440C98">
        <w:rPr>
          <w:szCs w:val="24"/>
        </w:rPr>
        <w:t xml:space="preserve">ctly affected </w:t>
      </w:r>
      <w:r w:rsidR="00FF12EC">
        <w:rPr>
          <w:szCs w:val="24"/>
        </w:rPr>
        <w:t>during this ICR period of October 31, 2012 through October 15, 2015</w:t>
      </w:r>
      <w:r w:rsidR="00174B38">
        <w:rPr>
          <w:szCs w:val="24"/>
        </w:rPr>
        <w:t xml:space="preserve"> </w:t>
      </w:r>
      <w:r w:rsidR="00440C98">
        <w:rPr>
          <w:szCs w:val="24"/>
        </w:rPr>
        <w:t>include the states</w:t>
      </w:r>
      <w:r w:rsidR="00440C98" w:rsidRPr="00CC31B8">
        <w:rPr>
          <w:szCs w:val="24"/>
        </w:rPr>
        <w:t xml:space="preserve"> </w:t>
      </w:r>
      <w:r w:rsidR="00AE1E29">
        <w:rPr>
          <w:szCs w:val="24"/>
        </w:rPr>
        <w:t xml:space="preserve">and </w:t>
      </w:r>
      <w:r w:rsidR="00440C98">
        <w:rPr>
          <w:szCs w:val="24"/>
        </w:rPr>
        <w:t xml:space="preserve">FLMs. </w:t>
      </w:r>
      <w:r w:rsidR="00440C98" w:rsidRPr="00CC31B8">
        <w:rPr>
          <w:szCs w:val="24"/>
        </w:rPr>
        <w:t xml:space="preserve">The </w:t>
      </w:r>
      <w:r w:rsidR="00440C98">
        <w:rPr>
          <w:szCs w:val="24"/>
        </w:rPr>
        <w:t>s</w:t>
      </w:r>
      <w:r w:rsidR="00440C98" w:rsidRPr="00CC31B8">
        <w:rPr>
          <w:szCs w:val="24"/>
        </w:rPr>
        <w:t xml:space="preserve">tates </w:t>
      </w:r>
      <w:r w:rsidR="00440C98">
        <w:rPr>
          <w:szCs w:val="24"/>
        </w:rPr>
        <w:t>are</w:t>
      </w:r>
      <w:r w:rsidR="00440C98" w:rsidRPr="00CC31B8">
        <w:rPr>
          <w:szCs w:val="24"/>
        </w:rPr>
        <w:t xml:space="preserve"> </w:t>
      </w:r>
      <w:r w:rsidR="00440C98">
        <w:rPr>
          <w:szCs w:val="24"/>
        </w:rPr>
        <w:t>d</w:t>
      </w:r>
      <w:r w:rsidR="00440C98" w:rsidRPr="00CC31B8">
        <w:rPr>
          <w:szCs w:val="24"/>
        </w:rPr>
        <w:t>evelop</w:t>
      </w:r>
      <w:r w:rsidR="00440C98">
        <w:rPr>
          <w:szCs w:val="24"/>
        </w:rPr>
        <w:t xml:space="preserve">ing </w:t>
      </w:r>
      <w:r w:rsidR="00440C98" w:rsidRPr="00CC31B8">
        <w:rPr>
          <w:szCs w:val="24"/>
        </w:rPr>
        <w:t>implementation plan</w:t>
      </w:r>
      <w:r w:rsidR="00440C98">
        <w:rPr>
          <w:szCs w:val="24"/>
        </w:rPr>
        <w:t>s</w:t>
      </w:r>
      <w:r w:rsidR="00440C98" w:rsidRPr="00CC31B8">
        <w:rPr>
          <w:szCs w:val="24"/>
        </w:rPr>
        <w:t xml:space="preserve"> </w:t>
      </w:r>
      <w:r w:rsidR="00440C98" w:rsidRPr="000C1EE9">
        <w:rPr>
          <w:szCs w:val="24"/>
        </w:rPr>
        <w:t>under 40 CFR 51.308</w:t>
      </w:r>
      <w:r w:rsidR="00440C98">
        <w:rPr>
          <w:szCs w:val="24"/>
        </w:rPr>
        <w:t>(g)</w:t>
      </w:r>
      <w:r w:rsidR="00440C98" w:rsidRPr="000C1EE9">
        <w:rPr>
          <w:szCs w:val="24"/>
        </w:rPr>
        <w:t xml:space="preserve"> </w:t>
      </w:r>
      <w:r w:rsidR="00FF12EC">
        <w:rPr>
          <w:szCs w:val="24"/>
        </w:rPr>
        <w:t xml:space="preserve">and 40 CFR 51.309(d)(10) </w:t>
      </w:r>
      <w:r w:rsidR="00440C98" w:rsidRPr="000C1EE9">
        <w:rPr>
          <w:szCs w:val="24"/>
        </w:rPr>
        <w:t>evaluating progress towards the reasonable progress goal for each mandatory Class I F</w:t>
      </w:r>
      <w:r w:rsidR="00440C98">
        <w:rPr>
          <w:szCs w:val="24"/>
        </w:rPr>
        <w:t>ederal area located within the s</w:t>
      </w:r>
      <w:r w:rsidR="00440C98" w:rsidRPr="000C1EE9">
        <w:rPr>
          <w:szCs w:val="24"/>
        </w:rPr>
        <w:t>tate and in each mandatory Class I Federal area located outside the</w:t>
      </w:r>
      <w:r w:rsidR="00440C98">
        <w:rPr>
          <w:szCs w:val="24"/>
        </w:rPr>
        <w:t xml:space="preserve"> s</w:t>
      </w:r>
      <w:r w:rsidR="00440C98" w:rsidRPr="000C1EE9">
        <w:rPr>
          <w:szCs w:val="24"/>
        </w:rPr>
        <w:t xml:space="preserve">tate which may be affected by emissions from within the </w:t>
      </w:r>
      <w:r w:rsidR="00440C98">
        <w:rPr>
          <w:szCs w:val="24"/>
        </w:rPr>
        <w:t>s</w:t>
      </w:r>
      <w:r w:rsidR="00440C98" w:rsidRPr="000C1EE9">
        <w:rPr>
          <w:szCs w:val="24"/>
        </w:rPr>
        <w:t>tate</w:t>
      </w:r>
      <w:r w:rsidR="00440C98">
        <w:rPr>
          <w:szCs w:val="24"/>
        </w:rPr>
        <w:t>.</w:t>
      </w:r>
      <w:r w:rsidR="00440C98" w:rsidRPr="00CC31B8">
        <w:rPr>
          <w:szCs w:val="24"/>
        </w:rPr>
        <w:t xml:space="preserve"> </w:t>
      </w:r>
      <w:r w:rsidR="00994BA5">
        <w:rPr>
          <w:szCs w:val="24"/>
        </w:rPr>
        <w:t xml:space="preserve">Six </w:t>
      </w:r>
      <w:r w:rsidR="00B26CA6">
        <w:rPr>
          <w:szCs w:val="24"/>
        </w:rPr>
        <w:t xml:space="preserve">states will be required to make additional revisions to their current regional haze plan to meet program requirements. </w:t>
      </w:r>
      <w:r w:rsidR="00D72B8A">
        <w:rPr>
          <w:szCs w:val="24"/>
        </w:rPr>
        <w:t xml:space="preserve">Up to </w:t>
      </w:r>
      <w:r w:rsidR="00155320">
        <w:rPr>
          <w:szCs w:val="24"/>
        </w:rPr>
        <w:t xml:space="preserve">12 </w:t>
      </w:r>
      <w:r w:rsidR="00D72B8A">
        <w:rPr>
          <w:szCs w:val="24"/>
        </w:rPr>
        <w:t xml:space="preserve">states may, but are not required to, make minor revisions to their SIP </w:t>
      </w:r>
      <w:r w:rsidR="00AA1A66">
        <w:rPr>
          <w:szCs w:val="24"/>
        </w:rPr>
        <w:t xml:space="preserve">to </w:t>
      </w:r>
      <w:r w:rsidR="00D72B8A">
        <w:rPr>
          <w:color w:val="000000"/>
        </w:rPr>
        <w:t>adopt the requirements of CSAPR as a BART alternative, to replace a FIP.</w:t>
      </w:r>
    </w:p>
    <w:p w:rsidR="00440C98" w:rsidRDefault="00440C98" w:rsidP="00440C98">
      <w:pPr>
        <w:rPr>
          <w:szCs w:val="24"/>
        </w:rPr>
      </w:pPr>
    </w:p>
    <w:p w:rsidR="00440C98" w:rsidRPr="003F4916" w:rsidRDefault="00440C98" w:rsidP="00440C98">
      <w:pPr>
        <w:rPr>
          <w:szCs w:val="24"/>
        </w:rPr>
      </w:pPr>
      <w:r w:rsidRPr="003F4916">
        <w:rPr>
          <w:szCs w:val="24"/>
        </w:rPr>
        <w:t xml:space="preserve">The FLMs </w:t>
      </w:r>
      <w:r w:rsidR="00FF12EC">
        <w:rPr>
          <w:szCs w:val="24"/>
        </w:rPr>
        <w:t>will</w:t>
      </w:r>
      <w:r w:rsidR="00FF12EC" w:rsidRPr="003F4916">
        <w:rPr>
          <w:szCs w:val="24"/>
        </w:rPr>
        <w:t xml:space="preserve"> </w:t>
      </w:r>
      <w:r w:rsidR="00B26CA6">
        <w:rPr>
          <w:szCs w:val="24"/>
        </w:rPr>
        <w:t xml:space="preserve">review the 5-year progress reports and </w:t>
      </w:r>
      <w:r w:rsidR="00FF12EC" w:rsidRPr="003F4916">
        <w:rPr>
          <w:szCs w:val="24"/>
        </w:rPr>
        <w:t>provid</w:t>
      </w:r>
      <w:r w:rsidR="00FF12EC">
        <w:rPr>
          <w:szCs w:val="24"/>
        </w:rPr>
        <w:t>e</w:t>
      </w:r>
      <w:r w:rsidR="00FF12EC" w:rsidRPr="003F4916">
        <w:rPr>
          <w:szCs w:val="24"/>
        </w:rPr>
        <w:t xml:space="preserve"> </w:t>
      </w:r>
      <w:r w:rsidRPr="003F4916">
        <w:rPr>
          <w:szCs w:val="24"/>
        </w:rPr>
        <w:t xml:space="preserve">comments to the states. The states are required to </w:t>
      </w:r>
      <w:r w:rsidR="00B26CA6">
        <w:rPr>
          <w:szCs w:val="24"/>
        </w:rPr>
        <w:t xml:space="preserve">provide sufficient review time for </w:t>
      </w:r>
      <w:r w:rsidR="00155320">
        <w:rPr>
          <w:szCs w:val="24"/>
        </w:rPr>
        <w:t xml:space="preserve">the </w:t>
      </w:r>
      <w:r w:rsidR="00155320" w:rsidRPr="003F4916">
        <w:rPr>
          <w:szCs w:val="24"/>
        </w:rPr>
        <w:t>FLMs</w:t>
      </w:r>
      <w:r w:rsidRPr="003F4916">
        <w:rPr>
          <w:szCs w:val="24"/>
        </w:rPr>
        <w:t xml:space="preserve"> and explain how they address the FLMs comments in </w:t>
      </w:r>
      <w:r w:rsidR="00B26CA6">
        <w:rPr>
          <w:szCs w:val="24"/>
        </w:rPr>
        <w:t>the documentation for their progress report.</w:t>
      </w:r>
    </w:p>
    <w:p w:rsidR="00440C98" w:rsidRPr="00944C96" w:rsidRDefault="00440C98" w:rsidP="00BB69A7">
      <w:pPr>
        <w:ind w:left="-720" w:hanging="1440"/>
        <w:rPr>
          <w:color w:val="000000"/>
        </w:rPr>
      </w:pPr>
    </w:p>
    <w:p w:rsidR="00440C98" w:rsidRDefault="00AA30E0"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A30E0">
        <w:pict>
          <v:shape id="_x0000_s1194" type="#_x0000_t202" style="position:absolute;margin-left:-180pt;margin-top:.05pt;width:132.6pt;height:49.5pt;z-index:39;mso-wrap-distance-left:12pt;mso-wrap-distance-top:12pt;mso-wrap-distance-right:12pt;mso-wrap-distance-bottom:12pt;mso-position-horizontal-relative:margin" filled="f" stroked="f">
            <v:textbox style="mso-next-textbox:#_x0000_s1194" inset="0,0,6pt,6pt">
              <w:txbxContent>
                <w:p w:rsidR="004817C3" w:rsidRDefault="004817C3" w:rsidP="00440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4.2</w:t>
                  </w:r>
                  <w:r>
                    <w:rPr>
                      <w:rFonts w:ascii="Arial" w:hAnsi="Arial"/>
                      <w:b/>
                    </w:rPr>
                    <w:tab/>
                    <w:t>Information</w:t>
                  </w:r>
                </w:p>
                <w:p w:rsidR="004817C3" w:rsidRDefault="004817C3" w:rsidP="00440C98">
                  <w:r>
                    <w:rPr>
                      <w:rFonts w:ascii="Arial" w:hAnsi="Arial"/>
                      <w:b/>
                    </w:rPr>
                    <w:tab/>
                    <w:t>Requested</w:t>
                  </w:r>
                </w:p>
              </w:txbxContent>
            </v:textbox>
            <w10:wrap type="square" side="largest" anchorx="margin"/>
          </v:shape>
        </w:pict>
      </w:r>
      <w:r w:rsidR="00440C98" w:rsidRPr="00944C96">
        <w:rPr>
          <w:color w:val="000000"/>
        </w:rPr>
        <w:t xml:space="preserve">The </w:t>
      </w:r>
      <w:r w:rsidR="00440C98">
        <w:rPr>
          <w:szCs w:val="24"/>
        </w:rPr>
        <w:t xml:space="preserve">information required under this ICR renewal provides for a continuation of the process initiated with previous ICRs for the regional haze rule. In this stage of the process, the states are </w:t>
      </w:r>
      <w:r w:rsidR="00C94B69">
        <w:rPr>
          <w:szCs w:val="24"/>
        </w:rPr>
        <w:t>mainly</w:t>
      </w:r>
      <w:r w:rsidR="006A62C2">
        <w:rPr>
          <w:szCs w:val="24"/>
        </w:rPr>
        <w:t xml:space="preserve"> focusing on</w:t>
      </w:r>
      <w:r w:rsidR="00C94B69">
        <w:rPr>
          <w:szCs w:val="24"/>
        </w:rPr>
        <w:t xml:space="preserve"> </w:t>
      </w:r>
      <w:r w:rsidR="00FF12EC">
        <w:rPr>
          <w:szCs w:val="24"/>
        </w:rPr>
        <w:t xml:space="preserve">revising their SIPs to report on progress made towards reaching their long term visibility goals. For </w:t>
      </w:r>
      <w:r w:rsidR="00C725CE">
        <w:rPr>
          <w:szCs w:val="24"/>
        </w:rPr>
        <w:t>34</w:t>
      </w:r>
      <w:r w:rsidR="00FF12EC">
        <w:rPr>
          <w:szCs w:val="24"/>
        </w:rPr>
        <w:t xml:space="preserve"> states, the progress </w:t>
      </w:r>
      <w:r w:rsidR="00C725CE">
        <w:rPr>
          <w:szCs w:val="24"/>
        </w:rPr>
        <w:t xml:space="preserve">reports </w:t>
      </w:r>
      <w:r w:rsidR="00440C98">
        <w:rPr>
          <w:szCs w:val="24"/>
        </w:rPr>
        <w:t xml:space="preserve">will be </w:t>
      </w:r>
      <w:r w:rsidR="00FF12EC">
        <w:rPr>
          <w:szCs w:val="24"/>
        </w:rPr>
        <w:t>due during</w:t>
      </w:r>
      <w:r w:rsidR="00440C98">
        <w:rPr>
          <w:szCs w:val="24"/>
        </w:rPr>
        <w:t xml:space="preserve"> the </w:t>
      </w:r>
      <w:r w:rsidR="00440C98" w:rsidRPr="00004AD2">
        <w:rPr>
          <w:szCs w:val="24"/>
        </w:rPr>
        <w:t>October 31, 2012 to October 30, 2015</w:t>
      </w:r>
      <w:r w:rsidR="00440C98">
        <w:rPr>
          <w:szCs w:val="24"/>
        </w:rPr>
        <w:t xml:space="preserve"> </w:t>
      </w:r>
      <w:r w:rsidR="00FF12EC">
        <w:rPr>
          <w:szCs w:val="24"/>
        </w:rPr>
        <w:t xml:space="preserve">ICR </w:t>
      </w:r>
      <w:r w:rsidR="00440C98">
        <w:rPr>
          <w:szCs w:val="24"/>
        </w:rPr>
        <w:t>period.</w:t>
      </w:r>
      <w:r w:rsidR="006A62C2">
        <w:rPr>
          <w:szCs w:val="24"/>
        </w:rPr>
        <w:t xml:space="preserve"> </w:t>
      </w:r>
      <w:r w:rsidR="003E1135">
        <w:rPr>
          <w:szCs w:val="24"/>
        </w:rPr>
        <w:t>In response to the public comment received</w:t>
      </w:r>
      <w:r w:rsidR="006652DF">
        <w:rPr>
          <w:szCs w:val="24"/>
        </w:rPr>
        <w:t>,</w:t>
      </w:r>
      <w:r w:rsidR="003E1135">
        <w:rPr>
          <w:szCs w:val="24"/>
        </w:rPr>
        <w:t xml:space="preserve"> EPA has adjusted the ICR to account for o</w:t>
      </w:r>
      <w:r w:rsidR="003964AA">
        <w:rPr>
          <w:szCs w:val="24"/>
        </w:rPr>
        <w:t>ther</w:t>
      </w:r>
      <w:r w:rsidR="00FA507F">
        <w:rPr>
          <w:szCs w:val="24"/>
        </w:rPr>
        <w:t xml:space="preserve"> actions that states may </w:t>
      </w:r>
      <w:r w:rsidR="00B26CA6">
        <w:rPr>
          <w:szCs w:val="24"/>
        </w:rPr>
        <w:t>undertake</w:t>
      </w:r>
      <w:r w:rsidR="00FA507F">
        <w:rPr>
          <w:szCs w:val="24"/>
        </w:rPr>
        <w:t xml:space="preserve"> during the ICR period </w:t>
      </w:r>
      <w:r w:rsidR="003E1135">
        <w:rPr>
          <w:szCs w:val="24"/>
        </w:rPr>
        <w:t xml:space="preserve">which </w:t>
      </w:r>
      <w:r w:rsidR="00FA507F">
        <w:rPr>
          <w:szCs w:val="24"/>
        </w:rPr>
        <w:t xml:space="preserve">include corrections or updates to initial regional haze SIPs, developing SIPs to replace any </w:t>
      </w:r>
      <w:r w:rsidR="00B26CA6">
        <w:rPr>
          <w:szCs w:val="24"/>
        </w:rPr>
        <w:t>FIP</w:t>
      </w:r>
      <w:r w:rsidR="00FA507F">
        <w:rPr>
          <w:szCs w:val="24"/>
        </w:rPr>
        <w:t xml:space="preserve">, and </w:t>
      </w:r>
      <w:r w:rsidR="00B26CA6">
        <w:rPr>
          <w:szCs w:val="24"/>
        </w:rPr>
        <w:t xml:space="preserve">any </w:t>
      </w:r>
      <w:r w:rsidR="00FA507F">
        <w:rPr>
          <w:szCs w:val="24"/>
        </w:rPr>
        <w:t xml:space="preserve">early efforts </w:t>
      </w:r>
      <w:r w:rsidR="00B26CA6">
        <w:rPr>
          <w:szCs w:val="24"/>
        </w:rPr>
        <w:t xml:space="preserve">the states may undertake in preparation </w:t>
      </w:r>
      <w:r w:rsidR="00FA507F">
        <w:rPr>
          <w:szCs w:val="24"/>
        </w:rPr>
        <w:t xml:space="preserve">for the required regional haze </w:t>
      </w:r>
      <w:r w:rsidR="00B26CA6">
        <w:rPr>
          <w:szCs w:val="24"/>
        </w:rPr>
        <w:t xml:space="preserve">SIP </w:t>
      </w:r>
      <w:r w:rsidR="00FA507F">
        <w:rPr>
          <w:szCs w:val="24"/>
        </w:rPr>
        <w:t xml:space="preserve">revision </w:t>
      </w:r>
      <w:r w:rsidR="00B26CA6">
        <w:rPr>
          <w:szCs w:val="24"/>
        </w:rPr>
        <w:t>due by</w:t>
      </w:r>
      <w:r w:rsidR="00FA507F">
        <w:rPr>
          <w:szCs w:val="24"/>
        </w:rPr>
        <w:t xml:space="preserve"> July 31, 2018.</w:t>
      </w:r>
    </w:p>
    <w:p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The information that is requested under this renewal period under the </w:t>
      </w:r>
      <w:r w:rsidR="0019097C">
        <w:rPr>
          <w:szCs w:val="24"/>
        </w:rPr>
        <w:t>regional haze rule requirements includes</w:t>
      </w:r>
      <w:r>
        <w:rPr>
          <w:szCs w:val="24"/>
        </w:rPr>
        <w:t>:</w:t>
      </w:r>
    </w:p>
    <w:p w:rsidR="00440C98" w:rsidRDefault="00440C98" w:rsidP="00440C9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40C98" w:rsidRPr="00474CCA" w:rsidRDefault="00440C98" w:rsidP="00440C98">
      <w:pPr>
        <w:rPr>
          <w:b/>
          <w:szCs w:val="24"/>
        </w:rPr>
      </w:pPr>
      <w:r>
        <w:rPr>
          <w:b/>
          <w:szCs w:val="24"/>
        </w:rPr>
        <w:t xml:space="preserve">Requirements for Periodic Report Describing Progress </w:t>
      </w:r>
      <w:r w:rsidR="00D95C9B">
        <w:rPr>
          <w:b/>
          <w:szCs w:val="24"/>
        </w:rPr>
        <w:t>towards</w:t>
      </w:r>
      <w:r>
        <w:rPr>
          <w:b/>
          <w:szCs w:val="24"/>
        </w:rPr>
        <w:t xml:space="preserve"> the Reasonable Progress Goals</w:t>
      </w:r>
    </w:p>
    <w:p w:rsidR="00440C98" w:rsidRPr="00474CCA" w:rsidRDefault="00440C98" w:rsidP="00440C98">
      <w:pPr>
        <w:rPr>
          <w:szCs w:val="24"/>
        </w:rPr>
      </w:pPr>
    </w:p>
    <w:p w:rsidR="00440C98" w:rsidRPr="00474CCA" w:rsidRDefault="00440C98" w:rsidP="00440C98">
      <w:pPr>
        <w:numPr>
          <w:ilvl w:val="0"/>
          <w:numId w:val="15"/>
        </w:numPr>
        <w:rPr>
          <w:szCs w:val="24"/>
        </w:rPr>
      </w:pPr>
      <w:r w:rsidRPr="00474CCA">
        <w:rPr>
          <w:szCs w:val="24"/>
        </w:rPr>
        <w:t>D</w:t>
      </w:r>
      <w:r>
        <w:rPr>
          <w:szCs w:val="24"/>
        </w:rPr>
        <w:t>escription of status of control measures</w:t>
      </w:r>
    </w:p>
    <w:p w:rsidR="00440C98" w:rsidRPr="00474CCA" w:rsidRDefault="00440C98" w:rsidP="00440C98">
      <w:pPr>
        <w:numPr>
          <w:ilvl w:val="0"/>
          <w:numId w:val="10"/>
        </w:numPr>
        <w:rPr>
          <w:szCs w:val="24"/>
        </w:rPr>
      </w:pPr>
      <w:r>
        <w:rPr>
          <w:szCs w:val="24"/>
        </w:rPr>
        <w:t>Summary of emission reductions</w:t>
      </w:r>
    </w:p>
    <w:p w:rsidR="00440C98" w:rsidRDefault="00440C98" w:rsidP="00440C98">
      <w:pPr>
        <w:numPr>
          <w:ilvl w:val="0"/>
          <w:numId w:val="10"/>
        </w:numPr>
        <w:rPr>
          <w:szCs w:val="24"/>
        </w:rPr>
      </w:pPr>
      <w:r>
        <w:rPr>
          <w:szCs w:val="24"/>
        </w:rPr>
        <w:t>Calculat</w:t>
      </w:r>
      <w:r w:rsidR="009942C3">
        <w:rPr>
          <w:szCs w:val="24"/>
        </w:rPr>
        <w:t>ion of</w:t>
      </w:r>
      <w:r>
        <w:rPr>
          <w:szCs w:val="24"/>
        </w:rPr>
        <w:t xml:space="preserve"> visibility conditions and changes</w:t>
      </w:r>
    </w:p>
    <w:p w:rsidR="00440C98" w:rsidRDefault="009942C3" w:rsidP="00440C98">
      <w:pPr>
        <w:numPr>
          <w:ilvl w:val="0"/>
          <w:numId w:val="10"/>
        </w:numPr>
        <w:rPr>
          <w:szCs w:val="24"/>
        </w:rPr>
      </w:pPr>
      <w:r>
        <w:rPr>
          <w:szCs w:val="24"/>
        </w:rPr>
        <w:t>Calculation of</w:t>
      </w:r>
      <w:r w:rsidR="00440C98">
        <w:rPr>
          <w:szCs w:val="24"/>
        </w:rPr>
        <w:t xml:space="preserve"> 5 year progress</w:t>
      </w:r>
    </w:p>
    <w:p w:rsidR="00440C98" w:rsidRPr="00474CCA" w:rsidRDefault="00440C98" w:rsidP="00440C98">
      <w:pPr>
        <w:numPr>
          <w:ilvl w:val="0"/>
          <w:numId w:val="10"/>
        </w:numPr>
        <w:rPr>
          <w:szCs w:val="24"/>
        </w:rPr>
      </w:pPr>
      <w:r>
        <w:rPr>
          <w:szCs w:val="24"/>
        </w:rPr>
        <w:t xml:space="preserve">Assessment of contributing emissions </w:t>
      </w:r>
    </w:p>
    <w:p w:rsidR="00440C98" w:rsidRPr="00474CCA" w:rsidRDefault="00440C98" w:rsidP="00440C98">
      <w:pPr>
        <w:numPr>
          <w:ilvl w:val="0"/>
          <w:numId w:val="10"/>
        </w:numPr>
        <w:rPr>
          <w:szCs w:val="24"/>
        </w:rPr>
      </w:pPr>
      <w:r>
        <w:rPr>
          <w:szCs w:val="24"/>
        </w:rPr>
        <w:t xml:space="preserve">Assessment of </w:t>
      </w:r>
      <w:r w:rsidRPr="00474CCA">
        <w:rPr>
          <w:szCs w:val="24"/>
        </w:rPr>
        <w:t xml:space="preserve">reasonable progress goals </w:t>
      </w:r>
    </w:p>
    <w:p w:rsidR="00440C98" w:rsidRDefault="00440C98" w:rsidP="00440C98">
      <w:pPr>
        <w:numPr>
          <w:ilvl w:val="0"/>
          <w:numId w:val="10"/>
        </w:numPr>
        <w:rPr>
          <w:szCs w:val="24"/>
        </w:rPr>
      </w:pPr>
      <w:r>
        <w:rPr>
          <w:szCs w:val="24"/>
        </w:rPr>
        <w:t>Review</w:t>
      </w:r>
      <w:r w:rsidRPr="00474CCA">
        <w:rPr>
          <w:szCs w:val="24"/>
        </w:rPr>
        <w:t xml:space="preserve"> monitoring strategy</w:t>
      </w:r>
      <w:r>
        <w:rPr>
          <w:szCs w:val="24"/>
        </w:rPr>
        <w:t xml:space="preserve"> and note changes</w:t>
      </w:r>
    </w:p>
    <w:p w:rsidR="00440C98" w:rsidRDefault="00440C98" w:rsidP="00440C98">
      <w:pPr>
        <w:numPr>
          <w:ilvl w:val="0"/>
          <w:numId w:val="10"/>
        </w:numPr>
        <w:rPr>
          <w:szCs w:val="24"/>
        </w:rPr>
      </w:pPr>
      <w:r>
        <w:rPr>
          <w:szCs w:val="24"/>
        </w:rPr>
        <w:t>Submit 5 year progress report</w:t>
      </w:r>
    </w:p>
    <w:p w:rsidR="00440C98" w:rsidRDefault="00440C98" w:rsidP="00440C98">
      <w:pPr>
        <w:numPr>
          <w:ilvl w:val="0"/>
          <w:numId w:val="10"/>
        </w:numPr>
        <w:rPr>
          <w:szCs w:val="24"/>
        </w:rPr>
      </w:pPr>
      <w:r>
        <w:rPr>
          <w:szCs w:val="24"/>
        </w:rPr>
        <w:lastRenderedPageBreak/>
        <w:t>Determine degree of visibility improvement</w:t>
      </w:r>
    </w:p>
    <w:p w:rsidR="00440C98" w:rsidRDefault="00440C98" w:rsidP="00440C98">
      <w:pPr>
        <w:numPr>
          <w:ilvl w:val="0"/>
          <w:numId w:val="10"/>
        </w:numPr>
        <w:rPr>
          <w:szCs w:val="24"/>
        </w:rPr>
      </w:pPr>
      <w:r>
        <w:rPr>
          <w:szCs w:val="24"/>
        </w:rPr>
        <w:t>Consult with FLMs</w:t>
      </w:r>
    </w:p>
    <w:p w:rsidR="00C60FBD" w:rsidRPr="00474CCA" w:rsidRDefault="00C60FBD" w:rsidP="00440C98">
      <w:pPr>
        <w:numPr>
          <w:ilvl w:val="0"/>
          <w:numId w:val="10"/>
        </w:numPr>
        <w:rPr>
          <w:szCs w:val="24"/>
        </w:rPr>
      </w:pPr>
      <w:r>
        <w:rPr>
          <w:szCs w:val="24"/>
        </w:rPr>
        <w:t>Interstate consultation</w:t>
      </w:r>
      <w:r w:rsidR="004C6E1E">
        <w:rPr>
          <w:szCs w:val="24"/>
        </w:rPr>
        <w:t xml:space="preserve"> with states</w:t>
      </w:r>
    </w:p>
    <w:p w:rsidR="00440C98" w:rsidRPr="00474CCA" w:rsidRDefault="00440C98" w:rsidP="00440C98">
      <w:pPr>
        <w:rPr>
          <w:szCs w:val="24"/>
        </w:rPr>
      </w:pPr>
    </w:p>
    <w:p w:rsidR="00440C98" w:rsidRDefault="00440C98" w:rsidP="00440C98">
      <w:pPr>
        <w:rPr>
          <w:szCs w:val="24"/>
        </w:rPr>
      </w:pPr>
      <w:r>
        <w:rPr>
          <w:szCs w:val="24"/>
        </w:rPr>
        <w:t xml:space="preserve">The first progress report must be in the form of </w:t>
      </w:r>
      <w:r w:rsidR="00532317">
        <w:rPr>
          <w:szCs w:val="24"/>
        </w:rPr>
        <w:t xml:space="preserve">an </w:t>
      </w:r>
      <w:r>
        <w:rPr>
          <w:szCs w:val="24"/>
        </w:rPr>
        <w:t>implementation plan revision that compl</w:t>
      </w:r>
      <w:r w:rsidR="00532317">
        <w:rPr>
          <w:szCs w:val="24"/>
        </w:rPr>
        <w:t>ies</w:t>
      </w:r>
      <w:r>
        <w:rPr>
          <w:szCs w:val="24"/>
        </w:rPr>
        <w:t xml:space="preserve"> with procedural requirements of 40 CFR 51.102 and 40 CFR 51.103.</w:t>
      </w:r>
      <w:r w:rsidRPr="00F53D72">
        <w:rPr>
          <w:szCs w:val="24"/>
        </w:rPr>
        <w:t xml:space="preserve"> The </w:t>
      </w:r>
      <w:r w:rsidR="0019097C">
        <w:rPr>
          <w:szCs w:val="24"/>
        </w:rPr>
        <w:t xml:space="preserve">report </w:t>
      </w:r>
      <w:r w:rsidR="00532317">
        <w:rPr>
          <w:szCs w:val="24"/>
        </w:rPr>
        <w:t>is</w:t>
      </w:r>
      <w:r w:rsidR="0019097C">
        <w:rPr>
          <w:szCs w:val="24"/>
        </w:rPr>
        <w:t xml:space="preserve"> due</w:t>
      </w:r>
      <w:r w:rsidRPr="00F53D72">
        <w:rPr>
          <w:szCs w:val="24"/>
        </w:rPr>
        <w:t xml:space="preserve"> </w:t>
      </w:r>
      <w:r w:rsidR="004C6E1E">
        <w:rPr>
          <w:szCs w:val="24"/>
        </w:rPr>
        <w:t>five</w:t>
      </w:r>
      <w:r w:rsidR="004C6E1E" w:rsidRPr="00F53D72">
        <w:rPr>
          <w:szCs w:val="24"/>
        </w:rPr>
        <w:t xml:space="preserve"> </w:t>
      </w:r>
      <w:r w:rsidRPr="00F53D72">
        <w:rPr>
          <w:szCs w:val="24"/>
        </w:rPr>
        <w:t xml:space="preserve">years after the initial </w:t>
      </w:r>
      <w:r>
        <w:rPr>
          <w:szCs w:val="24"/>
        </w:rPr>
        <w:t>r</w:t>
      </w:r>
      <w:r w:rsidRPr="00F53D72">
        <w:rPr>
          <w:szCs w:val="24"/>
        </w:rPr>
        <w:t xml:space="preserve">egional </w:t>
      </w:r>
      <w:r>
        <w:rPr>
          <w:szCs w:val="24"/>
        </w:rPr>
        <w:t>h</w:t>
      </w:r>
      <w:r w:rsidRPr="00F53D72">
        <w:rPr>
          <w:szCs w:val="24"/>
        </w:rPr>
        <w:t xml:space="preserve">aze </w:t>
      </w:r>
      <w:r>
        <w:rPr>
          <w:szCs w:val="24"/>
        </w:rPr>
        <w:t xml:space="preserve">plan </w:t>
      </w:r>
      <w:r w:rsidRPr="00F53D72">
        <w:rPr>
          <w:szCs w:val="24"/>
        </w:rPr>
        <w:t>submission.</w:t>
      </w:r>
    </w:p>
    <w:p w:rsidR="00532317" w:rsidRDefault="00532317" w:rsidP="00440C98">
      <w:pPr>
        <w:rPr>
          <w:b/>
          <w:szCs w:val="24"/>
        </w:rPr>
      </w:pPr>
    </w:p>
    <w:p w:rsidR="00050DC6" w:rsidRPr="00474CCA" w:rsidRDefault="00050DC6" w:rsidP="00050DC6">
      <w:pPr>
        <w:rPr>
          <w:b/>
          <w:szCs w:val="24"/>
        </w:rPr>
      </w:pPr>
      <w:r>
        <w:rPr>
          <w:b/>
          <w:szCs w:val="24"/>
          <w:lang w:val="en-CA"/>
        </w:rPr>
        <w:t>Develop and Submit Substantive Revisions to Regional Haze SIPs to Remedy EPA Disapprovals (may include the following):</w:t>
      </w:r>
    </w:p>
    <w:p w:rsidR="00050DC6" w:rsidRDefault="00050DC6" w:rsidP="00050DC6">
      <w:pPr>
        <w:ind w:left="720"/>
        <w:rPr>
          <w:szCs w:val="24"/>
        </w:rPr>
      </w:pPr>
    </w:p>
    <w:p w:rsidR="00247A8B" w:rsidRPr="00474CCA" w:rsidRDefault="00247A8B" w:rsidP="00050DC6">
      <w:pPr>
        <w:numPr>
          <w:ilvl w:val="0"/>
          <w:numId w:val="10"/>
        </w:numPr>
        <w:rPr>
          <w:szCs w:val="24"/>
        </w:rPr>
      </w:pPr>
      <w:r>
        <w:rPr>
          <w:szCs w:val="24"/>
        </w:rPr>
        <w:t>Conduct BART determinations</w:t>
      </w:r>
    </w:p>
    <w:p w:rsidR="00050DC6" w:rsidRPr="00474CCA" w:rsidRDefault="00050DC6" w:rsidP="00050DC6">
      <w:pPr>
        <w:numPr>
          <w:ilvl w:val="0"/>
          <w:numId w:val="10"/>
        </w:numPr>
        <w:rPr>
          <w:szCs w:val="24"/>
        </w:rPr>
      </w:pPr>
      <w:r w:rsidRPr="00474CCA">
        <w:rPr>
          <w:szCs w:val="24"/>
        </w:rPr>
        <w:t xml:space="preserve">Identify reasonable progress goals </w:t>
      </w:r>
    </w:p>
    <w:p w:rsidR="00050DC6" w:rsidRPr="00474CCA" w:rsidRDefault="00050DC6" w:rsidP="00050DC6">
      <w:pPr>
        <w:numPr>
          <w:ilvl w:val="0"/>
          <w:numId w:val="10"/>
        </w:numPr>
        <w:rPr>
          <w:szCs w:val="24"/>
        </w:rPr>
      </w:pPr>
      <w:r w:rsidRPr="00474CCA">
        <w:rPr>
          <w:szCs w:val="24"/>
        </w:rPr>
        <w:t>Develop long term strategies</w:t>
      </w:r>
    </w:p>
    <w:p w:rsidR="00050DC6" w:rsidRPr="00474CCA" w:rsidRDefault="00050DC6" w:rsidP="00050DC6">
      <w:pPr>
        <w:numPr>
          <w:ilvl w:val="0"/>
          <w:numId w:val="10"/>
        </w:numPr>
        <w:rPr>
          <w:szCs w:val="24"/>
        </w:rPr>
      </w:pPr>
      <w:r w:rsidRPr="00474CCA">
        <w:rPr>
          <w:szCs w:val="24"/>
        </w:rPr>
        <w:t>Submit monitoring strategy</w:t>
      </w:r>
    </w:p>
    <w:p w:rsidR="00050DC6" w:rsidRPr="00474CCA" w:rsidRDefault="00050DC6" w:rsidP="00050DC6">
      <w:pPr>
        <w:rPr>
          <w:szCs w:val="24"/>
        </w:rPr>
      </w:pPr>
    </w:p>
    <w:p w:rsidR="00050DC6" w:rsidRDefault="00050DC6" w:rsidP="00050DC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Louisiana</w:t>
      </w:r>
      <w:r w:rsidR="00477049">
        <w:rPr>
          <w:color w:val="000000"/>
        </w:rPr>
        <w:t>, Mississippi,</w:t>
      </w:r>
      <w:r>
        <w:rPr>
          <w:color w:val="000000"/>
        </w:rPr>
        <w:t xml:space="preserve"> and Arkansas are required to develop and submit substantive SIP revisions by June 2014. </w:t>
      </w:r>
    </w:p>
    <w:p w:rsidR="00050DC6" w:rsidRDefault="00050DC6" w:rsidP="00440C98">
      <w:pPr>
        <w:rPr>
          <w:b/>
          <w:szCs w:val="24"/>
        </w:rPr>
      </w:pPr>
    </w:p>
    <w:p w:rsidR="00532317" w:rsidRDefault="00532317" w:rsidP="00440C98">
      <w:pPr>
        <w:rPr>
          <w:b/>
          <w:szCs w:val="24"/>
        </w:rPr>
      </w:pPr>
      <w:r>
        <w:rPr>
          <w:b/>
          <w:szCs w:val="24"/>
        </w:rPr>
        <w:t>Revised SIPs to Remedy EPA’s Limited/Partial Disapproval of State Plans</w:t>
      </w:r>
    </w:p>
    <w:p w:rsidR="00532317" w:rsidRDefault="00532317" w:rsidP="00440C98">
      <w:pPr>
        <w:rPr>
          <w:b/>
          <w:szCs w:val="24"/>
        </w:rPr>
      </w:pPr>
    </w:p>
    <w:p w:rsidR="00790777" w:rsidRDefault="00050DC6" w:rsidP="00440C98">
      <w:pPr>
        <w:rPr>
          <w:color w:val="000000"/>
        </w:rPr>
      </w:pPr>
      <w:r w:rsidRPr="00050DC6">
        <w:rPr>
          <w:szCs w:val="24"/>
        </w:rPr>
        <w:t>The EPA</w:t>
      </w:r>
      <w:r>
        <w:rPr>
          <w:szCs w:val="24"/>
        </w:rPr>
        <w:t xml:space="preserve"> </w:t>
      </w:r>
      <w:r w:rsidR="0058067D">
        <w:rPr>
          <w:szCs w:val="24"/>
        </w:rPr>
        <w:t>published</w:t>
      </w:r>
      <w:r>
        <w:rPr>
          <w:szCs w:val="24"/>
        </w:rPr>
        <w:t xml:space="preserve"> a final rule on </w:t>
      </w:r>
      <w:r w:rsidR="0058067D">
        <w:rPr>
          <w:szCs w:val="24"/>
        </w:rPr>
        <w:t>June 7</w:t>
      </w:r>
      <w:r>
        <w:rPr>
          <w:szCs w:val="24"/>
        </w:rPr>
        <w:t>, 2012 (</w:t>
      </w:r>
      <w:r w:rsidR="00DA70A2">
        <w:rPr>
          <w:szCs w:val="24"/>
        </w:rPr>
        <w:t xml:space="preserve">77 </w:t>
      </w:r>
      <w:r>
        <w:rPr>
          <w:szCs w:val="24"/>
        </w:rPr>
        <w:t xml:space="preserve">FR </w:t>
      </w:r>
      <w:r w:rsidR="00DA70A2">
        <w:rPr>
          <w:szCs w:val="24"/>
        </w:rPr>
        <w:t>33642</w:t>
      </w:r>
      <w:r>
        <w:rPr>
          <w:szCs w:val="24"/>
        </w:rPr>
        <w:t xml:space="preserve">), revising rules that pertain to how states can meet specific requirements of the regional haze program. This final rule allows states participating in the Cross-State Air Pollution Rule to use that program in place of source-specific BART for sulfur dioxide and/or nitrogen oxide emissions from power plants that are subject to the regional haze rule. </w:t>
      </w:r>
      <w:r w:rsidR="00140792">
        <w:rPr>
          <w:szCs w:val="24"/>
        </w:rPr>
        <w:t>The EPA also finalized limited disapprovals of regional haze SIPs that have been submitted by</w:t>
      </w:r>
      <w:r w:rsidR="00913C20">
        <w:rPr>
          <w:szCs w:val="24"/>
        </w:rPr>
        <w:t>:</w:t>
      </w:r>
      <w:r>
        <w:rPr>
          <w:szCs w:val="24"/>
        </w:rPr>
        <w:t xml:space="preserve"> </w:t>
      </w:r>
      <w:r w:rsidR="00913C20">
        <w:rPr>
          <w:szCs w:val="24"/>
        </w:rPr>
        <w:t xml:space="preserve">Alabama, </w:t>
      </w:r>
      <w:r w:rsidR="00140792">
        <w:rPr>
          <w:color w:val="000000"/>
        </w:rPr>
        <w:t xml:space="preserve">Georgia, Indiana, Iowa, </w:t>
      </w:r>
      <w:r w:rsidR="00913C20">
        <w:rPr>
          <w:color w:val="000000"/>
        </w:rPr>
        <w:t xml:space="preserve">Louisiana, </w:t>
      </w:r>
      <w:r w:rsidR="00140792">
        <w:rPr>
          <w:color w:val="000000"/>
        </w:rPr>
        <w:t xml:space="preserve">Michigan, </w:t>
      </w:r>
      <w:r w:rsidR="00913C20">
        <w:rPr>
          <w:color w:val="000000"/>
        </w:rPr>
        <w:t xml:space="preserve">Mississippi, </w:t>
      </w:r>
      <w:r w:rsidR="00140792">
        <w:rPr>
          <w:color w:val="000000"/>
        </w:rPr>
        <w:t xml:space="preserve">Missouri, </w:t>
      </w:r>
      <w:r w:rsidR="00913C20">
        <w:rPr>
          <w:color w:val="000000"/>
        </w:rPr>
        <w:t xml:space="preserve">North Carolina, </w:t>
      </w:r>
      <w:r w:rsidR="00140792">
        <w:rPr>
          <w:color w:val="000000"/>
        </w:rPr>
        <w:t>Ohio, Pennsylvania, South Carolina, Virginia</w:t>
      </w:r>
      <w:r w:rsidR="00913C20">
        <w:rPr>
          <w:color w:val="000000"/>
        </w:rPr>
        <w:t xml:space="preserve">, </w:t>
      </w:r>
      <w:r w:rsidR="00140792">
        <w:rPr>
          <w:color w:val="000000"/>
        </w:rPr>
        <w:t xml:space="preserve">and </w:t>
      </w:r>
      <w:r w:rsidR="00913C20">
        <w:rPr>
          <w:color w:val="000000"/>
        </w:rPr>
        <w:t>Texas. The EPA also finalized FIPs to replace reliance on CAIR with reliance on CSAPR in the regional haze SIPs of: Georgia, Indiana, Iowa, Kentucky, Michigan, Missouri, Ohio, Pennsylvania, South Carolina, Tennessee, Virginia, and West Virginia.</w:t>
      </w:r>
    </w:p>
    <w:p w:rsidR="00E35136" w:rsidRDefault="00E35136" w:rsidP="00440C98">
      <w:pPr>
        <w:rPr>
          <w:color w:val="000000"/>
        </w:rPr>
      </w:pPr>
    </w:p>
    <w:p w:rsidR="00E35136" w:rsidRPr="00050DC6" w:rsidRDefault="00E35136" w:rsidP="00440C98">
      <w:pPr>
        <w:rPr>
          <w:szCs w:val="24"/>
        </w:rPr>
      </w:pPr>
      <w:r>
        <w:t xml:space="preserve">We assume that 12 states could elect to prepare and submit a SIP revision consisting of one paragraph to substitute a state plan in place of EPA’s FIP related to the Cross-State Air Pollution Rule as an alternative to BART. </w:t>
      </w:r>
      <w:r>
        <w:rPr>
          <w:color w:val="000000"/>
        </w:rPr>
        <w:t>Two states (Alabama and North Carolina) will be required to submit minor SIP revisions by June 2014.</w:t>
      </w:r>
    </w:p>
    <w:p w:rsidR="007623CD" w:rsidRDefault="007623CD" w:rsidP="009855D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A62C2" w:rsidRPr="006A62C2" w:rsidRDefault="006A62C2" w:rsidP="00440C98">
      <w:pPr>
        <w:rPr>
          <w:b/>
          <w:szCs w:val="24"/>
        </w:rPr>
      </w:pPr>
      <w:r w:rsidRPr="006A62C2">
        <w:rPr>
          <w:b/>
          <w:szCs w:val="24"/>
        </w:rPr>
        <w:t>Early Efforts for the 2018 Regional Haze SIP</w:t>
      </w:r>
    </w:p>
    <w:p w:rsidR="00440C98" w:rsidRPr="00474CCA" w:rsidRDefault="00440C98" w:rsidP="00440C98">
      <w:pPr>
        <w:rPr>
          <w:szCs w:val="24"/>
        </w:rPr>
      </w:pPr>
    </w:p>
    <w:p w:rsidR="00504564" w:rsidRDefault="00504564" w:rsidP="0050456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After</w:t>
      </w:r>
      <w:r w:rsidR="00155320">
        <w:t xml:space="preserve"> the</w:t>
      </w:r>
      <w:r>
        <w:t xml:space="preserve"> EPA’s action on the </w:t>
      </w:r>
      <w:r w:rsidR="004C6E1E">
        <w:t>initial regional haze SIPs</w:t>
      </w:r>
      <w:r>
        <w:t>, the states will be shifting their focus to development of interim progress reports required by the regional haze rule and to assessing whether revisions to th</w:t>
      </w:r>
      <w:r w:rsidR="004C6E1E">
        <w:t>e SIPs will be needed in 2018. Although, the EPA believes that most states will be working on their 5 year progress reports during the period of this ICR some states may elect to begin developing data sets and analyses to support the regional haze SIP revision due July 31, 2018.</w:t>
      </w:r>
    </w:p>
    <w:p w:rsidR="008869EA" w:rsidRDefault="008869EA" w:rsidP="00440C98">
      <w:pPr>
        <w:rPr>
          <w:b/>
          <w:color w:val="000000"/>
        </w:rPr>
      </w:pPr>
      <w:r>
        <w:rPr>
          <w:b/>
          <w:color w:val="000000"/>
        </w:rPr>
        <w:br w:type="page"/>
      </w:r>
    </w:p>
    <w:p w:rsidR="008869EA" w:rsidRDefault="00AA30E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96" w:lineRule="auto"/>
        <w:rPr>
          <w:b/>
          <w:color w:val="000000"/>
        </w:rPr>
      </w:pPr>
      <w:r w:rsidRPr="00AA30E0">
        <w:pict>
          <v:shape id="_x0000_s1055" type="#_x0000_t202" style="position:absolute;margin-left:-179.25pt;margin-top:-41.25pt;width:499.2pt;height:41.15pt;z-index:3;mso-wrap-distance-left:12pt;mso-wrap-distance-top:12pt;mso-wrap-distance-right:12pt;mso-wrap-distance-bottom:12pt;mso-position-horizontal-relative:margin" filled="f" stroked="f">
            <v:textbox style="mso-next-textbox:#_x0000_s1055" inset="0,0,6pt,6pt">
              <w:txbxContent>
                <w:p w:rsidR="004817C3" w:rsidRDefault="004817C3" w:rsidP="004E2C4B">
                  <w:pPr>
                    <w:ind w:left="720" w:hanging="720"/>
                  </w:pPr>
                  <w:r>
                    <w:rPr>
                      <w:rFonts w:ascii="Arial" w:hAnsi="Arial"/>
                      <w:b/>
                    </w:rPr>
                    <w:t>5</w:t>
                  </w:r>
                  <w:r>
                    <w:rPr>
                      <w:rFonts w:ascii="Arial" w:hAnsi="Arial"/>
                      <w:b/>
                    </w:rPr>
                    <w:tab/>
                    <w:t xml:space="preserve">The Information Collected - </w:t>
                  </w:r>
                  <w:r>
                    <w:rPr>
                      <w:rFonts w:ascii="Arial" w:hAnsi="Arial" w:cs="Arial"/>
                      <w:b/>
                      <w:bCs/>
                      <w:szCs w:val="24"/>
                    </w:rPr>
                    <w:t>Agency Activities, Collection Methodologies, and Information Managemen</w:t>
                  </w:r>
                  <w:r>
                    <w:rPr>
                      <w:rFonts w:ascii="Arial" w:hAnsi="Arial"/>
                      <w:b/>
                    </w:rPr>
                    <w:t>t</w:t>
                  </w:r>
                </w:p>
              </w:txbxContent>
            </v:textbox>
            <w10:wrap anchorx="margin"/>
          </v:shape>
        </w:pict>
      </w:r>
    </w:p>
    <w:p w:rsidR="00E11C01" w:rsidRPr="00E11C01" w:rsidRDefault="00AA30E0" w:rsidP="00E11C01">
      <w:pPr>
        <w:rPr>
          <w:b/>
          <w:szCs w:val="24"/>
          <w:lang w:val="en-CA"/>
        </w:rPr>
      </w:pPr>
      <w:r w:rsidRPr="00AA30E0">
        <w:rPr>
          <w:noProof/>
        </w:rPr>
        <w:pict>
          <v:shape id="_x0000_s1123" type="#_x0000_t202" style="position:absolute;margin-left:-180pt;margin-top:1.6pt;width:112.3pt;height:33.05pt;z-index:16;mso-position-horizontal-relative:margin" filled="f" stroked="f">
            <v:textbox style="mso-next-textbox:#_x0000_s1123" inset="0,0">
              <w:txbxContent>
                <w:p w:rsidR="004817C3" w:rsidRPr="00AC4859" w:rsidRDefault="004817C3" w:rsidP="00AC4859">
                  <w:pPr>
                    <w:ind w:left="720" w:hanging="720"/>
                    <w:rPr>
                      <w:rFonts w:ascii="Arial" w:hAnsi="Arial" w:cs="Arial"/>
                      <w:b/>
                    </w:rPr>
                  </w:pPr>
                  <w:r>
                    <w:rPr>
                      <w:rFonts w:ascii="Arial" w:hAnsi="Arial" w:cs="Arial"/>
                      <w:b/>
                    </w:rPr>
                    <w:t>5.1</w:t>
                  </w:r>
                  <w:r>
                    <w:rPr>
                      <w:rFonts w:ascii="Arial" w:hAnsi="Arial" w:cs="Arial"/>
                      <w:b/>
                    </w:rPr>
                    <w:tab/>
                    <w:t>Agency Activities</w:t>
                  </w:r>
                </w:p>
              </w:txbxContent>
            </v:textbox>
            <w10:wrap anchorx="margin"/>
          </v:shape>
        </w:pict>
      </w:r>
      <w:r w:rsidR="00C81331">
        <w:rPr>
          <w:b/>
          <w:szCs w:val="24"/>
        </w:rPr>
        <w:t xml:space="preserve">EPA. </w:t>
      </w:r>
      <w:r w:rsidR="00D96172">
        <w:rPr>
          <w:szCs w:val="24"/>
        </w:rPr>
        <w:t xml:space="preserve">Each EPA regional office is responsible for reviewing and approving the SIPs and </w:t>
      </w:r>
      <w:r w:rsidR="000E0649">
        <w:rPr>
          <w:szCs w:val="24"/>
        </w:rPr>
        <w:t xml:space="preserve">developing and </w:t>
      </w:r>
      <w:r w:rsidR="00D96172">
        <w:rPr>
          <w:szCs w:val="24"/>
        </w:rPr>
        <w:t xml:space="preserve">promulgating FIPs when necessary. For this ICR renewal period, </w:t>
      </w:r>
      <w:r w:rsidR="006601C4">
        <w:rPr>
          <w:szCs w:val="24"/>
        </w:rPr>
        <w:t xml:space="preserve">the </w:t>
      </w:r>
      <w:r w:rsidR="00D96172">
        <w:rPr>
          <w:szCs w:val="24"/>
        </w:rPr>
        <w:t xml:space="preserve">EPA will primarily be reviewing the SIP revisions required under </w:t>
      </w:r>
      <w:r w:rsidR="00790777">
        <w:rPr>
          <w:szCs w:val="24"/>
        </w:rPr>
        <w:t>CFR 51.</w:t>
      </w:r>
      <w:r w:rsidR="00D96172">
        <w:rPr>
          <w:szCs w:val="24"/>
        </w:rPr>
        <w:t>308(g)</w:t>
      </w:r>
      <w:r w:rsidR="00B1229D">
        <w:rPr>
          <w:szCs w:val="24"/>
        </w:rPr>
        <w:t xml:space="preserve"> and </w:t>
      </w:r>
      <w:r w:rsidR="00790777">
        <w:rPr>
          <w:szCs w:val="24"/>
        </w:rPr>
        <w:t>51.</w:t>
      </w:r>
      <w:r w:rsidR="00B1229D">
        <w:rPr>
          <w:szCs w:val="24"/>
        </w:rPr>
        <w:t>309(d)(10)</w:t>
      </w:r>
      <w:r w:rsidR="00D96172">
        <w:rPr>
          <w:szCs w:val="24"/>
        </w:rPr>
        <w:t xml:space="preserve">, which are the periodic progress reports. The </w:t>
      </w:r>
      <w:r w:rsidR="000E0649">
        <w:rPr>
          <w:szCs w:val="24"/>
        </w:rPr>
        <w:t xml:space="preserve">ten </w:t>
      </w:r>
      <w:r w:rsidR="00D96172">
        <w:rPr>
          <w:szCs w:val="24"/>
        </w:rPr>
        <w:t xml:space="preserve">EPA regional offices </w:t>
      </w:r>
      <w:r w:rsidR="000E0649">
        <w:rPr>
          <w:szCs w:val="24"/>
        </w:rPr>
        <w:t xml:space="preserve">and </w:t>
      </w:r>
      <w:r w:rsidR="00D96172">
        <w:rPr>
          <w:szCs w:val="24"/>
        </w:rPr>
        <w:t>the EPA headquarters offices will provide direction and facilitate resolution of major issues, and deliver data, tools, and training to the states as needed.</w:t>
      </w:r>
      <w:r w:rsidR="00E11C01">
        <w:rPr>
          <w:szCs w:val="24"/>
        </w:rPr>
        <w:t xml:space="preserve"> </w:t>
      </w:r>
      <w:r w:rsidR="00E11C01">
        <w:rPr>
          <w:szCs w:val="24"/>
          <w:lang w:val="en-CA"/>
        </w:rPr>
        <w:t>Each regional office must address public comments before approving the SIPs or promulgating FIPs.</w:t>
      </w:r>
    </w:p>
    <w:p w:rsidR="00D96172" w:rsidRDefault="00D96172" w:rsidP="00C81331">
      <w:pPr>
        <w:rPr>
          <w:szCs w:val="24"/>
        </w:rPr>
      </w:pPr>
    </w:p>
    <w:p w:rsidR="00D96172" w:rsidRDefault="00D96172" w:rsidP="00C81331">
      <w:pPr>
        <w:rPr>
          <w:szCs w:val="24"/>
        </w:rPr>
      </w:pPr>
      <w:r w:rsidRPr="00E11C01">
        <w:rPr>
          <w:b/>
          <w:szCs w:val="24"/>
        </w:rPr>
        <w:t>FLMs.</w:t>
      </w:r>
      <w:r>
        <w:rPr>
          <w:szCs w:val="24"/>
        </w:rPr>
        <w:t xml:space="preserve"> The FLMs will be reviewing the </w:t>
      </w:r>
      <w:r w:rsidR="000E0649">
        <w:rPr>
          <w:szCs w:val="24"/>
        </w:rPr>
        <w:t>5-year progress report</w:t>
      </w:r>
      <w:r w:rsidR="004C6E1E">
        <w:rPr>
          <w:szCs w:val="24"/>
        </w:rPr>
        <w:t>, the substantive regional haze SIP revisions,</w:t>
      </w:r>
      <w:r>
        <w:rPr>
          <w:szCs w:val="24"/>
        </w:rPr>
        <w:t xml:space="preserve"> and offering comments </w:t>
      </w:r>
      <w:r w:rsidR="000E0649">
        <w:rPr>
          <w:szCs w:val="24"/>
        </w:rPr>
        <w:t>to the states in fulfillment of the requirement</w:t>
      </w:r>
      <w:r w:rsidR="00790777">
        <w:rPr>
          <w:szCs w:val="24"/>
        </w:rPr>
        <w:t xml:space="preserve"> under </w:t>
      </w:r>
      <w:r w:rsidR="000E0649">
        <w:rPr>
          <w:szCs w:val="24"/>
        </w:rPr>
        <w:t xml:space="preserve"> </w:t>
      </w:r>
      <w:r w:rsidR="00790777">
        <w:rPr>
          <w:szCs w:val="24"/>
        </w:rPr>
        <w:t xml:space="preserve">CFR 51.308 (i)(4) </w:t>
      </w:r>
      <w:r w:rsidR="000E0649">
        <w:rPr>
          <w:szCs w:val="24"/>
        </w:rPr>
        <w:t xml:space="preserve">for the states to coordinate their regional haze efforts with the FLMs. </w:t>
      </w:r>
    </w:p>
    <w:p w:rsidR="003A5D7B" w:rsidRDefault="003A5D7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869EA" w:rsidRDefault="00AA30E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A30E0">
        <w:pict>
          <v:shape id="_x0000_s1057" type="#_x0000_t202" style="position:absolute;margin-left:-180pt;margin-top:1.6pt;width:132.6pt;height:75.65pt;z-index:4;mso-wrap-distance-left:12pt;mso-wrap-distance-top:12pt;mso-wrap-distance-right:12pt;mso-wrap-distance-bottom:12pt;mso-position-horizontal-relative:margin" filled="f" stroked="f">
            <v:textbox style="mso-next-textbox:#_x0000_s1057" inset="0,0,6pt,6pt">
              <w:txbxContent>
                <w:p w:rsidR="004817C3" w:rsidRDefault="004817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5.2</w:t>
                  </w:r>
                  <w:r>
                    <w:rPr>
                      <w:rFonts w:ascii="Arial" w:hAnsi="Arial"/>
                      <w:b/>
                    </w:rPr>
                    <w:tab/>
                    <w:t xml:space="preserve">Collection </w:t>
                  </w:r>
                </w:p>
                <w:p w:rsidR="004817C3" w:rsidRDefault="004817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Methodology</w:t>
                  </w:r>
                </w:p>
                <w:p w:rsidR="004817C3" w:rsidRDefault="004817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and</w:t>
                  </w:r>
                </w:p>
                <w:p w:rsidR="004817C3" w:rsidRDefault="004817C3">
                  <w:r>
                    <w:rPr>
                      <w:rFonts w:ascii="Arial" w:hAnsi="Arial"/>
                      <w:b/>
                    </w:rPr>
                    <w:tab/>
                    <w:t>Management</w:t>
                  </w:r>
                </w:p>
              </w:txbxContent>
            </v:textbox>
            <w10:wrap type="square" side="largest" anchorx="margin"/>
          </v:shape>
        </w:pict>
      </w:r>
      <w:r w:rsidR="008869EA">
        <w:rPr>
          <w:color w:val="000000"/>
        </w:rPr>
        <w:t xml:space="preserve">This section discusses the development of burden estimates and their conversion into costs, which are separated into burden costs and capital and O&amp;M costs. </w:t>
      </w:r>
      <w:r w:rsidR="009F3B2A">
        <w:rPr>
          <w:color w:val="000000"/>
        </w:rPr>
        <w:t>C</w:t>
      </w:r>
      <w:r w:rsidR="008869EA">
        <w:rPr>
          <w:color w:val="000000"/>
        </w:rPr>
        <w:t xml:space="preserve">apital and O&amp;M costs display the cost of any new capital equipment the </w:t>
      </w:r>
      <w:r w:rsidR="001636E9">
        <w:rPr>
          <w:color w:val="000000"/>
        </w:rPr>
        <w:t>respondent</w:t>
      </w:r>
      <w:r w:rsidR="008869EA">
        <w:rPr>
          <w:color w:val="000000"/>
        </w:rPr>
        <w:t xml:space="preserve"> may have to purchase solely for information collection, assimilation, and storage purposes. For example, if a source had to purchase a new mini-computer to store and manipulate data, that computer would be a cost of administration subject to reporting in the ICR. In addition, the latest guidance instructs the Agency to differentiate the burden associated with a source’s labor and that which it hires through outside contractors. To the extent a source contracts out for administrative purposes (e.g., employing consultants to perform </w:t>
      </w:r>
      <w:r w:rsidR="0045792D">
        <w:rPr>
          <w:color w:val="000000"/>
        </w:rPr>
        <w:t>visibility modeling</w:t>
      </w:r>
      <w:r w:rsidR="008869EA">
        <w:rPr>
          <w:color w:val="000000"/>
        </w:rPr>
        <w:t>), the burden associated with those contracted tasks are not a burden to the source - but they still remain a cost. The reader should read this section with the following considerations in mind:</w:t>
      </w: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869EA" w:rsidRPr="0043339F" w:rsidRDefault="008869EA" w:rsidP="0043339F">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43339F">
        <w:rPr>
          <w:szCs w:val="24"/>
        </w:rPr>
        <w:t>The Agency believes the time necessary to perform a task is independen</w:t>
      </w:r>
      <w:r w:rsidR="00545E04">
        <w:rPr>
          <w:szCs w:val="24"/>
        </w:rPr>
        <w:t xml:space="preserve">t of the origins of its labor. </w:t>
      </w:r>
      <w:r w:rsidR="004C7698">
        <w:rPr>
          <w:szCs w:val="24"/>
        </w:rPr>
        <w:t>For example</w:t>
      </w:r>
      <w:r w:rsidRPr="0043339F">
        <w:rPr>
          <w:szCs w:val="24"/>
        </w:rPr>
        <w:t xml:space="preserve">, if a source would employ </w:t>
      </w:r>
      <w:r w:rsidR="001E59F2" w:rsidRPr="0043339F">
        <w:rPr>
          <w:szCs w:val="24"/>
        </w:rPr>
        <w:t>20</w:t>
      </w:r>
      <w:r w:rsidRPr="0043339F">
        <w:rPr>
          <w:szCs w:val="24"/>
        </w:rPr>
        <w:t xml:space="preserve"> hours of burden to fully perform a function, then a contractor hired by the source would also take </w:t>
      </w:r>
      <w:r w:rsidR="001E59F2" w:rsidRPr="0043339F">
        <w:rPr>
          <w:szCs w:val="24"/>
        </w:rPr>
        <w:t>20</w:t>
      </w:r>
      <w:r w:rsidRPr="0043339F">
        <w:rPr>
          <w:szCs w:val="24"/>
        </w:rPr>
        <w:t xml:space="preserve"> hours to perform that same task. Furthermore, the Agency assumes no economies or diseconomies of scale. The linear combination of any amount of contractor and source effort will also sum to </w:t>
      </w:r>
      <w:r w:rsidR="001E59F2" w:rsidRPr="0043339F">
        <w:rPr>
          <w:szCs w:val="24"/>
        </w:rPr>
        <w:t>20</w:t>
      </w:r>
      <w:r w:rsidR="004C7698">
        <w:rPr>
          <w:szCs w:val="24"/>
        </w:rPr>
        <w:t xml:space="preserve"> hours</w:t>
      </w:r>
      <w:r w:rsidRPr="0043339F">
        <w:rPr>
          <w:szCs w:val="24"/>
        </w:rPr>
        <w:t xml:space="preserve">. Therefore, the burden estimates in this ICR act as an accurate assessment of the total burden to </w:t>
      </w:r>
      <w:r w:rsidR="001636E9" w:rsidRPr="0043339F">
        <w:rPr>
          <w:szCs w:val="24"/>
        </w:rPr>
        <w:t>respondents</w:t>
      </w:r>
      <w:r w:rsidRPr="0043339F">
        <w:rPr>
          <w:szCs w:val="24"/>
        </w:rPr>
        <w:t>.</w:t>
      </w:r>
    </w:p>
    <w:p w:rsidR="008869EA" w:rsidRDefault="008869EA" w:rsidP="0043339F">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43339F">
        <w:rPr>
          <w:szCs w:val="24"/>
        </w:rPr>
        <w:t xml:space="preserve">For some burden categories, the Agency believes the hours assigned to them will be divided between the source and outside contractors.  For these categories, the Agency established a composite cost per hour by developing a weighted average of the source and contractor wages, with the weight defined by the percentage of total effort </w:t>
      </w:r>
      <w:r w:rsidRPr="0043339F">
        <w:rPr>
          <w:szCs w:val="24"/>
        </w:rPr>
        <w:lastRenderedPageBreak/>
        <w:t>each burden source applied. Consequently, the cost developed in this ICR should be interpreted as an upper bound on the actual cost of administration by the source. The methodology for determining cost per hour can be found in greater detail in section 6.2, below.</w:t>
      </w:r>
    </w:p>
    <w:p w:rsidR="004C7698" w:rsidRPr="009942C3" w:rsidRDefault="004C7698" w:rsidP="0043339F">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While this ICR renewal estimates burden to federal and state agencies, it does not include costs estimates to the industrial sources. This is because the effort for this ICR renewal period, October 31, 2012 through October 31, 2015 mainly involves preparation and review of the progress reports required under </w:t>
      </w:r>
      <w:r w:rsidR="00426EBF">
        <w:rPr>
          <w:szCs w:val="24"/>
        </w:rPr>
        <w:t>CFR 51.</w:t>
      </w:r>
      <w:r w:rsidRPr="009942C3">
        <w:rPr>
          <w:szCs w:val="24"/>
        </w:rPr>
        <w:t xml:space="preserve">308(g) </w:t>
      </w:r>
      <w:r w:rsidR="002E7E2C" w:rsidRPr="009942C3">
        <w:rPr>
          <w:szCs w:val="24"/>
        </w:rPr>
        <w:t xml:space="preserve">and </w:t>
      </w:r>
      <w:r w:rsidR="00426EBF">
        <w:rPr>
          <w:szCs w:val="24"/>
        </w:rPr>
        <w:t>51.</w:t>
      </w:r>
      <w:r w:rsidR="002E7E2C" w:rsidRPr="009942C3">
        <w:rPr>
          <w:szCs w:val="24"/>
        </w:rPr>
        <w:t xml:space="preserve">309(d)(10) </w:t>
      </w:r>
      <w:r w:rsidRPr="009942C3">
        <w:rPr>
          <w:szCs w:val="24"/>
        </w:rPr>
        <w:t>of the regional haze rule. Sources, for the most part, will not be involved in preparation of these reports.</w:t>
      </w:r>
    </w:p>
    <w:p w:rsidR="00790B8B" w:rsidRPr="009942C3" w:rsidRDefault="00790B8B" w:rsidP="001636E9"/>
    <w:p w:rsidR="001636E9" w:rsidRPr="0076047E" w:rsidRDefault="001636E9" w:rsidP="001636E9">
      <w:r w:rsidRPr="009942C3">
        <w:t>The implementation plan</w:t>
      </w:r>
      <w:r w:rsidR="00FA0886">
        <w:t xml:space="preserve"> revisions</w:t>
      </w:r>
      <w:r w:rsidRPr="009942C3">
        <w:t xml:space="preserve"> prepared by </w:t>
      </w:r>
      <w:r w:rsidR="00790B8B" w:rsidRPr="009942C3">
        <w:t xml:space="preserve">the </w:t>
      </w:r>
      <w:r w:rsidR="000C1EE9" w:rsidRPr="009942C3">
        <w:t>s</w:t>
      </w:r>
      <w:r w:rsidRPr="009942C3">
        <w:t xml:space="preserve">tates </w:t>
      </w:r>
      <w:r w:rsidR="00790B8B" w:rsidRPr="009942C3">
        <w:t>are periodic progress reports</w:t>
      </w:r>
      <w:r w:rsidR="002902A4" w:rsidRPr="009942C3">
        <w:t xml:space="preserve"> which are due five years after the state submits its </w:t>
      </w:r>
      <w:r w:rsidR="00D90C1F" w:rsidRPr="009942C3">
        <w:t xml:space="preserve">comprehensive regional haze </w:t>
      </w:r>
      <w:r w:rsidR="002902A4" w:rsidRPr="009942C3">
        <w:t>SIP</w:t>
      </w:r>
      <w:r w:rsidRPr="009942C3">
        <w:t xml:space="preserve">. The plans must </w:t>
      </w:r>
      <w:r w:rsidR="00790B8B" w:rsidRPr="009942C3">
        <w:t xml:space="preserve">at a minimum </w:t>
      </w:r>
      <w:r w:rsidRPr="009942C3">
        <w:t>include the following elements</w:t>
      </w:r>
      <w:r w:rsidRPr="0076047E">
        <w:t>:</w:t>
      </w:r>
    </w:p>
    <w:p w:rsidR="001636E9" w:rsidRPr="0076047E" w:rsidRDefault="001636E9" w:rsidP="001636E9"/>
    <w:p w:rsidR="001636E9" w:rsidRPr="0076047E" w:rsidRDefault="00790B8B" w:rsidP="001636E9">
      <w:pPr>
        <w:numPr>
          <w:ilvl w:val="0"/>
          <w:numId w:val="12"/>
        </w:numPr>
      </w:pPr>
      <w:r w:rsidRPr="0076047E">
        <w:t>A description of the status of all measures included in the regional haze implementation plan for achieving reasonable progress.</w:t>
      </w:r>
    </w:p>
    <w:p w:rsidR="001636E9" w:rsidRPr="0076047E" w:rsidRDefault="00790B8B" w:rsidP="001636E9">
      <w:pPr>
        <w:numPr>
          <w:ilvl w:val="0"/>
          <w:numId w:val="12"/>
        </w:numPr>
      </w:pPr>
      <w:r w:rsidRPr="0076047E">
        <w:t>A summary of the emissions reductions achieved throughout the state through implementation of the measures.</w:t>
      </w:r>
    </w:p>
    <w:p w:rsidR="001636E9" w:rsidRPr="0076047E" w:rsidRDefault="002902A4" w:rsidP="001636E9">
      <w:pPr>
        <w:numPr>
          <w:ilvl w:val="0"/>
          <w:numId w:val="12"/>
        </w:numPr>
      </w:pPr>
      <w:r>
        <w:t xml:space="preserve">An assessment of </w:t>
      </w:r>
      <w:r w:rsidR="00790B8B" w:rsidRPr="0076047E">
        <w:t>the following visibility conditions and changes for each mandatory Class 1 Federal area within the state</w:t>
      </w:r>
      <w:r w:rsidR="00FD0744" w:rsidRPr="0076047E">
        <w:t xml:space="preserve"> with values for most impaired and least impaired days expressed in terms of 5-year averages of the annual values</w:t>
      </w:r>
      <w:r>
        <w:t>: current visibility conditions for the most impaired and least impaired days; the difference between current visibility conditions for the most impaired and least impaired days and baseline visibility conditions; and the change in visibility impairment for the most impaired and least impaired days over the past 5 years</w:t>
      </w:r>
      <w:r w:rsidR="001636E9" w:rsidRPr="0076047E">
        <w:t>.</w:t>
      </w:r>
    </w:p>
    <w:p w:rsidR="00BF0836" w:rsidRPr="0076047E" w:rsidRDefault="001636E9" w:rsidP="001636E9">
      <w:pPr>
        <w:numPr>
          <w:ilvl w:val="0"/>
          <w:numId w:val="12"/>
        </w:numPr>
        <w:tabs>
          <w:tab w:val="left" w:pos="720"/>
        </w:tabs>
        <w:rPr>
          <w:szCs w:val="24"/>
        </w:rPr>
      </w:pPr>
      <w:r w:rsidRPr="0076047E">
        <w:t>A</w:t>
      </w:r>
      <w:r w:rsidR="00FD0744" w:rsidRPr="0076047E">
        <w:t>n analysis tracking the change over the past 5 years in emissions of pollutants contributing to visibility impairment from all sources and activities within the state</w:t>
      </w:r>
      <w:r w:rsidRPr="0076047E">
        <w:t>.</w:t>
      </w:r>
    </w:p>
    <w:p w:rsidR="00FD0744" w:rsidRPr="0076047E" w:rsidRDefault="00FD0744" w:rsidP="001636E9">
      <w:pPr>
        <w:numPr>
          <w:ilvl w:val="0"/>
          <w:numId w:val="12"/>
        </w:numPr>
        <w:tabs>
          <w:tab w:val="left" w:pos="720"/>
        </w:tabs>
        <w:rPr>
          <w:szCs w:val="24"/>
        </w:rPr>
      </w:pPr>
      <w:r w:rsidRPr="0076047E">
        <w:t>An assessment of any significant changes in anthropogenic emissions within or outside the state that have occurred over the past 5 years</w:t>
      </w:r>
      <w:r w:rsidR="002902A4">
        <w:t xml:space="preserve"> that have limited or impeded progress in reducing pollutant emissions and improving visibility</w:t>
      </w:r>
      <w:r w:rsidRPr="0076047E">
        <w:t>.</w:t>
      </w:r>
    </w:p>
    <w:p w:rsidR="00FD0744" w:rsidRPr="0076047E" w:rsidRDefault="00FD0744" w:rsidP="001636E9">
      <w:pPr>
        <w:numPr>
          <w:ilvl w:val="0"/>
          <w:numId w:val="12"/>
        </w:numPr>
        <w:tabs>
          <w:tab w:val="left" w:pos="720"/>
        </w:tabs>
        <w:rPr>
          <w:szCs w:val="24"/>
        </w:rPr>
      </w:pPr>
      <w:r w:rsidRPr="0076047E">
        <w:t>An assessment of whether the current regional haze implementation plan elements and strategies are sufficient to enable the state, or other states with mandatory Class 1 Federal areas affected by emissions from the state, to meet all established reasonable progress goals.</w:t>
      </w:r>
    </w:p>
    <w:p w:rsidR="001636E9" w:rsidRPr="009942C3" w:rsidRDefault="0076047E" w:rsidP="001636E9">
      <w:pPr>
        <w:numPr>
          <w:ilvl w:val="0"/>
          <w:numId w:val="12"/>
        </w:numPr>
        <w:tabs>
          <w:tab w:val="left" w:pos="720"/>
        </w:tabs>
        <w:rPr>
          <w:szCs w:val="24"/>
        </w:rPr>
      </w:pPr>
      <w:r>
        <w:t>A</w:t>
      </w:r>
      <w:r w:rsidRPr="0076047E">
        <w:t xml:space="preserve"> </w:t>
      </w:r>
      <w:r w:rsidR="00FD0744" w:rsidRPr="009942C3">
        <w:t>review of the state’s visibility monitoring strategy and any modifications to the strategy as necessary</w:t>
      </w:r>
      <w:r w:rsidR="001636E9" w:rsidRPr="009942C3">
        <w:t>.</w:t>
      </w:r>
    </w:p>
    <w:p w:rsidR="000E3F20" w:rsidRPr="009942C3" w:rsidRDefault="000E3F20" w:rsidP="001636E9">
      <w:pPr>
        <w:numPr>
          <w:ilvl w:val="0"/>
          <w:numId w:val="12"/>
        </w:numPr>
        <w:tabs>
          <w:tab w:val="left" w:pos="720"/>
        </w:tabs>
        <w:rPr>
          <w:szCs w:val="24"/>
        </w:rPr>
      </w:pPr>
      <w:r w:rsidRPr="009942C3">
        <w:lastRenderedPageBreak/>
        <w:t>Other elements, including reporting, record keeping, and other measures, necessary to assess and report on visibility.</w:t>
      </w:r>
    </w:p>
    <w:p w:rsidR="001636E9" w:rsidRPr="009942C3" w:rsidRDefault="001636E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1D3E" w:rsidRPr="00944C96" w:rsidRDefault="00AA30E0" w:rsidP="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A30E0">
        <w:pict>
          <v:shape id="_x0000_s1085" type="#_x0000_t202" style="position:absolute;margin-left:-180pt;margin-top:11.5pt;width:132.6pt;height:41.35pt;z-index:12;mso-wrap-distance-left:12pt;mso-wrap-distance-top:12pt;mso-wrap-distance-right:12pt;mso-wrap-distance-bottom:12pt;mso-position-horizontal-relative:margin" filled="f" stroked="f">
            <v:textbox style="mso-next-textbox:#_x0000_s1085" inset="0,0,6pt,6pt">
              <w:txbxContent>
                <w:p w:rsidR="004817C3" w:rsidRDefault="004817C3"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5.3</w:t>
                  </w:r>
                  <w:r>
                    <w:rPr>
                      <w:rFonts w:ascii="Arial" w:hAnsi="Arial"/>
                      <w:b/>
                    </w:rPr>
                    <w:tab/>
                    <w:t>Small Entity</w:t>
                  </w:r>
                </w:p>
                <w:p w:rsidR="004817C3" w:rsidRDefault="004817C3">
                  <w:r>
                    <w:rPr>
                      <w:rFonts w:ascii="Arial" w:hAnsi="Arial"/>
                      <w:b/>
                    </w:rPr>
                    <w:tab/>
                    <w:t>Flexibility</w:t>
                  </w:r>
                </w:p>
              </w:txbxContent>
            </v:textbox>
            <w10:wrap type="square" side="largest" anchorx="margin"/>
          </v:shape>
        </w:pict>
      </w:r>
    </w:p>
    <w:p w:rsidR="004D1D3E" w:rsidRPr="00944C96" w:rsidRDefault="004D1D3E" w:rsidP="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944C96">
        <w:rPr>
          <w:color w:val="000000"/>
        </w:rPr>
        <w:t>The Regulatory Flexibility Act (RFA) requires regulatory agencies, upon regulatory action, to assess that action</w:t>
      </w:r>
      <w:r w:rsidR="00900496">
        <w:rPr>
          <w:color w:val="000000"/>
        </w:rPr>
        <w:t>’</w:t>
      </w:r>
      <w:r w:rsidRPr="00944C96">
        <w:rPr>
          <w:color w:val="000000"/>
        </w:rPr>
        <w:t xml:space="preserve">s potential impact on small entities (businesses, governments, and small non-governmental organizations) and report the results of the assessments in (1) an Initial Regulatory Flexibility Analysis (IRFA), (2) a Final Regulatory Flexibility Analysis (FRFA), and (3) a Certification. For ICR approval, the Agency must demonstrate that it "has taken all practicable steps to develop separate and simplified requirements for small businesses and other small entities" (5 CFR 1320.6(h)). In addition, the agencies must assure through various mechanisms that small entities are given an opportunity to participate in the rulemaking process. </w:t>
      </w:r>
    </w:p>
    <w:p w:rsidR="004D1D3E" w:rsidRPr="00944C96" w:rsidRDefault="004D1D3E" w:rsidP="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C42B3" w:rsidRDefault="00C8779B" w:rsidP="003C42B3">
      <w:pPr>
        <w:autoSpaceDE w:val="0"/>
        <w:autoSpaceDN w:val="0"/>
        <w:adjustRightInd w:val="0"/>
        <w:rPr>
          <w:rFonts w:ascii="CourierNewPSMT" w:hAnsi="CourierNewPSMT" w:cs="CourierNewPSMT"/>
        </w:rPr>
      </w:pPr>
      <w:r>
        <w:rPr>
          <w:color w:val="000000"/>
        </w:rPr>
        <w:t xml:space="preserve">The </w:t>
      </w:r>
      <w:r w:rsidR="002773B6" w:rsidRPr="002773B6">
        <w:rPr>
          <w:color w:val="000000"/>
        </w:rPr>
        <w:t>E</w:t>
      </w:r>
      <w:r w:rsidR="003C42B3" w:rsidRPr="002773B6">
        <w:rPr>
          <w:color w:val="000000"/>
        </w:rPr>
        <w:t>PA determined</w:t>
      </w:r>
      <w:r w:rsidR="002773B6" w:rsidRPr="002773B6">
        <w:rPr>
          <w:color w:val="000000"/>
        </w:rPr>
        <w:t xml:space="preserve"> </w:t>
      </w:r>
      <w:r w:rsidR="003C42B3" w:rsidRPr="002773B6">
        <w:rPr>
          <w:color w:val="000000"/>
        </w:rPr>
        <w:t xml:space="preserve">that it </w:t>
      </w:r>
      <w:r w:rsidR="00B47070" w:rsidRPr="002773B6">
        <w:rPr>
          <w:color w:val="000000"/>
        </w:rPr>
        <w:t xml:space="preserve">was </w:t>
      </w:r>
      <w:r w:rsidR="003C42B3" w:rsidRPr="002773B6">
        <w:rPr>
          <w:color w:val="000000"/>
        </w:rPr>
        <w:t xml:space="preserve">not necessary to prepare a regulatory flexibility analysis in connection with the </w:t>
      </w:r>
      <w:r w:rsidR="009E64DD" w:rsidRPr="002773B6">
        <w:rPr>
          <w:color w:val="000000"/>
        </w:rPr>
        <w:t>r</w:t>
      </w:r>
      <w:r w:rsidR="003C42B3" w:rsidRPr="002773B6">
        <w:rPr>
          <w:color w:val="000000"/>
        </w:rPr>
        <w:t xml:space="preserve">egional </w:t>
      </w:r>
      <w:r w:rsidR="009E64DD" w:rsidRPr="002773B6">
        <w:rPr>
          <w:color w:val="000000"/>
        </w:rPr>
        <w:t>h</w:t>
      </w:r>
      <w:r w:rsidR="003C42B3" w:rsidRPr="002773B6">
        <w:rPr>
          <w:color w:val="000000"/>
        </w:rPr>
        <w:t xml:space="preserve">aze </w:t>
      </w:r>
      <w:r w:rsidR="009E64DD" w:rsidRPr="002773B6">
        <w:rPr>
          <w:color w:val="000000"/>
        </w:rPr>
        <w:t>r</w:t>
      </w:r>
      <w:r w:rsidR="003C42B3" w:rsidRPr="002773B6">
        <w:rPr>
          <w:color w:val="000000"/>
        </w:rPr>
        <w:t>ule (</w:t>
      </w:r>
      <w:r w:rsidR="001E7E73" w:rsidRPr="002773B6">
        <w:rPr>
          <w:color w:val="000000"/>
        </w:rPr>
        <w:t>July 6, 2005, 70 FR 39104</w:t>
      </w:r>
      <w:r w:rsidR="003C42B3" w:rsidRPr="002773B6">
        <w:rPr>
          <w:color w:val="000000"/>
        </w:rPr>
        <w:t>)</w:t>
      </w:r>
      <w:r w:rsidR="002773B6" w:rsidRPr="002773B6">
        <w:rPr>
          <w:color w:val="000000"/>
        </w:rPr>
        <w:t xml:space="preserve"> </w:t>
      </w:r>
      <w:r w:rsidR="0072715D" w:rsidRPr="002773B6">
        <w:rPr>
          <w:color w:val="000000"/>
        </w:rPr>
        <w:t>because the rule did</w:t>
      </w:r>
      <w:r w:rsidR="003C42B3" w:rsidRPr="002773B6">
        <w:rPr>
          <w:color w:val="000000"/>
        </w:rPr>
        <w:t xml:space="preserve"> not have a significant economic impact on a substantial number of small entities. </w:t>
      </w:r>
      <w:r w:rsidR="0072715D" w:rsidRPr="002773B6">
        <w:rPr>
          <w:color w:val="000000"/>
        </w:rPr>
        <w:t>Similarly, t</w:t>
      </w:r>
      <w:r w:rsidR="003C42B3" w:rsidRPr="002773B6">
        <w:rPr>
          <w:color w:val="000000"/>
        </w:rPr>
        <w:t xml:space="preserve">his </w:t>
      </w:r>
      <w:r w:rsidR="000A7EB4" w:rsidRPr="002773B6">
        <w:rPr>
          <w:color w:val="000000"/>
        </w:rPr>
        <w:t>ICR renewal</w:t>
      </w:r>
      <w:r w:rsidR="003C42B3" w:rsidRPr="002773B6">
        <w:rPr>
          <w:color w:val="000000"/>
        </w:rPr>
        <w:t xml:space="preserve"> will not impose any direct requirements on small entities</w:t>
      </w:r>
      <w:r w:rsidR="000A7EB4" w:rsidRPr="002773B6">
        <w:rPr>
          <w:color w:val="000000"/>
        </w:rPr>
        <w:t xml:space="preserve"> and will apply primarily to states which are developing the SIP revisions</w:t>
      </w:r>
      <w:r w:rsidR="003C42B3">
        <w:rPr>
          <w:rFonts w:ascii="CourierNewPSMT" w:hAnsi="CourierNewPSMT" w:cs="CourierNewPSMT"/>
        </w:rPr>
        <w:t>.</w:t>
      </w:r>
      <w:r w:rsidR="000A7EB4" w:rsidDel="000A7EB4">
        <w:rPr>
          <w:rFonts w:ascii="CourierNewPSMT" w:hAnsi="CourierNewPSMT" w:cs="CourierNewPSMT"/>
        </w:rPr>
        <w:t xml:space="preserve"> </w:t>
      </w:r>
    </w:p>
    <w:p w:rsidR="004D1D3E" w:rsidRDefault="004D1D3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D1D3E" w:rsidRDefault="00AA30E0" w:rsidP="002B60B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A30E0">
        <w:pict>
          <v:shape id="_x0000_s1084" type="#_x0000_t202" style="position:absolute;margin-left:-180pt;margin-top:1.95pt;width:132.6pt;height:41.35pt;z-index:11;mso-wrap-distance-left:12pt;mso-wrap-distance-top:12pt;mso-wrap-distance-right:12pt;mso-wrap-distance-bottom:12pt;mso-position-horizontal-relative:margin" filled="f" stroked="f">
            <v:textbox style="mso-next-textbox:#_x0000_s1084" inset="0,0,6pt,6pt">
              <w:txbxContent>
                <w:p w:rsidR="004817C3" w:rsidRDefault="004817C3" w:rsidP="004D1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5.4</w:t>
                  </w:r>
                  <w:r>
                    <w:rPr>
                      <w:rFonts w:ascii="Arial" w:hAnsi="Arial"/>
                      <w:b/>
                    </w:rPr>
                    <w:tab/>
                    <w:t>Collection</w:t>
                  </w:r>
                </w:p>
                <w:p w:rsidR="004817C3" w:rsidRDefault="004817C3">
                  <w:r>
                    <w:rPr>
                      <w:rFonts w:ascii="Arial" w:hAnsi="Arial"/>
                      <w:b/>
                    </w:rPr>
                    <w:tab/>
                    <w:t>Schedule</w:t>
                  </w:r>
                </w:p>
              </w:txbxContent>
            </v:textbox>
            <w10:wrap type="square" side="largest" anchorx="margin"/>
          </v:shape>
        </w:pict>
      </w:r>
      <w:r w:rsidR="00387E24">
        <w:rPr>
          <w:color w:val="000000"/>
        </w:rPr>
        <w:t xml:space="preserve">States are required to submit their </w:t>
      </w:r>
      <w:r w:rsidR="009E6645">
        <w:rPr>
          <w:color w:val="000000"/>
        </w:rPr>
        <w:t>periodic progress reports, in the form of a SIP revision,</w:t>
      </w:r>
      <w:r w:rsidR="00387E24">
        <w:rPr>
          <w:color w:val="000000"/>
        </w:rPr>
        <w:t xml:space="preserve"> </w:t>
      </w:r>
      <w:r w:rsidR="009651B7">
        <w:rPr>
          <w:color w:val="000000"/>
        </w:rPr>
        <w:t xml:space="preserve">five </w:t>
      </w:r>
      <w:r w:rsidR="00407DF0">
        <w:rPr>
          <w:color w:val="000000"/>
        </w:rPr>
        <w:t>years after the initial regional haze plan submission</w:t>
      </w:r>
      <w:r w:rsidR="009942C3">
        <w:rPr>
          <w:color w:val="000000"/>
        </w:rPr>
        <w:t>.</w:t>
      </w:r>
      <w:r w:rsidR="00387E24">
        <w:rPr>
          <w:color w:val="000000"/>
        </w:rPr>
        <w:t xml:space="preserve"> </w:t>
      </w:r>
      <w:r w:rsidR="009E6645">
        <w:rPr>
          <w:color w:val="000000"/>
        </w:rPr>
        <w:t xml:space="preserve">Table 5.1 shows when these reports are due for each of </w:t>
      </w:r>
      <w:r w:rsidR="00422058">
        <w:rPr>
          <w:color w:val="000000"/>
        </w:rPr>
        <w:t>the states.</w:t>
      </w:r>
      <w:r w:rsidR="004C7B76">
        <w:rPr>
          <w:color w:val="000000"/>
        </w:rPr>
        <w:t xml:space="preserve"> Note that some states have reports which are due outside of this renewal period, beyond October 31, 2012. Accordingly, we have estimated burden only for </w:t>
      </w:r>
      <w:r w:rsidR="00224C7E">
        <w:rPr>
          <w:color w:val="000000"/>
        </w:rPr>
        <w:t>the 3</w:t>
      </w:r>
      <w:r w:rsidR="00640907">
        <w:rPr>
          <w:color w:val="000000"/>
        </w:rPr>
        <w:t>4</w:t>
      </w:r>
      <w:r w:rsidR="00224C7E">
        <w:rPr>
          <w:color w:val="000000"/>
        </w:rPr>
        <w:t xml:space="preserve"> </w:t>
      </w:r>
      <w:r w:rsidR="004C7B76">
        <w:rPr>
          <w:color w:val="000000"/>
        </w:rPr>
        <w:t>states with due dates that fall in 2015 or earlier.</w:t>
      </w:r>
    </w:p>
    <w:p w:rsidR="00422058" w:rsidRDefault="00422058" w:rsidP="002B60B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22058" w:rsidRDefault="00A90FFB" w:rsidP="002B60B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Pr>
          <w:b/>
          <w:color w:val="000000"/>
        </w:rPr>
        <w:t>Table 5.1</w:t>
      </w:r>
      <w:r>
        <w:rPr>
          <w:b/>
          <w:color w:val="000000"/>
        </w:rPr>
        <w:tab/>
        <w:t>Due Dates for the 5 Year Progress Reports</w:t>
      </w:r>
      <w:r w:rsidR="00114F93">
        <w:rPr>
          <w:rStyle w:val="FootnoteReference"/>
          <w:b/>
          <w:color w:val="000000"/>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0"/>
        <w:gridCol w:w="2501"/>
        <w:gridCol w:w="2501"/>
      </w:tblGrid>
      <w:tr w:rsidR="00A90FFB" w:rsidRPr="0076089B" w:rsidTr="0076089B">
        <w:tc>
          <w:tcPr>
            <w:tcW w:w="2500" w:type="dxa"/>
          </w:tcPr>
          <w:p w:rsidR="00A90FFB" w:rsidRPr="0076089B" w:rsidRDefault="00A90FFB"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Initial Regional Haze Submittal Year</w:t>
            </w:r>
          </w:p>
        </w:tc>
        <w:tc>
          <w:tcPr>
            <w:tcW w:w="2501" w:type="dxa"/>
          </w:tcPr>
          <w:p w:rsidR="00A90FFB" w:rsidRPr="0076089B" w:rsidRDefault="00A90FFB"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5 Year Progress Report Due Date</w:t>
            </w:r>
          </w:p>
        </w:tc>
        <w:tc>
          <w:tcPr>
            <w:tcW w:w="2501" w:type="dxa"/>
          </w:tcPr>
          <w:p w:rsidR="00A90FFB" w:rsidRPr="0076089B" w:rsidRDefault="00A90FFB"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State</w:t>
            </w:r>
          </w:p>
        </w:tc>
      </w:tr>
      <w:tr w:rsidR="00A90FFB" w:rsidRPr="0076089B" w:rsidTr="0076089B">
        <w:tc>
          <w:tcPr>
            <w:tcW w:w="2500" w:type="dxa"/>
          </w:tcPr>
          <w:p w:rsidR="00A90FFB" w:rsidRPr="0076089B" w:rsidRDefault="00A90FFB"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2007</w:t>
            </w:r>
          </w:p>
        </w:tc>
        <w:tc>
          <w:tcPr>
            <w:tcW w:w="2501" w:type="dxa"/>
          </w:tcPr>
          <w:p w:rsidR="00A90FFB" w:rsidRPr="0076089B" w:rsidRDefault="00A90FFB"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2012</w:t>
            </w:r>
          </w:p>
        </w:tc>
        <w:tc>
          <w:tcPr>
            <w:tcW w:w="2501" w:type="dxa"/>
          </w:tcPr>
          <w:p w:rsidR="00A90FFB" w:rsidRPr="0076089B" w:rsidRDefault="00A90FFB"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NC, SC</w:t>
            </w:r>
          </w:p>
        </w:tc>
      </w:tr>
      <w:tr w:rsidR="00A90FFB" w:rsidRPr="0076089B" w:rsidTr="0076089B">
        <w:tc>
          <w:tcPr>
            <w:tcW w:w="2500" w:type="dxa"/>
          </w:tcPr>
          <w:p w:rsidR="00A90FFB" w:rsidRPr="0076089B" w:rsidRDefault="00A90FFB"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2008</w:t>
            </w:r>
          </w:p>
        </w:tc>
        <w:tc>
          <w:tcPr>
            <w:tcW w:w="2501" w:type="dxa"/>
          </w:tcPr>
          <w:p w:rsidR="00A90FFB" w:rsidRPr="0076089B" w:rsidRDefault="00A90FFB"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2013</w:t>
            </w:r>
          </w:p>
        </w:tc>
        <w:tc>
          <w:tcPr>
            <w:tcW w:w="2501" w:type="dxa"/>
          </w:tcPr>
          <w:p w:rsidR="00A90FFB" w:rsidRPr="0076089B" w:rsidRDefault="00A90FFB"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AL, AR</w:t>
            </w:r>
            <w:r w:rsidR="0072715D" w:rsidRPr="0076089B">
              <w:rPr>
                <w:color w:val="000000"/>
              </w:rPr>
              <w:t>, DE, KY, LA, MS, MO, TN, UT, Albuquerque/Bernalillo County NM</w:t>
            </w:r>
            <w:r w:rsidR="00114F93" w:rsidRPr="0076089B">
              <w:rPr>
                <w:rStyle w:val="FootnoteReference"/>
                <w:color w:val="000000"/>
              </w:rPr>
              <w:footnoteReference w:id="2"/>
            </w:r>
          </w:p>
        </w:tc>
      </w:tr>
      <w:tr w:rsidR="00A90FFB" w:rsidRPr="0076089B" w:rsidTr="0076089B">
        <w:tc>
          <w:tcPr>
            <w:tcW w:w="2500" w:type="dxa"/>
          </w:tcPr>
          <w:p w:rsidR="00A90FFB" w:rsidRPr="0076089B" w:rsidRDefault="0072715D"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lastRenderedPageBreak/>
              <w:t>2009</w:t>
            </w:r>
          </w:p>
        </w:tc>
        <w:tc>
          <w:tcPr>
            <w:tcW w:w="2501" w:type="dxa"/>
          </w:tcPr>
          <w:p w:rsidR="00A90FFB" w:rsidRPr="0076089B" w:rsidRDefault="0072715D"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2014</w:t>
            </w:r>
          </w:p>
        </w:tc>
        <w:tc>
          <w:tcPr>
            <w:tcW w:w="2501" w:type="dxa"/>
          </w:tcPr>
          <w:p w:rsidR="00A90FFB" w:rsidRPr="0076089B" w:rsidRDefault="0072715D"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CA, CT, KS, MN, NV, NJ, RI, TX, VT</w:t>
            </w:r>
          </w:p>
        </w:tc>
      </w:tr>
      <w:tr w:rsidR="0072715D" w:rsidRPr="0076089B" w:rsidTr="0076089B">
        <w:tc>
          <w:tcPr>
            <w:tcW w:w="2500" w:type="dxa"/>
          </w:tcPr>
          <w:p w:rsidR="0072715D" w:rsidRPr="0076089B" w:rsidRDefault="0072715D"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2010</w:t>
            </w:r>
          </w:p>
        </w:tc>
        <w:tc>
          <w:tcPr>
            <w:tcW w:w="2501" w:type="dxa"/>
          </w:tcPr>
          <w:p w:rsidR="0072715D" w:rsidRPr="0076089B" w:rsidRDefault="0072715D"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2015</w:t>
            </w:r>
          </w:p>
        </w:tc>
        <w:tc>
          <w:tcPr>
            <w:tcW w:w="2501" w:type="dxa"/>
          </w:tcPr>
          <w:p w:rsidR="0072715D" w:rsidRPr="0076089B" w:rsidRDefault="00174B38" w:rsidP="00174B3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District of Columbia</w:t>
            </w:r>
            <w:r w:rsidR="0072715D" w:rsidRPr="0076089B">
              <w:rPr>
                <w:color w:val="000000"/>
              </w:rPr>
              <w:t>, FL, GA, ID, ME,</w:t>
            </w:r>
            <w:r w:rsidR="003306B7">
              <w:rPr>
                <w:color w:val="000000"/>
              </w:rPr>
              <w:t xml:space="preserve"> </w:t>
            </w:r>
            <w:r w:rsidR="0072715D" w:rsidRPr="0076089B">
              <w:rPr>
                <w:color w:val="000000"/>
              </w:rPr>
              <w:t>MI, NH, NY, ND, OK, OR, PA, VA</w:t>
            </w:r>
          </w:p>
        </w:tc>
      </w:tr>
      <w:tr w:rsidR="0072715D" w:rsidRPr="0076089B" w:rsidTr="0076089B">
        <w:tc>
          <w:tcPr>
            <w:tcW w:w="2500" w:type="dxa"/>
          </w:tcPr>
          <w:p w:rsidR="0072715D" w:rsidRPr="0076089B" w:rsidRDefault="0072715D"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2011</w:t>
            </w:r>
          </w:p>
        </w:tc>
        <w:tc>
          <w:tcPr>
            <w:tcW w:w="2501" w:type="dxa"/>
          </w:tcPr>
          <w:p w:rsidR="0072715D" w:rsidRPr="0076089B" w:rsidRDefault="0072715D"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2016</w:t>
            </w:r>
          </w:p>
        </w:tc>
        <w:tc>
          <w:tcPr>
            <w:tcW w:w="2501" w:type="dxa"/>
          </w:tcPr>
          <w:p w:rsidR="0072715D" w:rsidRPr="0076089B" w:rsidRDefault="0072715D"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 xml:space="preserve">AK, AZ, CO, IN, NE, </w:t>
            </w:r>
            <w:r w:rsidR="00114F93" w:rsidRPr="0076089B">
              <w:rPr>
                <w:color w:val="000000"/>
              </w:rPr>
              <w:t xml:space="preserve">NM, </w:t>
            </w:r>
            <w:r w:rsidRPr="0076089B">
              <w:rPr>
                <w:color w:val="000000"/>
              </w:rPr>
              <w:t>OH, SD, WA, WY</w:t>
            </w:r>
          </w:p>
        </w:tc>
      </w:tr>
      <w:tr w:rsidR="0072715D" w:rsidRPr="0076089B" w:rsidTr="0076089B">
        <w:tc>
          <w:tcPr>
            <w:tcW w:w="2500" w:type="dxa"/>
          </w:tcPr>
          <w:p w:rsidR="0072715D" w:rsidRPr="0076089B" w:rsidRDefault="0072715D"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2012</w:t>
            </w:r>
          </w:p>
        </w:tc>
        <w:tc>
          <w:tcPr>
            <w:tcW w:w="2501" w:type="dxa"/>
          </w:tcPr>
          <w:p w:rsidR="0072715D" w:rsidRPr="0076089B" w:rsidRDefault="0072715D"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2017</w:t>
            </w:r>
          </w:p>
        </w:tc>
        <w:tc>
          <w:tcPr>
            <w:tcW w:w="2501" w:type="dxa"/>
          </w:tcPr>
          <w:p w:rsidR="0072715D" w:rsidRPr="0076089B" w:rsidRDefault="0072715D" w:rsidP="0076089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6089B">
              <w:rPr>
                <w:color w:val="000000"/>
              </w:rPr>
              <w:t>MA, MD</w:t>
            </w:r>
          </w:p>
        </w:tc>
      </w:tr>
    </w:tbl>
    <w:p w:rsidR="00A90FFB" w:rsidRDefault="00A90FFB" w:rsidP="002B60B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06862" w:rsidRDefault="00566F4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Three </w:t>
      </w:r>
      <w:r w:rsidR="00E17515">
        <w:rPr>
          <w:color w:val="000000"/>
        </w:rPr>
        <w:t>states (Louisiana</w:t>
      </w:r>
      <w:r w:rsidR="00994BA5">
        <w:rPr>
          <w:color w:val="000000"/>
        </w:rPr>
        <w:t xml:space="preserve">, Mississippi, </w:t>
      </w:r>
      <w:r w:rsidR="00E17515">
        <w:rPr>
          <w:color w:val="000000"/>
        </w:rPr>
        <w:t>and Arkansas) will be required to develop and submit substantive SIP revisions by June 2014.</w:t>
      </w:r>
      <w:r w:rsidR="00994BA5">
        <w:rPr>
          <w:color w:val="000000"/>
        </w:rPr>
        <w:t xml:space="preserve"> </w:t>
      </w:r>
      <w:r w:rsidR="00155320">
        <w:rPr>
          <w:color w:val="000000"/>
        </w:rPr>
        <w:t>The EPA believes that Florida and Mississippi will develop and submit SIPs before the ICR renewal period.</w:t>
      </w:r>
    </w:p>
    <w:p w:rsidR="00206862" w:rsidRDefault="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06862" w:rsidRDefault="008B6D41" w:rsidP="002068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Twelve</w:t>
      </w:r>
      <w:r w:rsidR="00E17515">
        <w:rPr>
          <w:color w:val="000000"/>
        </w:rPr>
        <w:t xml:space="preserve"> states </w:t>
      </w:r>
      <w:r w:rsidR="00C9689C">
        <w:rPr>
          <w:color w:val="000000"/>
        </w:rPr>
        <w:t xml:space="preserve">(Georgia, Indiana, Iowa, Kentucky, Michigan, Missouri, Ohio, Pennsylvania, South Carolina, Tennessee, West Virginia, and Virginia) </w:t>
      </w:r>
      <w:r w:rsidR="00E17515">
        <w:rPr>
          <w:color w:val="000000"/>
        </w:rPr>
        <w:t xml:space="preserve">may elect, but are not required, to replace EPA’s FIP with a minor SIP revision at any time. </w:t>
      </w:r>
      <w:r w:rsidR="00206862">
        <w:rPr>
          <w:color w:val="000000"/>
        </w:rPr>
        <w:t xml:space="preserve">Two states (Alabama and North Carolina) will be required to submit minor SIP revisions by June 2014. </w:t>
      </w:r>
      <w:r w:rsidR="00E17515">
        <w:rPr>
          <w:color w:val="000000"/>
        </w:rPr>
        <w:t>For the purposes of this ICR, we assume that each of these states will choose to submit a minor SIP revision (consisting of one paragraph) within the three year period of this ICR renewal.</w:t>
      </w:r>
      <w:r w:rsidR="00206862" w:rsidRPr="00206862">
        <w:rPr>
          <w:color w:val="000000"/>
        </w:rPr>
        <w:t xml:space="preserve"> </w:t>
      </w:r>
    </w:p>
    <w:p w:rsidR="008869EA" w:rsidRDefault="008869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br w:type="page"/>
      </w:r>
    </w:p>
    <w:p w:rsidR="008869EA" w:rsidRDefault="00AA30E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color w:val="000000"/>
        </w:rPr>
      </w:pPr>
      <w:r w:rsidRPr="00AA30E0">
        <w:pict>
          <v:shape id="_x0000_s1058" type="#_x0000_t202" style="position:absolute;margin-left:-180pt;margin-top:-33.35pt;width:477.35pt;height:21.85pt;z-index:5;mso-wrap-distance-left:12pt;mso-wrap-distance-top:12pt;mso-wrap-distance-right:12pt;mso-wrap-distance-bottom:12pt;mso-position-horizontal-relative:margin" filled="f" stroked="f">
            <v:textbox style="mso-next-textbox:#_x0000_s1058" inset="0,0,6pt,6pt">
              <w:txbxContent>
                <w:p w:rsidR="004817C3" w:rsidRDefault="004817C3">
                  <w:r>
                    <w:rPr>
                      <w:rFonts w:ascii="Arial" w:hAnsi="Arial"/>
                      <w:b/>
                    </w:rPr>
                    <w:t>6</w:t>
                  </w:r>
                  <w:r>
                    <w:rPr>
                      <w:rFonts w:ascii="Arial" w:hAnsi="Arial"/>
                      <w:b/>
                    </w:rPr>
                    <w:tab/>
                    <w:t>Estimating the Burden and Cost of the Collection</w:t>
                  </w:r>
                </w:p>
              </w:txbxContent>
            </v:textbox>
            <w10:wrap type="square" side="largest" anchorx="margin"/>
          </v:shape>
        </w:pict>
      </w:r>
    </w:p>
    <w:p w:rsidR="00E82522" w:rsidRDefault="00E8252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Burden means the total time, effort, o</w:t>
      </w:r>
      <w:r w:rsidR="00A1358A">
        <w:rPr>
          <w:color w:val="000000"/>
        </w:rPr>
        <w:t>r</w:t>
      </w:r>
      <w:r>
        <w:rPr>
          <w:color w:val="000000"/>
        </w:rPr>
        <w:t xml:space="preserve"> financial resources expended by person</w:t>
      </w:r>
      <w:r w:rsidR="00736382">
        <w:rPr>
          <w:color w:val="000000"/>
        </w:rPr>
        <w:t>s</w:t>
      </w:r>
      <w:r>
        <w:rPr>
          <w:color w:val="000000"/>
        </w:rPr>
        <w:t xml:space="preserve"> to generate, maintain, retain, or disclose or p</w:t>
      </w:r>
      <w:r w:rsidR="0050637A">
        <w:rPr>
          <w:color w:val="000000"/>
        </w:rPr>
        <w:t>rovide information to or for a f</w:t>
      </w:r>
      <w:r>
        <w:rPr>
          <w:color w:val="000000"/>
        </w:rPr>
        <w:t>ederal agency. This include</w:t>
      </w:r>
      <w:r w:rsidR="008E0BF3">
        <w:rPr>
          <w:color w:val="000000"/>
        </w:rPr>
        <w:t>s</w:t>
      </w:r>
      <w:r>
        <w:rPr>
          <w:color w:val="000000"/>
        </w:rPr>
        <w:t xml:space="preserve"> the time needed to review instructions; develop, acquire, install, and utilize technology and systems for the purposes of collecting, validating, and verifying information, processing and maintaining information, and disclosing and providing information; adjust the ways to comply with any </w:t>
      </w:r>
      <w:r w:rsidR="00AE0AC1">
        <w:rPr>
          <w:color w:val="000000"/>
        </w:rPr>
        <w:t>previously</w:t>
      </w:r>
      <w:r>
        <w:rPr>
          <w:color w:val="000000"/>
        </w:rPr>
        <w:t xml:space="preserve"> applicable instructions and requirements; train personnel to be able to respond to a collection of information; and transmit or otherwise disclose the information. The burden estimate should be composed of (1) </w:t>
      </w:r>
      <w:r w:rsidR="00A1358A">
        <w:rPr>
          <w:color w:val="000000"/>
        </w:rPr>
        <w:t xml:space="preserve">the </w:t>
      </w:r>
      <w:r>
        <w:rPr>
          <w:color w:val="000000"/>
        </w:rPr>
        <w:t xml:space="preserve">total capital and start-up cost component annualized over its useful life; (2) </w:t>
      </w:r>
      <w:r w:rsidR="00A1358A">
        <w:rPr>
          <w:color w:val="000000"/>
        </w:rPr>
        <w:t xml:space="preserve">the </w:t>
      </w:r>
      <w:r>
        <w:rPr>
          <w:color w:val="000000"/>
        </w:rPr>
        <w:t>total operation, maintenance and purchases of services component. Each component should be divided into burden borne directly by the respondent and any services that are contracted out.</w:t>
      </w:r>
    </w:p>
    <w:p w:rsidR="00E82522" w:rsidRDefault="00E8252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1A436B" w:rsidRDefault="00A1358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NewPSMT" w:hAnsi="CourierNewPSMT" w:cs="CourierNewPSMT"/>
        </w:rPr>
      </w:pPr>
      <w:r w:rsidRPr="00F57509">
        <w:rPr>
          <w:color w:val="000000"/>
        </w:rPr>
        <w:t xml:space="preserve">This ICR renewal will apply to </w:t>
      </w:r>
      <w:r w:rsidR="00A642DB">
        <w:rPr>
          <w:color w:val="000000"/>
        </w:rPr>
        <w:t>50</w:t>
      </w:r>
      <w:r w:rsidR="00CB4140">
        <w:rPr>
          <w:color w:val="000000"/>
        </w:rPr>
        <w:t xml:space="preserve"> </w:t>
      </w:r>
      <w:r w:rsidRPr="00F57509">
        <w:rPr>
          <w:color w:val="000000"/>
        </w:rPr>
        <w:t>states</w:t>
      </w:r>
      <w:r w:rsidR="00CB4140">
        <w:rPr>
          <w:color w:val="000000"/>
        </w:rPr>
        <w:t xml:space="preserve"> the District of Columbia</w:t>
      </w:r>
      <w:r w:rsidR="008B6D41">
        <w:rPr>
          <w:color w:val="000000"/>
        </w:rPr>
        <w:t xml:space="preserve"> and the U.S. Virgin Islands</w:t>
      </w:r>
      <w:r w:rsidRPr="00F57509">
        <w:rPr>
          <w:color w:val="000000"/>
        </w:rPr>
        <w:t xml:space="preserve"> which are </w:t>
      </w:r>
      <w:r w:rsidR="00CB4140" w:rsidRPr="00F57509">
        <w:rPr>
          <w:color w:val="000000"/>
        </w:rPr>
        <w:t xml:space="preserve">primarily </w:t>
      </w:r>
      <w:r w:rsidRPr="00F57509">
        <w:rPr>
          <w:color w:val="000000"/>
        </w:rPr>
        <w:t xml:space="preserve">developing </w:t>
      </w:r>
      <w:r w:rsidR="001A436B" w:rsidRPr="00F57509">
        <w:rPr>
          <w:color w:val="000000"/>
        </w:rPr>
        <w:t xml:space="preserve">5-year progress reports in the form of </w:t>
      </w:r>
      <w:r w:rsidRPr="00F57509">
        <w:rPr>
          <w:color w:val="000000"/>
        </w:rPr>
        <w:t>SIP revisions</w:t>
      </w:r>
      <w:r w:rsidR="00AA30E0" w:rsidRPr="00AA30E0">
        <w:rPr>
          <w:color w:val="000000"/>
        </w:rPr>
        <w:pict>
          <v:shape id="_x0000_s1091" type="#_x0000_t202" style="position:absolute;margin-left:-180pt;margin-top:3.25pt;width:129.85pt;height:58.65pt;z-index:13;mso-position-horizontal-relative:margin;mso-position-vertical-relative:text" filled="f" stroked="f">
            <v:textbox style="mso-next-textbox:#_x0000_s1091" inset="0,0">
              <w:txbxContent>
                <w:p w:rsidR="004817C3" w:rsidRPr="009B4422" w:rsidRDefault="004817C3" w:rsidP="009B4422">
                  <w:pPr>
                    <w:ind w:left="720" w:hanging="720"/>
                    <w:rPr>
                      <w:rFonts w:ascii="Arial" w:hAnsi="Arial" w:cs="Arial"/>
                      <w:b/>
                    </w:rPr>
                  </w:pPr>
                  <w:r w:rsidRPr="009B4422">
                    <w:rPr>
                      <w:rFonts w:ascii="Arial" w:hAnsi="Arial" w:cs="Arial"/>
                      <w:b/>
                    </w:rPr>
                    <w:t>6.1</w:t>
                  </w:r>
                  <w:r w:rsidRPr="009B4422">
                    <w:rPr>
                      <w:rFonts w:ascii="Arial" w:hAnsi="Arial" w:cs="Arial"/>
                      <w:b/>
                    </w:rPr>
                    <w:tab/>
                    <w:t>Estimating Respondent Burden</w:t>
                  </w:r>
                </w:p>
              </w:txbxContent>
            </v:textbox>
            <w10:wrap anchorx="margin"/>
          </v:shape>
        </w:pict>
      </w:r>
      <w:r w:rsidR="00BA73DB" w:rsidRPr="00F57509">
        <w:rPr>
          <w:color w:val="000000"/>
        </w:rPr>
        <w:t xml:space="preserve"> to satisfy the requirements of the regional haze rule</w:t>
      </w:r>
      <w:r w:rsidR="001A436B" w:rsidRPr="00F57509">
        <w:rPr>
          <w:color w:val="000000"/>
        </w:rPr>
        <w:t xml:space="preserve">. </w:t>
      </w:r>
      <w:r w:rsidR="009942C3">
        <w:rPr>
          <w:color w:val="000000"/>
        </w:rPr>
        <w:t xml:space="preserve">Table 5.1 above shows when these reports are due for each of the states and the estimated due date for the SIPs. </w:t>
      </w:r>
      <w:r w:rsidR="001A436B" w:rsidRPr="00F57509">
        <w:rPr>
          <w:color w:val="000000"/>
        </w:rPr>
        <w:t>The FLMs will review and comment on those plans. For this renewal period, the burden for industrial sources will be negligible as the reports are required from the states</w:t>
      </w:r>
      <w:r w:rsidR="001A436B">
        <w:rPr>
          <w:rFonts w:ascii="CourierNewPSMT" w:hAnsi="CourierNewPSMT" w:cs="CourierNewPSMT"/>
        </w:rPr>
        <w:t>.</w:t>
      </w:r>
    </w:p>
    <w:p w:rsidR="001A436B" w:rsidRDefault="001A436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NewPSMT" w:hAnsi="CourierNewPSMT" w:cs="CourierNewPSMT"/>
        </w:rPr>
      </w:pPr>
    </w:p>
    <w:p w:rsidR="008B19A4" w:rsidRDefault="00C647E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F</w:t>
      </w:r>
      <w:r w:rsidR="00BA73DB">
        <w:t>or three states (Utah, Wyoming, and New Mexico) which submitted their regional haze SIPs under section 309 of the regional haze rule</w:t>
      </w:r>
      <w:r>
        <w:t>, there are also 5-year periodic reporting requirements that are essentially the same as the requirements under section 308(g).</w:t>
      </w:r>
      <w:r w:rsidR="00BA73DB">
        <w:t xml:space="preserve"> </w:t>
      </w:r>
      <w:r w:rsidR="008B19A4">
        <w:rPr>
          <w:color w:val="000000"/>
        </w:rPr>
        <w:t>Table 6.1 summarizes the results for each of the major categories of respondents</w:t>
      </w:r>
      <w:r w:rsidR="00032F41">
        <w:rPr>
          <w:color w:val="000000"/>
        </w:rPr>
        <w:t xml:space="preserve"> with details discussed in the narrative below</w:t>
      </w:r>
      <w:r w:rsidR="00F57509">
        <w:rPr>
          <w:color w:val="000000"/>
        </w:rPr>
        <w:t>.</w:t>
      </w:r>
    </w:p>
    <w:p w:rsidR="008B19A4" w:rsidRDefault="008B19A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947AF" w:rsidRDefault="006947AF" w:rsidP="006947A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 xml:space="preserve">We </w:t>
      </w:r>
      <w:r w:rsidR="008B6D41">
        <w:t>account for the requirement</w:t>
      </w:r>
      <w:r>
        <w:t xml:space="preserve"> that </w:t>
      </w:r>
      <w:r w:rsidR="00566F46">
        <w:t xml:space="preserve">three </w:t>
      </w:r>
      <w:r>
        <w:t>states (Louisiana</w:t>
      </w:r>
      <w:r w:rsidR="00566F46">
        <w:t>, Mississippi,</w:t>
      </w:r>
      <w:r>
        <w:t xml:space="preserve"> and Arkansas) will need to submit a new substantive SIP to remedy EPA’s disapproval of specific elements of these SIPs.</w:t>
      </w:r>
    </w:p>
    <w:p w:rsidR="006947AF" w:rsidRDefault="006947A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947AF" w:rsidRDefault="006947A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 xml:space="preserve">We assume that </w:t>
      </w:r>
      <w:r w:rsidR="008B6D41">
        <w:t xml:space="preserve">12 </w:t>
      </w:r>
      <w:r>
        <w:t xml:space="preserve">states could elect to prepare and submit a SIP revision consisting of one paragraph to substitute a state plan in place of EPA’s FIP related to the Cross-State Air Pollution Rule as an alternative to BART. </w:t>
      </w:r>
      <w:r w:rsidR="00155320">
        <w:t xml:space="preserve">Additionally, </w:t>
      </w:r>
      <w:r w:rsidR="00155320">
        <w:rPr>
          <w:color w:val="000000"/>
        </w:rPr>
        <w:t>two states (Alabama and North Carolina) will be required to submit minor SIP revisions by June 2014.</w:t>
      </w:r>
    </w:p>
    <w:p w:rsidR="007623CD" w:rsidRDefault="007623C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8B19A4" w:rsidRDefault="008B19A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b/>
          <w:color w:val="000000"/>
        </w:rPr>
        <w:t xml:space="preserve">Develop and Submit </w:t>
      </w:r>
      <w:r w:rsidR="00E46CDA">
        <w:rPr>
          <w:b/>
          <w:color w:val="000000"/>
        </w:rPr>
        <w:t>5-Year Progress Reports as required under the Regional Haze Rule</w:t>
      </w:r>
      <w:r w:rsidR="00F57509">
        <w:rPr>
          <w:b/>
          <w:color w:val="000000"/>
        </w:rPr>
        <w:t>.</w:t>
      </w:r>
      <w:r>
        <w:rPr>
          <w:b/>
          <w:color w:val="000000"/>
        </w:rPr>
        <w:t xml:space="preserve">  </w:t>
      </w:r>
      <w:r w:rsidR="00605A90">
        <w:rPr>
          <w:color w:val="000000"/>
        </w:rPr>
        <w:t xml:space="preserve">Based on </w:t>
      </w:r>
      <w:r w:rsidR="00D90C1F">
        <w:rPr>
          <w:color w:val="000000"/>
        </w:rPr>
        <w:t xml:space="preserve">the elements that are required for the report, which are described in section 5.2 above, we </w:t>
      </w:r>
      <w:r>
        <w:rPr>
          <w:color w:val="000000"/>
        </w:rPr>
        <w:t xml:space="preserve">believe that an estimate </w:t>
      </w:r>
      <w:r w:rsidRPr="0076047E">
        <w:t xml:space="preserve">of </w:t>
      </w:r>
      <w:r w:rsidR="00DC3064">
        <w:t>2</w:t>
      </w:r>
      <w:r w:rsidR="00432AFB">
        <w:t>8</w:t>
      </w:r>
      <w:r w:rsidR="00DC3064">
        <w:t>0</w:t>
      </w:r>
      <w:r w:rsidR="00004AD2" w:rsidRPr="0076047E">
        <w:t xml:space="preserve"> </w:t>
      </w:r>
      <w:r w:rsidRPr="0076047E">
        <w:t xml:space="preserve">hours per </w:t>
      </w:r>
      <w:r w:rsidR="00004AD2" w:rsidRPr="0076047E">
        <w:t>s</w:t>
      </w:r>
      <w:r w:rsidRPr="0076047E">
        <w:t xml:space="preserve">tate to complete the </w:t>
      </w:r>
      <w:r w:rsidR="00262973">
        <w:t xml:space="preserve">5-year progress </w:t>
      </w:r>
      <w:r w:rsidR="00D90C1F">
        <w:t>report</w:t>
      </w:r>
      <w:r w:rsidR="00C52589" w:rsidRPr="0076047E">
        <w:t xml:space="preserve"> </w:t>
      </w:r>
      <w:r w:rsidRPr="0076047E">
        <w:t xml:space="preserve">is </w:t>
      </w:r>
      <w:r w:rsidRPr="0076047E">
        <w:lastRenderedPageBreak/>
        <w:t xml:space="preserve">reasonable.  </w:t>
      </w:r>
      <w:r w:rsidR="00770EFC">
        <w:rPr>
          <w:color w:val="000000"/>
        </w:rPr>
        <w:t xml:space="preserve">Much of the analysis for the report will entail the states assessing changes in their emission inventories for the reporting period and reporting on changes in visibility based on available monitoring data. This burden estimate does not include any hours for preparation and finalization of the emission inventories because it is assumed that </w:t>
      </w:r>
      <w:r w:rsidR="006601C4">
        <w:rPr>
          <w:color w:val="000000"/>
        </w:rPr>
        <w:t xml:space="preserve">the </w:t>
      </w:r>
      <w:r w:rsidR="00770EFC">
        <w:rPr>
          <w:color w:val="000000"/>
        </w:rPr>
        <w:t xml:space="preserve">EPA will provide an </w:t>
      </w:r>
      <w:r w:rsidR="00E2394A">
        <w:rPr>
          <w:color w:val="000000"/>
        </w:rPr>
        <w:t xml:space="preserve">approved </w:t>
      </w:r>
      <w:r w:rsidR="00770EFC">
        <w:rPr>
          <w:color w:val="000000"/>
        </w:rPr>
        <w:t>inventory, with appropriate forward projections of future visibility conditions, which the states may use for their analyses</w:t>
      </w:r>
      <w:r w:rsidR="00F57509">
        <w:rPr>
          <w:color w:val="000000"/>
        </w:rPr>
        <w:t xml:space="preserve">. </w:t>
      </w:r>
      <w:r w:rsidR="00DC3064">
        <w:rPr>
          <w:color w:val="000000"/>
        </w:rPr>
        <w:t>For each individual state, w</w:t>
      </w:r>
      <w:r w:rsidR="00770EFC">
        <w:rPr>
          <w:color w:val="000000"/>
        </w:rPr>
        <w:t xml:space="preserve">e believe that </w:t>
      </w:r>
      <w:r w:rsidR="00DC3064">
        <w:rPr>
          <w:color w:val="000000"/>
        </w:rPr>
        <w:t>approximately 1</w:t>
      </w:r>
      <w:r w:rsidR="00432AFB">
        <w:rPr>
          <w:color w:val="000000"/>
        </w:rPr>
        <w:t>6</w:t>
      </w:r>
      <w:r w:rsidR="00DC3064">
        <w:rPr>
          <w:color w:val="000000"/>
        </w:rPr>
        <w:t xml:space="preserve">0 hours </w:t>
      </w:r>
      <w:r w:rsidR="00E2394A">
        <w:rPr>
          <w:color w:val="000000"/>
        </w:rPr>
        <w:t xml:space="preserve">on average </w:t>
      </w:r>
      <w:r w:rsidR="00DC3064">
        <w:rPr>
          <w:color w:val="000000"/>
        </w:rPr>
        <w:t>is needed to analyze, evaluate, and summarize changes in the inventory and monitoring data over the reporting period, and another 80 hours is sufficient to prepare the report in the form of a SIP revision.</w:t>
      </w:r>
      <w:r w:rsidR="00E2394A">
        <w:rPr>
          <w:color w:val="000000"/>
        </w:rPr>
        <w:t xml:space="preserve"> These estimates are based on informal conversations with </w:t>
      </w:r>
      <w:r w:rsidR="00F57509">
        <w:rPr>
          <w:color w:val="000000"/>
        </w:rPr>
        <w:t xml:space="preserve">state and </w:t>
      </w:r>
      <w:r w:rsidR="006601C4">
        <w:rPr>
          <w:color w:val="000000"/>
        </w:rPr>
        <w:t xml:space="preserve">the </w:t>
      </w:r>
      <w:r w:rsidR="00E2394A">
        <w:rPr>
          <w:color w:val="000000"/>
        </w:rPr>
        <w:t>EPA</w:t>
      </w:r>
      <w:r w:rsidR="006601C4">
        <w:rPr>
          <w:color w:val="000000"/>
        </w:rPr>
        <w:t>’s</w:t>
      </w:r>
      <w:r w:rsidR="00E2394A">
        <w:rPr>
          <w:color w:val="000000"/>
        </w:rPr>
        <w:t xml:space="preserve"> technical staff.</w:t>
      </w:r>
      <w:r w:rsidR="00857EE2">
        <w:rPr>
          <w:color w:val="000000"/>
        </w:rPr>
        <w:t xml:space="preserve"> Finally, we assumed that states would need </w:t>
      </w:r>
      <w:r w:rsidR="007E30C1">
        <w:rPr>
          <w:color w:val="000000"/>
        </w:rPr>
        <w:t>approximately</w:t>
      </w:r>
      <w:r w:rsidR="00857EE2">
        <w:rPr>
          <w:color w:val="000000"/>
        </w:rPr>
        <w:t xml:space="preserve"> 40 additional hours to address and respond to any public comments received on its SI</w:t>
      </w:r>
      <w:r w:rsidR="00224C7E">
        <w:rPr>
          <w:color w:val="000000"/>
        </w:rPr>
        <w:t>P</w:t>
      </w:r>
      <w:r w:rsidR="00F57509">
        <w:rPr>
          <w:color w:val="000000"/>
        </w:rPr>
        <w:t xml:space="preserve"> revision</w:t>
      </w:r>
      <w:r w:rsidR="00857EE2">
        <w:rPr>
          <w:color w:val="000000"/>
        </w:rPr>
        <w:t>.</w:t>
      </w:r>
    </w:p>
    <w:p w:rsidR="00224C7E" w:rsidRDefault="00224C7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24C7E" w:rsidRDefault="00224C7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We assumed the FLMs would spend 80 hours, on average, reviewing and </w:t>
      </w:r>
      <w:r w:rsidR="007E30C1">
        <w:rPr>
          <w:color w:val="000000"/>
        </w:rPr>
        <w:t xml:space="preserve">formally </w:t>
      </w:r>
      <w:r>
        <w:rPr>
          <w:color w:val="000000"/>
        </w:rPr>
        <w:t xml:space="preserve">commenting on each of the </w:t>
      </w:r>
      <w:r w:rsidR="009E09CF">
        <w:rPr>
          <w:color w:val="000000"/>
        </w:rPr>
        <w:t xml:space="preserve">5-year progress report </w:t>
      </w:r>
      <w:r>
        <w:rPr>
          <w:color w:val="000000"/>
        </w:rPr>
        <w:t>SIP revisions.</w:t>
      </w:r>
    </w:p>
    <w:p w:rsidR="007623CD" w:rsidRDefault="007623C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9855D9" w:rsidRDefault="009855D9" w:rsidP="009855D9">
      <w:pPr>
        <w:rPr>
          <w:color w:val="000000"/>
        </w:rPr>
      </w:pPr>
      <w:r>
        <w:rPr>
          <w:b/>
          <w:szCs w:val="24"/>
          <w:lang w:val="en-CA"/>
        </w:rPr>
        <w:t xml:space="preserve">Develop and Submit Substantive Revisions to Regional Haze SIPs to Remedy EPA Disapproval. </w:t>
      </w:r>
      <w:r>
        <w:rPr>
          <w:color w:val="000000"/>
        </w:rPr>
        <w:t xml:space="preserve">Based on a review of the previous ICR we believe that an estimate of 300 hours per state to complete substantive revisions </w:t>
      </w:r>
      <w:r w:rsidR="008B6D41">
        <w:rPr>
          <w:color w:val="000000"/>
        </w:rPr>
        <w:t xml:space="preserve">to </w:t>
      </w:r>
      <w:r>
        <w:rPr>
          <w:color w:val="000000"/>
        </w:rPr>
        <w:t>the regional haze SIP is reasonable. Based on discussion with EPA and RPO staff, we believe that the majority of the SIP development effort will be complete by the time this c</w:t>
      </w:r>
      <w:r w:rsidR="007F4647">
        <w:rPr>
          <w:color w:val="000000"/>
        </w:rPr>
        <w:t xml:space="preserve">ollection </w:t>
      </w:r>
      <w:r>
        <w:rPr>
          <w:color w:val="000000"/>
        </w:rPr>
        <w:t xml:space="preserve">period takes effect. </w:t>
      </w:r>
    </w:p>
    <w:p w:rsidR="009855D9" w:rsidRDefault="009855D9" w:rsidP="009855D9">
      <w:pPr>
        <w:rPr>
          <w:color w:val="000000"/>
        </w:rPr>
      </w:pPr>
    </w:p>
    <w:p w:rsidR="009855D9" w:rsidRDefault="009855D9" w:rsidP="009855D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We assume the FLMs </w:t>
      </w:r>
      <w:r w:rsidR="008B6D41">
        <w:rPr>
          <w:color w:val="000000"/>
        </w:rPr>
        <w:t>will</w:t>
      </w:r>
      <w:r>
        <w:rPr>
          <w:color w:val="000000"/>
        </w:rPr>
        <w:t xml:space="preserve"> spend 80 hours, on average, reviewing and formally commenting on each of the substantive regional haze SIP revisions.</w:t>
      </w:r>
    </w:p>
    <w:p w:rsidR="009855D9" w:rsidRDefault="009855D9" w:rsidP="009855D9">
      <w:pPr>
        <w:rPr>
          <w:szCs w:val="24"/>
          <w:lang w:val="en-CA"/>
        </w:rPr>
      </w:pPr>
    </w:p>
    <w:p w:rsidR="007623CD" w:rsidRDefault="009855D9" w:rsidP="009855D9">
      <w:r>
        <w:rPr>
          <w:b/>
          <w:szCs w:val="24"/>
          <w:lang w:val="en-CA"/>
        </w:rPr>
        <w:t xml:space="preserve">Develop and Submit Minor Revisions for Regional Haze SIPs to Replace EPA FIP. </w:t>
      </w:r>
      <w:r>
        <w:t>We assume that 1</w:t>
      </w:r>
      <w:r w:rsidR="008B6D41">
        <w:t>2</w:t>
      </w:r>
      <w:r>
        <w:t xml:space="preserve"> states could elect to prepare and submit a SIP revision consisting of one paragraph to substitute a state plan in place of EPA’s FIP related to the Cross-State Air Pollution Rule as an alternative to BART. </w:t>
      </w:r>
      <w:r>
        <w:rPr>
          <w:color w:val="000000"/>
        </w:rPr>
        <w:t xml:space="preserve">Two states (Alabama and North Carolina) will be required to submit minor SIP revisions by June 2014. </w:t>
      </w:r>
      <w:r>
        <w:t xml:space="preserve">Although the SIP may consist of one paragraph, states must submit the SIP to EPA after reasonable notice and public hearings. This SIP will not be reviewed by the FLMs. The EPA assumes that states would need no more than </w:t>
      </w:r>
      <w:r w:rsidR="008E0EDC">
        <w:t>2</w:t>
      </w:r>
      <w:r w:rsidR="00181F4C">
        <w:t>1</w:t>
      </w:r>
      <w:r w:rsidR="008E0EDC">
        <w:t xml:space="preserve"> </w:t>
      </w:r>
      <w:r>
        <w:t>hours to prepare and finalize the SIP including public notice and response to comments.</w:t>
      </w:r>
    </w:p>
    <w:p w:rsidR="00155320" w:rsidRDefault="00155320" w:rsidP="009855D9"/>
    <w:p w:rsidR="00CB4140" w:rsidRPr="006A62C2" w:rsidRDefault="00CB4140" w:rsidP="00CB4140">
      <w:pPr>
        <w:rPr>
          <w:b/>
          <w:szCs w:val="24"/>
        </w:rPr>
      </w:pPr>
      <w:r w:rsidRPr="006A62C2">
        <w:rPr>
          <w:b/>
          <w:szCs w:val="24"/>
        </w:rPr>
        <w:t>Early Efforts for the 2018 Regional Haze SIP</w:t>
      </w:r>
      <w:r>
        <w:rPr>
          <w:b/>
          <w:szCs w:val="24"/>
        </w:rPr>
        <w:t xml:space="preserve">. </w:t>
      </w:r>
      <w:r w:rsidR="00A642DB">
        <w:t>We assume that 50</w:t>
      </w:r>
      <w:r>
        <w:t xml:space="preserve"> states the District of Columbia</w:t>
      </w:r>
      <w:r w:rsidR="008B6D41">
        <w:t xml:space="preserve"> and the U.S. Virgin Islands</w:t>
      </w:r>
      <w:r w:rsidR="00A642DB">
        <w:t xml:space="preserve"> may elect to begin developing information for the regional haze SIP required in 2018. The </w:t>
      </w:r>
      <w:r w:rsidR="00A642DB">
        <w:lastRenderedPageBreak/>
        <w:t xml:space="preserve">EPA estimates that states will use 50 hours per year beginning in </w:t>
      </w:r>
      <w:r w:rsidR="002E1A53">
        <w:t>late 2013</w:t>
      </w:r>
      <w:r w:rsidR="00A642DB">
        <w:t xml:space="preserve"> to develop the 2018 SIP.</w:t>
      </w:r>
    </w:p>
    <w:p w:rsidR="009855D9" w:rsidRDefault="009855D9" w:rsidP="009855D9">
      <w:pPr>
        <w:rPr>
          <w:color w:val="000000"/>
          <w:szCs w:val="24"/>
        </w:rPr>
      </w:pPr>
    </w:p>
    <w:p w:rsidR="008869EA" w:rsidRPr="001537AD" w:rsidRDefault="00ED6F95" w:rsidP="00E07686">
      <w:pPr>
        <w:rPr>
          <w:b/>
          <w:color w:val="000000"/>
        </w:rPr>
      </w:pPr>
      <w:r>
        <w:rPr>
          <w:b/>
          <w:color w:val="000000"/>
        </w:rPr>
        <w:t>T</w:t>
      </w:r>
      <w:r w:rsidR="008869EA">
        <w:rPr>
          <w:b/>
          <w:color w:val="000000"/>
        </w:rPr>
        <w:t>able 6.1</w:t>
      </w:r>
      <w:r w:rsidR="00ED127E">
        <w:rPr>
          <w:b/>
          <w:color w:val="000000"/>
        </w:rPr>
        <w:t xml:space="preserve">. </w:t>
      </w:r>
      <w:r w:rsidR="001537AD" w:rsidRPr="001537AD">
        <w:rPr>
          <w:b/>
        </w:rPr>
        <w:t>Estimated Respondent Burden to Implement Requirements</w:t>
      </w: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tblPr>
      <w:tblGrid>
        <w:gridCol w:w="2160"/>
        <w:gridCol w:w="1170"/>
        <w:gridCol w:w="1350"/>
        <w:gridCol w:w="1195"/>
        <w:gridCol w:w="1145"/>
      </w:tblGrid>
      <w:tr w:rsidR="00004AD2" w:rsidRPr="00917C21" w:rsidTr="00174B38">
        <w:trPr>
          <w:tblHeader/>
        </w:trPr>
        <w:tc>
          <w:tcPr>
            <w:tcW w:w="2160" w:type="dxa"/>
          </w:tcPr>
          <w:p w:rsidR="00004AD2" w:rsidRPr="00917C21" w:rsidRDefault="00004AD2" w:rsidP="00D54ED8">
            <w:pPr>
              <w:rPr>
                <w:rFonts w:ascii="Arial" w:hAnsi="Arial" w:cs="Arial"/>
                <w:b/>
                <w:sz w:val="16"/>
                <w:szCs w:val="16"/>
              </w:rPr>
            </w:pPr>
            <w:r w:rsidRPr="00917C21">
              <w:rPr>
                <w:rFonts w:ascii="Arial" w:hAnsi="Arial" w:cs="Arial"/>
                <w:b/>
                <w:sz w:val="16"/>
                <w:szCs w:val="16"/>
              </w:rPr>
              <w:t>Task Element</w:t>
            </w:r>
          </w:p>
        </w:tc>
        <w:tc>
          <w:tcPr>
            <w:tcW w:w="1170" w:type="dxa"/>
          </w:tcPr>
          <w:p w:rsidR="00004AD2" w:rsidRPr="00917C21" w:rsidRDefault="00004AD2" w:rsidP="00D54ED8">
            <w:pPr>
              <w:rPr>
                <w:rFonts w:ascii="Arial" w:hAnsi="Arial" w:cs="Arial"/>
                <w:b/>
                <w:sz w:val="16"/>
                <w:szCs w:val="16"/>
              </w:rPr>
            </w:pPr>
            <w:r w:rsidRPr="00917C21">
              <w:rPr>
                <w:rFonts w:ascii="Arial" w:hAnsi="Arial" w:cs="Arial"/>
                <w:b/>
                <w:sz w:val="16"/>
                <w:szCs w:val="16"/>
              </w:rPr>
              <w:t>Hours/State</w:t>
            </w:r>
          </w:p>
        </w:tc>
        <w:tc>
          <w:tcPr>
            <w:tcW w:w="1350" w:type="dxa"/>
          </w:tcPr>
          <w:p w:rsidR="00004AD2" w:rsidRPr="00917C21" w:rsidRDefault="00004AD2" w:rsidP="00D54ED8">
            <w:pPr>
              <w:rPr>
                <w:rFonts w:ascii="Arial" w:hAnsi="Arial" w:cs="Arial"/>
                <w:b/>
                <w:sz w:val="16"/>
                <w:szCs w:val="16"/>
              </w:rPr>
            </w:pPr>
            <w:r w:rsidRPr="00917C21">
              <w:rPr>
                <w:rFonts w:ascii="Arial" w:hAnsi="Arial" w:cs="Arial"/>
                <w:b/>
                <w:sz w:val="16"/>
                <w:szCs w:val="16"/>
              </w:rPr>
              <w:t>Hours/Source</w:t>
            </w:r>
          </w:p>
        </w:tc>
        <w:tc>
          <w:tcPr>
            <w:tcW w:w="1195" w:type="dxa"/>
          </w:tcPr>
          <w:p w:rsidR="00004AD2" w:rsidRPr="00917C21" w:rsidRDefault="00F57509" w:rsidP="00F725B1">
            <w:pPr>
              <w:rPr>
                <w:rFonts w:ascii="Arial" w:hAnsi="Arial" w:cs="Arial"/>
                <w:b/>
                <w:sz w:val="16"/>
                <w:szCs w:val="16"/>
              </w:rPr>
            </w:pPr>
            <w:r>
              <w:rPr>
                <w:rFonts w:ascii="Arial" w:hAnsi="Arial" w:cs="Arial"/>
                <w:b/>
                <w:sz w:val="16"/>
                <w:szCs w:val="16"/>
              </w:rPr>
              <w:t>FLM – hours/state SIP</w:t>
            </w:r>
          </w:p>
        </w:tc>
        <w:tc>
          <w:tcPr>
            <w:tcW w:w="1145" w:type="dxa"/>
          </w:tcPr>
          <w:p w:rsidR="00004AD2" w:rsidRPr="00917C21" w:rsidRDefault="00004AD2" w:rsidP="00D54ED8">
            <w:pPr>
              <w:rPr>
                <w:rFonts w:ascii="Arial" w:hAnsi="Arial" w:cs="Arial"/>
                <w:b/>
                <w:sz w:val="16"/>
                <w:szCs w:val="16"/>
              </w:rPr>
            </w:pPr>
            <w:r w:rsidRPr="00917C21">
              <w:rPr>
                <w:rFonts w:ascii="Arial" w:hAnsi="Arial" w:cs="Arial"/>
                <w:b/>
                <w:sz w:val="16"/>
                <w:szCs w:val="16"/>
              </w:rPr>
              <w:t>Year Incurred</w:t>
            </w:r>
          </w:p>
        </w:tc>
      </w:tr>
      <w:tr w:rsidR="00004AD2" w:rsidRPr="00917C21" w:rsidTr="00174B38">
        <w:tc>
          <w:tcPr>
            <w:tcW w:w="2160" w:type="dxa"/>
          </w:tcPr>
          <w:p w:rsidR="00004AD2" w:rsidRPr="0076047E" w:rsidRDefault="00004AD2" w:rsidP="00D54ED8">
            <w:pPr>
              <w:rPr>
                <w:rFonts w:ascii="Arial" w:hAnsi="Arial" w:cs="Arial"/>
                <w:sz w:val="16"/>
                <w:szCs w:val="16"/>
              </w:rPr>
            </w:pPr>
            <w:r w:rsidRPr="0076047E">
              <w:rPr>
                <w:rFonts w:ascii="Arial" w:hAnsi="Arial" w:cs="Arial"/>
                <w:sz w:val="16"/>
                <w:szCs w:val="16"/>
              </w:rPr>
              <w:t xml:space="preserve">Develop and submit §308(g) </w:t>
            </w:r>
            <w:r w:rsidR="00C647EB">
              <w:rPr>
                <w:rFonts w:ascii="Arial" w:hAnsi="Arial" w:cs="Arial"/>
                <w:sz w:val="16"/>
                <w:szCs w:val="16"/>
              </w:rPr>
              <w:t xml:space="preserve">or 309(d)(10) </w:t>
            </w:r>
            <w:r w:rsidRPr="0076047E">
              <w:rPr>
                <w:rFonts w:ascii="Arial" w:hAnsi="Arial" w:cs="Arial"/>
                <w:sz w:val="16"/>
                <w:szCs w:val="16"/>
              </w:rPr>
              <w:t xml:space="preserve">Implementation Plan </w:t>
            </w:r>
            <w:r w:rsidR="0020124C">
              <w:rPr>
                <w:rFonts w:ascii="Arial" w:hAnsi="Arial" w:cs="Arial"/>
                <w:sz w:val="16"/>
                <w:szCs w:val="16"/>
              </w:rPr>
              <w:t>– 5-year periodic reports</w:t>
            </w:r>
          </w:p>
        </w:tc>
        <w:tc>
          <w:tcPr>
            <w:tcW w:w="1170" w:type="dxa"/>
          </w:tcPr>
          <w:p w:rsidR="00004AD2" w:rsidRPr="0076047E" w:rsidRDefault="0020124C" w:rsidP="000A1A69">
            <w:pPr>
              <w:rPr>
                <w:rFonts w:ascii="Arial" w:hAnsi="Arial" w:cs="Arial"/>
                <w:sz w:val="16"/>
                <w:szCs w:val="16"/>
              </w:rPr>
            </w:pPr>
            <w:r>
              <w:rPr>
                <w:rFonts w:ascii="Arial" w:hAnsi="Arial" w:cs="Arial"/>
                <w:sz w:val="16"/>
                <w:szCs w:val="16"/>
              </w:rPr>
              <w:t>2</w:t>
            </w:r>
            <w:r w:rsidR="000A1A69">
              <w:rPr>
                <w:rFonts w:ascii="Arial" w:hAnsi="Arial" w:cs="Arial"/>
                <w:sz w:val="16"/>
                <w:szCs w:val="16"/>
              </w:rPr>
              <w:t>4</w:t>
            </w:r>
            <w:r>
              <w:rPr>
                <w:rFonts w:ascii="Arial" w:hAnsi="Arial" w:cs="Arial"/>
                <w:sz w:val="16"/>
                <w:szCs w:val="16"/>
              </w:rPr>
              <w:t>0</w:t>
            </w:r>
          </w:p>
        </w:tc>
        <w:tc>
          <w:tcPr>
            <w:tcW w:w="1350" w:type="dxa"/>
          </w:tcPr>
          <w:p w:rsidR="00004AD2" w:rsidRPr="0076047E" w:rsidRDefault="00004AD2" w:rsidP="00D54ED8">
            <w:pPr>
              <w:rPr>
                <w:rFonts w:ascii="Arial" w:hAnsi="Arial" w:cs="Arial"/>
                <w:sz w:val="16"/>
                <w:szCs w:val="16"/>
              </w:rPr>
            </w:pPr>
            <w:r w:rsidRPr="0076047E">
              <w:rPr>
                <w:rFonts w:ascii="Arial" w:hAnsi="Arial" w:cs="Arial"/>
                <w:sz w:val="16"/>
                <w:szCs w:val="16"/>
              </w:rPr>
              <w:t>0</w:t>
            </w:r>
          </w:p>
        </w:tc>
        <w:tc>
          <w:tcPr>
            <w:tcW w:w="1195" w:type="dxa"/>
          </w:tcPr>
          <w:p w:rsidR="00004AD2" w:rsidRPr="0076047E" w:rsidRDefault="0058437E" w:rsidP="00D54ED8">
            <w:pPr>
              <w:rPr>
                <w:rFonts w:ascii="Arial" w:hAnsi="Arial" w:cs="Arial"/>
                <w:sz w:val="16"/>
                <w:szCs w:val="16"/>
              </w:rPr>
            </w:pPr>
            <w:r>
              <w:rPr>
                <w:rFonts w:ascii="Arial" w:hAnsi="Arial" w:cs="Arial"/>
                <w:sz w:val="16"/>
                <w:szCs w:val="16"/>
              </w:rPr>
              <w:t>80</w:t>
            </w:r>
          </w:p>
        </w:tc>
        <w:tc>
          <w:tcPr>
            <w:tcW w:w="1145" w:type="dxa"/>
          </w:tcPr>
          <w:p w:rsidR="00004AD2" w:rsidRPr="0076047E" w:rsidRDefault="00004AD2" w:rsidP="00FA7FC7">
            <w:pPr>
              <w:rPr>
                <w:rFonts w:ascii="Arial" w:hAnsi="Arial" w:cs="Arial"/>
                <w:sz w:val="16"/>
                <w:szCs w:val="16"/>
              </w:rPr>
            </w:pPr>
            <w:r w:rsidRPr="0076047E">
              <w:rPr>
                <w:rFonts w:ascii="Arial" w:hAnsi="Arial" w:cs="Arial"/>
                <w:sz w:val="16"/>
                <w:szCs w:val="16"/>
              </w:rPr>
              <w:t>2012 - 2015</w:t>
            </w:r>
          </w:p>
        </w:tc>
      </w:tr>
      <w:tr w:rsidR="009855D9" w:rsidRPr="00917C21" w:rsidTr="00174B38">
        <w:tc>
          <w:tcPr>
            <w:tcW w:w="2160" w:type="dxa"/>
          </w:tcPr>
          <w:p w:rsidR="009855D9" w:rsidRPr="0076047E" w:rsidRDefault="009855D9" w:rsidP="00D54ED8">
            <w:pPr>
              <w:rPr>
                <w:rFonts w:ascii="Arial" w:hAnsi="Arial" w:cs="Arial"/>
                <w:sz w:val="16"/>
                <w:szCs w:val="16"/>
              </w:rPr>
            </w:pPr>
            <w:r>
              <w:rPr>
                <w:rFonts w:ascii="Arial" w:hAnsi="Arial" w:cs="Arial"/>
                <w:sz w:val="16"/>
                <w:szCs w:val="16"/>
              </w:rPr>
              <w:t xml:space="preserve">Develop and submit </w:t>
            </w:r>
            <w:r w:rsidR="001A6D38">
              <w:rPr>
                <w:rFonts w:ascii="Arial" w:hAnsi="Arial" w:cs="Arial"/>
                <w:sz w:val="16"/>
                <w:szCs w:val="16"/>
              </w:rPr>
              <w:t>substantive revisions to the regional haze</w:t>
            </w:r>
            <w:r w:rsidR="008E0EDC">
              <w:rPr>
                <w:rFonts w:ascii="Arial" w:hAnsi="Arial" w:cs="Arial"/>
                <w:sz w:val="16"/>
                <w:szCs w:val="16"/>
              </w:rPr>
              <w:t xml:space="preserve"> SIP</w:t>
            </w:r>
          </w:p>
        </w:tc>
        <w:tc>
          <w:tcPr>
            <w:tcW w:w="1170" w:type="dxa"/>
          </w:tcPr>
          <w:p w:rsidR="009855D9" w:rsidRDefault="009855D9" w:rsidP="000A1A69">
            <w:pPr>
              <w:rPr>
                <w:rFonts w:ascii="Arial" w:hAnsi="Arial" w:cs="Arial"/>
                <w:sz w:val="16"/>
                <w:szCs w:val="16"/>
              </w:rPr>
            </w:pPr>
            <w:r>
              <w:rPr>
                <w:rFonts w:ascii="Arial" w:hAnsi="Arial" w:cs="Arial"/>
                <w:sz w:val="16"/>
                <w:szCs w:val="16"/>
              </w:rPr>
              <w:t>300</w:t>
            </w:r>
          </w:p>
        </w:tc>
        <w:tc>
          <w:tcPr>
            <w:tcW w:w="1350" w:type="dxa"/>
          </w:tcPr>
          <w:p w:rsidR="009855D9" w:rsidRPr="0076047E" w:rsidRDefault="001A6D38" w:rsidP="00D54ED8">
            <w:pPr>
              <w:rPr>
                <w:rFonts w:ascii="Arial" w:hAnsi="Arial" w:cs="Arial"/>
                <w:sz w:val="16"/>
                <w:szCs w:val="16"/>
              </w:rPr>
            </w:pPr>
            <w:r>
              <w:rPr>
                <w:rFonts w:ascii="Arial" w:hAnsi="Arial" w:cs="Arial"/>
                <w:sz w:val="16"/>
                <w:szCs w:val="16"/>
              </w:rPr>
              <w:t>0</w:t>
            </w:r>
          </w:p>
        </w:tc>
        <w:tc>
          <w:tcPr>
            <w:tcW w:w="1195" w:type="dxa"/>
          </w:tcPr>
          <w:p w:rsidR="009855D9" w:rsidRDefault="009855D9" w:rsidP="00D54ED8">
            <w:pPr>
              <w:rPr>
                <w:rFonts w:ascii="Arial" w:hAnsi="Arial" w:cs="Arial"/>
                <w:sz w:val="16"/>
                <w:szCs w:val="16"/>
              </w:rPr>
            </w:pPr>
            <w:r>
              <w:rPr>
                <w:rFonts w:ascii="Arial" w:hAnsi="Arial" w:cs="Arial"/>
                <w:sz w:val="16"/>
                <w:szCs w:val="16"/>
              </w:rPr>
              <w:t>80</w:t>
            </w:r>
          </w:p>
        </w:tc>
        <w:tc>
          <w:tcPr>
            <w:tcW w:w="1145" w:type="dxa"/>
          </w:tcPr>
          <w:p w:rsidR="009855D9" w:rsidRPr="0076047E" w:rsidRDefault="009855D9" w:rsidP="00FA7FC7">
            <w:pPr>
              <w:rPr>
                <w:rFonts w:ascii="Arial" w:hAnsi="Arial" w:cs="Arial"/>
                <w:sz w:val="16"/>
                <w:szCs w:val="16"/>
              </w:rPr>
            </w:pPr>
            <w:r>
              <w:rPr>
                <w:rFonts w:ascii="Arial" w:hAnsi="Arial" w:cs="Arial"/>
                <w:sz w:val="16"/>
                <w:szCs w:val="16"/>
              </w:rPr>
              <w:t>2012 - 2014</w:t>
            </w:r>
          </w:p>
        </w:tc>
      </w:tr>
      <w:tr w:rsidR="009855D9" w:rsidRPr="00917C21" w:rsidTr="00174B38">
        <w:tc>
          <w:tcPr>
            <w:tcW w:w="2160" w:type="dxa"/>
          </w:tcPr>
          <w:p w:rsidR="009855D9" w:rsidRPr="0076047E" w:rsidRDefault="009855D9" w:rsidP="00A67029">
            <w:pPr>
              <w:rPr>
                <w:rFonts w:ascii="Arial" w:hAnsi="Arial" w:cs="Arial"/>
                <w:sz w:val="16"/>
                <w:szCs w:val="16"/>
              </w:rPr>
            </w:pPr>
            <w:r w:rsidRPr="0076047E">
              <w:rPr>
                <w:rFonts w:ascii="Arial" w:hAnsi="Arial" w:cs="Arial"/>
                <w:sz w:val="16"/>
                <w:szCs w:val="16"/>
              </w:rPr>
              <w:t xml:space="preserve">Develop and submit </w:t>
            </w:r>
            <w:r>
              <w:rPr>
                <w:rFonts w:ascii="Arial" w:hAnsi="Arial" w:cs="Arial"/>
                <w:sz w:val="16"/>
                <w:szCs w:val="16"/>
              </w:rPr>
              <w:t xml:space="preserve">minor revisions </w:t>
            </w:r>
            <w:r w:rsidR="00A67029">
              <w:rPr>
                <w:rFonts w:ascii="Arial" w:hAnsi="Arial" w:cs="Arial"/>
                <w:sz w:val="16"/>
                <w:szCs w:val="16"/>
              </w:rPr>
              <w:t>adopting CSAPR as BART alternative.</w:t>
            </w:r>
          </w:p>
        </w:tc>
        <w:tc>
          <w:tcPr>
            <w:tcW w:w="1170" w:type="dxa"/>
          </w:tcPr>
          <w:p w:rsidR="009855D9" w:rsidRDefault="008E0EDC" w:rsidP="000A1A69">
            <w:pPr>
              <w:rPr>
                <w:rFonts w:ascii="Arial" w:hAnsi="Arial" w:cs="Arial"/>
                <w:sz w:val="16"/>
                <w:szCs w:val="16"/>
              </w:rPr>
            </w:pPr>
            <w:r>
              <w:rPr>
                <w:rFonts w:ascii="Arial" w:hAnsi="Arial" w:cs="Arial"/>
                <w:sz w:val="16"/>
                <w:szCs w:val="16"/>
              </w:rPr>
              <w:t>2</w:t>
            </w:r>
            <w:r w:rsidR="00181F4C">
              <w:rPr>
                <w:rFonts w:ascii="Arial" w:hAnsi="Arial" w:cs="Arial"/>
                <w:sz w:val="16"/>
                <w:szCs w:val="16"/>
              </w:rPr>
              <w:t>1</w:t>
            </w:r>
          </w:p>
        </w:tc>
        <w:tc>
          <w:tcPr>
            <w:tcW w:w="1350" w:type="dxa"/>
          </w:tcPr>
          <w:p w:rsidR="009855D9" w:rsidRPr="0076047E" w:rsidRDefault="009855D9" w:rsidP="00D54ED8">
            <w:pPr>
              <w:rPr>
                <w:rFonts w:ascii="Arial" w:hAnsi="Arial" w:cs="Arial"/>
                <w:sz w:val="16"/>
                <w:szCs w:val="16"/>
              </w:rPr>
            </w:pPr>
            <w:r w:rsidRPr="0076047E">
              <w:rPr>
                <w:rFonts w:ascii="Arial" w:hAnsi="Arial" w:cs="Arial"/>
                <w:sz w:val="16"/>
                <w:szCs w:val="16"/>
              </w:rPr>
              <w:t>0</w:t>
            </w:r>
          </w:p>
        </w:tc>
        <w:tc>
          <w:tcPr>
            <w:tcW w:w="1195" w:type="dxa"/>
          </w:tcPr>
          <w:p w:rsidR="009855D9" w:rsidRDefault="009855D9" w:rsidP="00D54ED8">
            <w:pPr>
              <w:rPr>
                <w:rFonts w:ascii="Arial" w:hAnsi="Arial" w:cs="Arial"/>
                <w:sz w:val="16"/>
                <w:szCs w:val="16"/>
              </w:rPr>
            </w:pPr>
            <w:r>
              <w:rPr>
                <w:rFonts w:ascii="Arial" w:hAnsi="Arial" w:cs="Arial"/>
                <w:sz w:val="16"/>
                <w:szCs w:val="16"/>
              </w:rPr>
              <w:t>0</w:t>
            </w:r>
          </w:p>
        </w:tc>
        <w:tc>
          <w:tcPr>
            <w:tcW w:w="1145" w:type="dxa"/>
          </w:tcPr>
          <w:p w:rsidR="009855D9" w:rsidRPr="0076047E" w:rsidRDefault="009855D9" w:rsidP="00FA7FC7">
            <w:pPr>
              <w:rPr>
                <w:rFonts w:ascii="Arial" w:hAnsi="Arial" w:cs="Arial"/>
                <w:sz w:val="16"/>
                <w:szCs w:val="16"/>
              </w:rPr>
            </w:pPr>
            <w:r w:rsidRPr="0076047E">
              <w:rPr>
                <w:rFonts w:ascii="Arial" w:hAnsi="Arial" w:cs="Arial"/>
                <w:sz w:val="16"/>
                <w:szCs w:val="16"/>
              </w:rPr>
              <w:t>2012 - 2015</w:t>
            </w:r>
          </w:p>
        </w:tc>
      </w:tr>
      <w:tr w:rsidR="009855D9" w:rsidRPr="00917C21" w:rsidTr="00174B38">
        <w:tc>
          <w:tcPr>
            <w:tcW w:w="2160" w:type="dxa"/>
          </w:tcPr>
          <w:p w:rsidR="009855D9" w:rsidRPr="0076047E" w:rsidRDefault="00355042" w:rsidP="00D54ED8">
            <w:pPr>
              <w:rPr>
                <w:rFonts w:ascii="Arial" w:hAnsi="Arial" w:cs="Arial"/>
                <w:sz w:val="16"/>
                <w:szCs w:val="16"/>
              </w:rPr>
            </w:pPr>
            <w:r>
              <w:rPr>
                <w:rFonts w:ascii="Arial" w:hAnsi="Arial" w:cs="Arial"/>
                <w:sz w:val="16"/>
                <w:szCs w:val="16"/>
              </w:rPr>
              <w:t>Early efforts on 2018 SIP</w:t>
            </w:r>
          </w:p>
        </w:tc>
        <w:tc>
          <w:tcPr>
            <w:tcW w:w="1170" w:type="dxa"/>
          </w:tcPr>
          <w:p w:rsidR="009855D9" w:rsidRDefault="00355042" w:rsidP="000A1A69">
            <w:pPr>
              <w:rPr>
                <w:rFonts w:ascii="Arial" w:hAnsi="Arial" w:cs="Arial"/>
                <w:sz w:val="16"/>
                <w:szCs w:val="16"/>
              </w:rPr>
            </w:pPr>
            <w:r>
              <w:rPr>
                <w:rFonts w:ascii="Arial" w:hAnsi="Arial" w:cs="Arial"/>
                <w:sz w:val="16"/>
                <w:szCs w:val="16"/>
              </w:rPr>
              <w:t>50</w:t>
            </w:r>
          </w:p>
        </w:tc>
        <w:tc>
          <w:tcPr>
            <w:tcW w:w="1350" w:type="dxa"/>
          </w:tcPr>
          <w:p w:rsidR="009855D9" w:rsidRPr="0076047E" w:rsidRDefault="00355042" w:rsidP="00D54ED8">
            <w:pPr>
              <w:rPr>
                <w:rFonts w:ascii="Arial" w:hAnsi="Arial" w:cs="Arial"/>
                <w:sz w:val="16"/>
                <w:szCs w:val="16"/>
              </w:rPr>
            </w:pPr>
            <w:r>
              <w:rPr>
                <w:rFonts w:ascii="Arial" w:hAnsi="Arial" w:cs="Arial"/>
                <w:sz w:val="16"/>
                <w:szCs w:val="16"/>
              </w:rPr>
              <w:t>0</w:t>
            </w:r>
          </w:p>
        </w:tc>
        <w:tc>
          <w:tcPr>
            <w:tcW w:w="1195" w:type="dxa"/>
          </w:tcPr>
          <w:p w:rsidR="009855D9" w:rsidRDefault="00355042" w:rsidP="00D54ED8">
            <w:pPr>
              <w:rPr>
                <w:rFonts w:ascii="Arial" w:hAnsi="Arial" w:cs="Arial"/>
                <w:sz w:val="16"/>
                <w:szCs w:val="16"/>
              </w:rPr>
            </w:pPr>
            <w:r>
              <w:rPr>
                <w:rFonts w:ascii="Arial" w:hAnsi="Arial" w:cs="Arial"/>
                <w:sz w:val="16"/>
                <w:szCs w:val="16"/>
              </w:rPr>
              <w:t>0</w:t>
            </w:r>
          </w:p>
        </w:tc>
        <w:tc>
          <w:tcPr>
            <w:tcW w:w="1145" w:type="dxa"/>
          </w:tcPr>
          <w:p w:rsidR="009855D9" w:rsidRPr="0076047E" w:rsidRDefault="00355042" w:rsidP="00FA7FC7">
            <w:pPr>
              <w:rPr>
                <w:rFonts w:ascii="Arial" w:hAnsi="Arial" w:cs="Arial"/>
                <w:sz w:val="16"/>
                <w:szCs w:val="16"/>
              </w:rPr>
            </w:pPr>
            <w:r>
              <w:rPr>
                <w:rFonts w:ascii="Arial" w:hAnsi="Arial" w:cs="Arial"/>
                <w:sz w:val="16"/>
                <w:szCs w:val="16"/>
              </w:rPr>
              <w:t>2013 - 2015</w:t>
            </w:r>
          </w:p>
        </w:tc>
      </w:tr>
    </w:tbl>
    <w:p w:rsidR="009E09CF" w:rsidRDefault="009E09CF" w:rsidP="007665F0">
      <w:pPr>
        <w:rPr>
          <w:szCs w:val="24"/>
          <w:lang w:val="en-CA"/>
        </w:rPr>
      </w:pPr>
    </w:p>
    <w:p w:rsidR="006947AF" w:rsidRPr="006947AF" w:rsidRDefault="006947AF" w:rsidP="007665F0">
      <w:pPr>
        <w:rPr>
          <w:szCs w:val="24"/>
          <w:lang w:val="en-CA"/>
        </w:rPr>
      </w:pPr>
    </w:p>
    <w:p w:rsidR="006947AF" w:rsidRDefault="006947AF" w:rsidP="007665F0">
      <w:pPr>
        <w:rPr>
          <w:szCs w:val="24"/>
          <w:lang w:val="en-CA"/>
        </w:rPr>
      </w:pPr>
    </w:p>
    <w:p w:rsidR="004B7FCD" w:rsidRDefault="00AA30E0" w:rsidP="007665F0">
      <w:pPr>
        <w:rPr>
          <w:color w:val="000000"/>
        </w:rPr>
      </w:pPr>
      <w:r>
        <w:rPr>
          <w:noProof/>
          <w:color w:val="000000"/>
        </w:rPr>
        <w:pict>
          <v:shape id="_x0000_s1095" type="#_x0000_t202" style="position:absolute;margin-left:-180pt;margin-top:1.55pt;width:149.6pt;height:31.55pt;z-index:14;mso-position-horizontal-relative:margin" filled="f" stroked="f">
            <v:textbox style="mso-next-textbox:#_x0000_s1095" inset="0,0">
              <w:txbxContent>
                <w:p w:rsidR="004817C3" w:rsidRPr="009B4422" w:rsidRDefault="004817C3" w:rsidP="007665F0">
                  <w:pPr>
                    <w:ind w:left="720" w:hanging="720"/>
                    <w:rPr>
                      <w:rFonts w:ascii="Arial" w:hAnsi="Arial" w:cs="Arial"/>
                      <w:b/>
                    </w:rPr>
                  </w:pPr>
                  <w:r>
                    <w:rPr>
                      <w:rFonts w:ascii="Arial" w:hAnsi="Arial" w:cs="Arial"/>
                      <w:b/>
                    </w:rPr>
                    <w:t>6.2</w:t>
                  </w:r>
                  <w:r w:rsidRPr="009B4422">
                    <w:rPr>
                      <w:rFonts w:ascii="Arial" w:hAnsi="Arial" w:cs="Arial"/>
                      <w:b/>
                    </w:rPr>
                    <w:tab/>
                    <w:t>Estimating Respondent</w:t>
                  </w:r>
                  <w:r>
                    <w:rPr>
                      <w:rFonts w:ascii="Arial" w:hAnsi="Arial" w:cs="Arial"/>
                      <w:b/>
                    </w:rPr>
                    <w:t xml:space="preserve"> Costs</w:t>
                  </w:r>
                </w:p>
              </w:txbxContent>
            </v:textbox>
            <w10:wrap anchorx="margin"/>
          </v:shape>
        </w:pict>
      </w:r>
      <w:r w:rsidR="006F444F">
        <w:rPr>
          <w:szCs w:val="24"/>
          <w:lang w:val="en-CA"/>
        </w:rPr>
        <w:t>This</w:t>
      </w:r>
      <w:r w:rsidR="007665F0">
        <w:rPr>
          <w:szCs w:val="24"/>
        </w:rPr>
        <w:t xml:space="preserve"> ICR uses </w:t>
      </w:r>
      <w:r w:rsidR="00713390">
        <w:rPr>
          <w:szCs w:val="24"/>
        </w:rPr>
        <w:t>the most recently available</w:t>
      </w:r>
      <w:r w:rsidR="00293796">
        <w:rPr>
          <w:szCs w:val="24"/>
        </w:rPr>
        <w:t xml:space="preserve"> </w:t>
      </w:r>
      <w:r w:rsidR="006F444F">
        <w:rPr>
          <w:szCs w:val="24"/>
        </w:rPr>
        <w:t>wage</w:t>
      </w:r>
      <w:r w:rsidR="007665F0">
        <w:rPr>
          <w:szCs w:val="24"/>
        </w:rPr>
        <w:t xml:space="preserve"> values with the wage rate metho</w:t>
      </w:r>
      <w:r w:rsidR="006F444F">
        <w:rPr>
          <w:szCs w:val="24"/>
        </w:rPr>
        <w:t>ds established in the New Source Review</w:t>
      </w:r>
      <w:r w:rsidR="009E286E">
        <w:rPr>
          <w:szCs w:val="24"/>
        </w:rPr>
        <w:t xml:space="preserve"> (NSR)</w:t>
      </w:r>
      <w:r w:rsidR="00922414">
        <w:rPr>
          <w:szCs w:val="24"/>
        </w:rPr>
        <w:t xml:space="preserve"> ICRs</w:t>
      </w:r>
      <w:r w:rsidR="00D27881">
        <w:rPr>
          <w:rStyle w:val="FootnoteReference"/>
          <w:szCs w:val="24"/>
        </w:rPr>
        <w:footnoteReference w:id="3"/>
      </w:r>
      <w:r w:rsidR="00922414">
        <w:rPr>
          <w:szCs w:val="24"/>
        </w:rPr>
        <w:t>.</w:t>
      </w:r>
      <w:r w:rsidR="00D77DD5">
        <w:rPr>
          <w:szCs w:val="24"/>
        </w:rPr>
        <w:t xml:space="preserve"> </w:t>
      </w:r>
      <w:r w:rsidR="00190EBF" w:rsidRPr="00F57509">
        <w:rPr>
          <w:color w:val="000000"/>
        </w:rPr>
        <w:t>For this renewal period, the burden for industrial sources will be negligible as the reports are required from the states</w:t>
      </w:r>
      <w:r w:rsidR="00190EBF">
        <w:rPr>
          <w:color w:val="000000"/>
        </w:rPr>
        <w:t xml:space="preserve"> with review being done by </w:t>
      </w:r>
      <w:r w:rsidR="006601C4">
        <w:rPr>
          <w:color w:val="000000"/>
        </w:rPr>
        <w:t xml:space="preserve">the </w:t>
      </w:r>
      <w:r w:rsidR="00190EBF">
        <w:rPr>
          <w:color w:val="000000"/>
        </w:rPr>
        <w:t xml:space="preserve">EPA and the FLMs. </w:t>
      </w:r>
    </w:p>
    <w:p w:rsidR="00190EBF" w:rsidRDefault="00190EBF" w:rsidP="007665F0">
      <w:pPr>
        <w:rPr>
          <w:szCs w:val="24"/>
        </w:rPr>
      </w:pPr>
    </w:p>
    <w:p w:rsidR="00313695" w:rsidRDefault="00B8523E" w:rsidP="00666AED">
      <w:pPr>
        <w:rPr>
          <w:szCs w:val="24"/>
        </w:rPr>
      </w:pPr>
      <w:r>
        <w:rPr>
          <w:szCs w:val="24"/>
        </w:rPr>
        <w:t xml:space="preserve">Consistent with methodologies for previous </w:t>
      </w:r>
      <w:r w:rsidR="00D77DD5">
        <w:rPr>
          <w:szCs w:val="24"/>
        </w:rPr>
        <w:t xml:space="preserve">NSR </w:t>
      </w:r>
      <w:r>
        <w:rPr>
          <w:szCs w:val="24"/>
        </w:rPr>
        <w:t xml:space="preserve">ICRs, the labor rate used to calculate federal, state, and local respondents’ labor costs is </w:t>
      </w:r>
      <w:r w:rsidR="008E2059">
        <w:rPr>
          <w:szCs w:val="24"/>
        </w:rPr>
        <w:t>approximated</w:t>
      </w:r>
      <w:r w:rsidR="0050637A">
        <w:rPr>
          <w:szCs w:val="24"/>
        </w:rPr>
        <w:t xml:space="preserve"> from the 2012 f</w:t>
      </w:r>
      <w:r>
        <w:rPr>
          <w:szCs w:val="24"/>
        </w:rPr>
        <w:t xml:space="preserve">ederal government pay schedule. Managerial rates are </w:t>
      </w:r>
      <w:r w:rsidR="00206FC8">
        <w:rPr>
          <w:szCs w:val="24"/>
        </w:rPr>
        <w:t>accounted for</w:t>
      </w:r>
      <w:r>
        <w:rPr>
          <w:szCs w:val="24"/>
        </w:rPr>
        <w:t xml:space="preserve"> by multiplying the hourly rate by 9%; the clerical support rates are multiplied by 1</w:t>
      </w:r>
      <w:r w:rsidR="008E2059">
        <w:rPr>
          <w:szCs w:val="24"/>
        </w:rPr>
        <w:t>3</w:t>
      </w:r>
      <w:r>
        <w:rPr>
          <w:szCs w:val="24"/>
        </w:rPr>
        <w:t>%.</w:t>
      </w:r>
      <w:r>
        <w:rPr>
          <w:rStyle w:val="FootnoteReference"/>
          <w:szCs w:val="24"/>
        </w:rPr>
        <w:footnoteReference w:id="4"/>
      </w:r>
      <w:r>
        <w:rPr>
          <w:szCs w:val="24"/>
        </w:rPr>
        <w:t xml:space="preserve"> </w:t>
      </w:r>
      <w:r w:rsidR="00EB1660">
        <w:rPr>
          <w:szCs w:val="24"/>
        </w:rPr>
        <w:t>The hourly rate is $</w:t>
      </w:r>
      <w:r w:rsidR="00795215">
        <w:rPr>
          <w:szCs w:val="24"/>
        </w:rPr>
        <w:t>48.55</w:t>
      </w:r>
      <w:r w:rsidR="00EB1660">
        <w:rPr>
          <w:szCs w:val="24"/>
        </w:rPr>
        <w:t>, and the calculation is shown in Table 6.3</w:t>
      </w:r>
    </w:p>
    <w:p w:rsidR="00666AED" w:rsidRPr="00481F83" w:rsidRDefault="00666AED" w:rsidP="00666AED"/>
    <w:p w:rsidR="0072384D" w:rsidRPr="00481F83" w:rsidRDefault="0072384D" w:rsidP="00666AED">
      <w:pPr>
        <w:ind w:hanging="720"/>
      </w:pPr>
      <w:r w:rsidRPr="00481F83">
        <w:rPr>
          <w:b/>
        </w:rPr>
        <w:t>Table 6.</w:t>
      </w:r>
      <w:r w:rsidR="00666AED" w:rsidRPr="00481F83">
        <w:rPr>
          <w:b/>
        </w:rPr>
        <w:t>3</w:t>
      </w:r>
      <w:r w:rsidR="008F0296" w:rsidRPr="00481F83">
        <w:rPr>
          <w:b/>
        </w:rPr>
        <w:t xml:space="preserve"> </w:t>
      </w:r>
      <w:r w:rsidRPr="00481F83">
        <w:rPr>
          <w:b/>
        </w:rPr>
        <w:t>Determination of Federal</w:t>
      </w:r>
      <w:r w:rsidR="00EB1660">
        <w:rPr>
          <w:b/>
        </w:rPr>
        <w:t>, State, and Local</w:t>
      </w:r>
      <w:r w:rsidRPr="00481F83">
        <w:rPr>
          <w:b/>
        </w:rPr>
        <w:t xml:space="preserve"> Wage Rates</w:t>
      </w:r>
    </w:p>
    <w:tbl>
      <w:tblPr>
        <w:tblW w:w="0" w:type="auto"/>
        <w:tblInd w:w="-63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
      <w:tblGrid>
        <w:gridCol w:w="4950"/>
        <w:gridCol w:w="1440"/>
        <w:gridCol w:w="1440"/>
      </w:tblGrid>
      <w:tr w:rsidR="00D54ED8" w:rsidRPr="00481F83">
        <w:trPr>
          <w:cantSplit/>
        </w:trPr>
        <w:tc>
          <w:tcPr>
            <w:tcW w:w="4950" w:type="dxa"/>
          </w:tcPr>
          <w:p w:rsidR="0072384D" w:rsidRPr="00481F83" w:rsidRDefault="0072384D" w:rsidP="008E205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481F83">
              <w:rPr>
                <w:rFonts w:ascii="Arial" w:hAnsi="Arial"/>
                <w:sz w:val="16"/>
              </w:rPr>
              <w:t xml:space="preserve">Annual Salary of </w:t>
            </w:r>
            <w:r w:rsidR="008E2059">
              <w:rPr>
                <w:rFonts w:ascii="Arial" w:hAnsi="Arial"/>
                <w:sz w:val="16"/>
              </w:rPr>
              <w:t>Technical</w:t>
            </w:r>
            <w:r w:rsidR="008E2059" w:rsidRPr="00481F83">
              <w:rPr>
                <w:rFonts w:ascii="Arial" w:hAnsi="Arial"/>
                <w:sz w:val="16"/>
              </w:rPr>
              <w:t xml:space="preserve"> </w:t>
            </w:r>
            <w:r w:rsidRPr="00481F83">
              <w:rPr>
                <w:rFonts w:ascii="Arial" w:hAnsi="Arial"/>
                <w:sz w:val="16"/>
              </w:rPr>
              <w:t xml:space="preserve">Staff, GS 11 Step 3 (FY </w:t>
            </w:r>
            <w:r w:rsidR="00CC4524" w:rsidRPr="00481F83">
              <w:rPr>
                <w:rFonts w:ascii="Arial" w:hAnsi="Arial"/>
                <w:sz w:val="16"/>
              </w:rPr>
              <w:t>12</w:t>
            </w:r>
            <w:r w:rsidRPr="00481F83">
              <w:rPr>
                <w:rFonts w:ascii="Arial" w:hAnsi="Arial"/>
                <w:sz w:val="16"/>
              </w:rPr>
              <w:t xml:space="preserve"> Schedule)*</w:t>
            </w:r>
          </w:p>
        </w:tc>
        <w:tc>
          <w:tcPr>
            <w:tcW w:w="1440" w:type="dxa"/>
          </w:tcPr>
          <w:p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rsidR="0072384D" w:rsidRPr="00481F83" w:rsidRDefault="0072384D" w:rsidP="00CC452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CC4524" w:rsidRPr="00481F83">
              <w:rPr>
                <w:rFonts w:ascii="Arial" w:hAnsi="Arial"/>
                <w:sz w:val="16"/>
              </w:rPr>
              <w:t>53,639</w:t>
            </w:r>
            <w:r w:rsidRPr="00481F83">
              <w:rPr>
                <w:rFonts w:ascii="Arial" w:hAnsi="Arial"/>
                <w:sz w:val="16"/>
              </w:rPr>
              <w:t>.00</w:t>
            </w:r>
          </w:p>
        </w:tc>
      </w:tr>
      <w:tr w:rsidR="00D54ED8" w:rsidRPr="00481F83">
        <w:trPr>
          <w:cantSplit/>
        </w:trPr>
        <w:tc>
          <w:tcPr>
            <w:tcW w:w="4950" w:type="dxa"/>
          </w:tcPr>
          <w:p w:rsidR="0072384D" w:rsidRPr="00481F83" w:rsidRDefault="0072384D" w:rsidP="00CC452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481F83">
              <w:rPr>
                <w:rFonts w:ascii="Arial" w:hAnsi="Arial"/>
                <w:sz w:val="16"/>
              </w:rPr>
              <w:t xml:space="preserve">Annual Cost of Supervisory Staff, GS 13 Step 3 (FY </w:t>
            </w:r>
            <w:r w:rsidR="00CC4524" w:rsidRPr="00481F83">
              <w:rPr>
                <w:rFonts w:ascii="Arial" w:hAnsi="Arial"/>
                <w:sz w:val="16"/>
              </w:rPr>
              <w:t>12</w:t>
            </w:r>
            <w:r w:rsidRPr="00481F83">
              <w:rPr>
                <w:rFonts w:ascii="Arial" w:hAnsi="Arial"/>
                <w:sz w:val="16"/>
              </w:rPr>
              <w:t xml:space="preserve"> Schedule)*</w:t>
            </w:r>
          </w:p>
        </w:tc>
        <w:tc>
          <w:tcPr>
            <w:tcW w:w="1440" w:type="dxa"/>
          </w:tcPr>
          <w:p w:rsidR="0072384D" w:rsidRPr="00481F83" w:rsidRDefault="0072384D" w:rsidP="00CC452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CC4524" w:rsidRPr="00481F83">
              <w:rPr>
                <w:rFonts w:ascii="Arial" w:hAnsi="Arial"/>
                <w:sz w:val="16"/>
              </w:rPr>
              <w:t>76,452</w:t>
            </w:r>
            <w:r w:rsidRPr="00481F83">
              <w:rPr>
                <w:rFonts w:ascii="Arial" w:hAnsi="Arial"/>
                <w:sz w:val="16"/>
              </w:rPr>
              <w:t>.00</w:t>
            </w:r>
          </w:p>
        </w:tc>
        <w:tc>
          <w:tcPr>
            <w:tcW w:w="1440" w:type="dxa"/>
          </w:tcPr>
          <w:p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r>
      <w:tr w:rsidR="00D54ED8" w:rsidRPr="00481F83">
        <w:trPr>
          <w:cantSplit/>
        </w:trPr>
        <w:tc>
          <w:tcPr>
            <w:tcW w:w="4950" w:type="dxa"/>
          </w:tcPr>
          <w:p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360"/>
              <w:rPr>
                <w:rFonts w:ascii="Arial" w:hAnsi="Arial"/>
                <w:sz w:val="16"/>
              </w:rPr>
            </w:pPr>
            <w:r w:rsidRPr="00481F83">
              <w:rPr>
                <w:rFonts w:ascii="Arial" w:hAnsi="Arial"/>
                <w:sz w:val="16"/>
              </w:rPr>
              <w:t>Factor (1/11)</w:t>
            </w:r>
          </w:p>
        </w:tc>
        <w:tc>
          <w:tcPr>
            <w:tcW w:w="1440" w:type="dxa"/>
          </w:tcPr>
          <w:p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0.09</w:t>
            </w:r>
          </w:p>
        </w:tc>
        <w:tc>
          <w:tcPr>
            <w:tcW w:w="1440" w:type="dxa"/>
          </w:tcPr>
          <w:p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p>
        </w:tc>
      </w:tr>
      <w:tr w:rsidR="00D54ED8" w:rsidRPr="00481F83">
        <w:trPr>
          <w:cantSplit/>
        </w:trPr>
        <w:tc>
          <w:tcPr>
            <w:tcW w:w="4950" w:type="dxa"/>
          </w:tcPr>
          <w:p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rsidR="0072384D" w:rsidRPr="00481F83" w:rsidRDefault="0072384D" w:rsidP="00CC452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CC4524" w:rsidRPr="00481F83">
              <w:rPr>
                <w:rFonts w:ascii="Arial" w:hAnsi="Arial"/>
                <w:sz w:val="16"/>
              </w:rPr>
              <w:t>6,880.68</w:t>
            </w:r>
          </w:p>
        </w:tc>
      </w:tr>
      <w:tr w:rsidR="00D54ED8" w:rsidRPr="00481F83">
        <w:trPr>
          <w:cantSplit/>
        </w:trPr>
        <w:tc>
          <w:tcPr>
            <w:tcW w:w="4950" w:type="dxa"/>
            <w:vMerge w:val="restart"/>
          </w:tcPr>
          <w:p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481F83">
              <w:rPr>
                <w:rFonts w:ascii="Arial" w:hAnsi="Arial"/>
                <w:sz w:val="16"/>
              </w:rPr>
              <w:t xml:space="preserve">Annual Cost of Support Staff, GS 6 Step 6 (FY </w:t>
            </w:r>
            <w:r w:rsidR="00A913E9" w:rsidRPr="00481F83">
              <w:rPr>
                <w:rFonts w:ascii="Arial" w:hAnsi="Arial"/>
                <w:sz w:val="16"/>
              </w:rPr>
              <w:t xml:space="preserve">12 </w:t>
            </w:r>
            <w:r w:rsidRPr="00481F83">
              <w:rPr>
                <w:rFonts w:ascii="Arial" w:hAnsi="Arial"/>
                <w:sz w:val="16"/>
              </w:rPr>
              <w:t>Schedule)*</w:t>
            </w:r>
          </w:p>
          <w:p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16"/>
              </w:rPr>
            </w:pPr>
            <w:r w:rsidRPr="00481F83">
              <w:rPr>
                <w:rFonts w:ascii="Arial" w:hAnsi="Arial"/>
                <w:sz w:val="16"/>
              </w:rPr>
              <w:t>Factor (1/8)</w:t>
            </w:r>
          </w:p>
        </w:tc>
        <w:tc>
          <w:tcPr>
            <w:tcW w:w="1440" w:type="dxa"/>
          </w:tcPr>
          <w:p w:rsidR="0072384D" w:rsidRPr="00481F83" w:rsidRDefault="0072384D" w:rsidP="00CC452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$3</w:t>
            </w:r>
            <w:r w:rsidR="00CC4524" w:rsidRPr="00481F83">
              <w:rPr>
                <w:rFonts w:ascii="Arial" w:hAnsi="Arial"/>
                <w:sz w:val="16"/>
              </w:rPr>
              <w:t>5,672</w:t>
            </w:r>
            <w:r w:rsidRPr="00481F83">
              <w:rPr>
                <w:rFonts w:ascii="Arial" w:hAnsi="Arial"/>
                <w:sz w:val="16"/>
              </w:rPr>
              <w:t>.00</w:t>
            </w:r>
          </w:p>
        </w:tc>
        <w:tc>
          <w:tcPr>
            <w:tcW w:w="1440" w:type="dxa"/>
          </w:tcPr>
          <w:p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r>
      <w:tr w:rsidR="00D54ED8" w:rsidRPr="00481F83">
        <w:trPr>
          <w:cantSplit/>
        </w:trPr>
        <w:tc>
          <w:tcPr>
            <w:tcW w:w="4950" w:type="dxa"/>
            <w:vMerge/>
          </w:tcPr>
          <w:p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0.13</w:t>
            </w:r>
          </w:p>
        </w:tc>
        <w:tc>
          <w:tcPr>
            <w:tcW w:w="1440" w:type="dxa"/>
          </w:tcPr>
          <w:p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p>
        </w:tc>
      </w:tr>
      <w:tr w:rsidR="00D54ED8" w:rsidRPr="00481F83">
        <w:trPr>
          <w:cantSplit/>
        </w:trPr>
        <w:tc>
          <w:tcPr>
            <w:tcW w:w="4950" w:type="dxa"/>
          </w:tcPr>
          <w:p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rsidR="0072384D" w:rsidRPr="00481F83"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rsidR="0072384D" w:rsidRPr="00481F83" w:rsidRDefault="0072384D" w:rsidP="00B811C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$4,</w:t>
            </w:r>
            <w:r w:rsidR="00B811C0" w:rsidRPr="00481F83">
              <w:rPr>
                <w:rFonts w:ascii="Arial" w:hAnsi="Arial"/>
                <w:sz w:val="16"/>
              </w:rPr>
              <w:t>637.36</w:t>
            </w:r>
          </w:p>
        </w:tc>
      </w:tr>
      <w:tr w:rsidR="00D54ED8">
        <w:trPr>
          <w:cantSplit/>
        </w:trPr>
        <w:tc>
          <w:tcPr>
            <w:tcW w:w="4950" w:type="dxa"/>
          </w:tcPr>
          <w:p w:rsidR="0072384D" w:rsidRDefault="0072384D" w:rsidP="00D3203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lastRenderedPageBreak/>
              <w:t xml:space="preserve">Annual Applicable Salary of </w:t>
            </w:r>
            <w:r w:rsidR="00D32038">
              <w:rPr>
                <w:rFonts w:ascii="Arial" w:hAnsi="Arial"/>
                <w:color w:val="000000"/>
                <w:sz w:val="16"/>
              </w:rPr>
              <w:t xml:space="preserve">Technical </w:t>
            </w:r>
            <w:r>
              <w:rPr>
                <w:rFonts w:ascii="Arial" w:hAnsi="Arial"/>
                <w:color w:val="000000"/>
                <w:sz w:val="16"/>
              </w:rPr>
              <w:t>Staff</w:t>
            </w:r>
          </w:p>
        </w:tc>
        <w:tc>
          <w:tcPr>
            <w:tcW w:w="1440" w:type="dxa"/>
          </w:tcPr>
          <w:p w:rsidR="0072384D"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rsidR="0072384D" w:rsidRPr="00481F83" w:rsidRDefault="0072384D" w:rsidP="00B811C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B811C0" w:rsidRPr="00481F83">
              <w:rPr>
                <w:rFonts w:ascii="Arial" w:hAnsi="Arial"/>
                <w:sz w:val="16"/>
              </w:rPr>
              <w:t>65,157.04</w:t>
            </w:r>
          </w:p>
        </w:tc>
      </w:tr>
      <w:tr w:rsidR="0077471F" w:rsidTr="0077471F">
        <w:trPr>
          <w:cantSplit/>
          <w:trHeight w:val="706"/>
        </w:trPr>
        <w:tc>
          <w:tcPr>
            <w:tcW w:w="4950" w:type="dxa"/>
          </w:tcPr>
          <w:p w:rsidR="0077471F" w:rsidRDefault="00D32038" w:rsidP="0077471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Benefits (at 16%)</w:t>
            </w:r>
          </w:p>
        </w:tc>
        <w:tc>
          <w:tcPr>
            <w:tcW w:w="1440" w:type="dxa"/>
          </w:tcPr>
          <w:p w:rsidR="0077471F" w:rsidRDefault="0077471F"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rsidR="0077471F" w:rsidRPr="00481F83" w:rsidRDefault="00D32038" w:rsidP="0077471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Pr>
                <w:rFonts w:ascii="Arial" w:hAnsi="Arial"/>
                <w:sz w:val="16"/>
              </w:rPr>
              <w:t>$10,425.13</w:t>
            </w:r>
          </w:p>
        </w:tc>
      </w:tr>
      <w:tr w:rsidR="00D54ED8">
        <w:trPr>
          <w:cantSplit/>
        </w:trPr>
        <w:tc>
          <w:tcPr>
            <w:tcW w:w="4950" w:type="dxa"/>
          </w:tcPr>
          <w:p w:rsidR="0072384D" w:rsidRDefault="00D32038"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Sick Leave / Vacation (at 10%)</w:t>
            </w:r>
          </w:p>
        </w:tc>
        <w:tc>
          <w:tcPr>
            <w:tcW w:w="1440" w:type="dxa"/>
          </w:tcPr>
          <w:p w:rsidR="0072384D"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rsidR="0072384D" w:rsidRDefault="0072384D" w:rsidP="00D3203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w:t>
            </w:r>
            <w:r w:rsidR="00D32038">
              <w:rPr>
                <w:rFonts w:ascii="Arial" w:hAnsi="Arial"/>
                <w:color w:val="000000"/>
                <w:sz w:val="16"/>
              </w:rPr>
              <w:t>6,515.70</w:t>
            </w:r>
          </w:p>
        </w:tc>
      </w:tr>
      <w:tr w:rsidR="00D54ED8" w:rsidTr="005A0A3A">
        <w:trPr>
          <w:cantSplit/>
        </w:trPr>
        <w:tc>
          <w:tcPr>
            <w:tcW w:w="4950" w:type="dxa"/>
            <w:vAlign w:val="bottom"/>
          </w:tcPr>
          <w:p w:rsidR="0072384D" w:rsidRDefault="00D32038"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General Overhead (at 29%)</w:t>
            </w:r>
          </w:p>
        </w:tc>
        <w:tc>
          <w:tcPr>
            <w:tcW w:w="1440" w:type="dxa"/>
            <w:vAlign w:val="bottom"/>
          </w:tcPr>
          <w:p w:rsidR="0072384D" w:rsidRDefault="0072384D"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15" w:space="0" w:color="000000"/>
              <w:right w:val="single" w:sz="15" w:space="0" w:color="000000"/>
            </w:tcBorders>
            <w:vAlign w:val="bottom"/>
          </w:tcPr>
          <w:p w:rsidR="0072384D" w:rsidRDefault="0072384D" w:rsidP="005A0A3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color w:val="000000"/>
              </w:rPr>
            </w:pPr>
            <w:r>
              <w:rPr>
                <w:rFonts w:ascii="Arial" w:hAnsi="Arial"/>
                <w:color w:val="000000"/>
                <w:sz w:val="16"/>
              </w:rPr>
              <w:t>$</w:t>
            </w:r>
            <w:r w:rsidR="005A0A3A">
              <w:rPr>
                <w:rFonts w:ascii="Arial" w:hAnsi="Arial"/>
                <w:color w:val="000000"/>
                <w:sz w:val="16"/>
              </w:rPr>
              <w:t>18,895.54</w:t>
            </w:r>
          </w:p>
        </w:tc>
      </w:tr>
      <w:tr w:rsidR="005A0A3A" w:rsidTr="005A0A3A">
        <w:trPr>
          <w:cantSplit/>
        </w:trPr>
        <w:tc>
          <w:tcPr>
            <w:tcW w:w="4950" w:type="dxa"/>
            <w:vAlign w:val="bottom"/>
          </w:tcPr>
          <w:p w:rsidR="005A0A3A" w:rsidDel="00D32038"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Total Cost Per FTE</w:t>
            </w:r>
          </w:p>
        </w:tc>
        <w:tc>
          <w:tcPr>
            <w:tcW w:w="1440" w:type="dxa"/>
            <w:vAlign w:val="bottom"/>
          </w:tcPr>
          <w:p w:rsidR="005A0A3A"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15" w:space="0" w:color="000000"/>
              <w:right w:val="single" w:sz="15" w:space="0" w:color="000000"/>
            </w:tcBorders>
            <w:vAlign w:val="bottom"/>
          </w:tcPr>
          <w:p w:rsidR="005A0A3A" w:rsidRDefault="00795215" w:rsidP="005A0A3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$100,993.41</w:t>
            </w:r>
          </w:p>
        </w:tc>
      </w:tr>
      <w:tr w:rsidR="005A0A3A">
        <w:trPr>
          <w:cantSplit/>
        </w:trPr>
        <w:tc>
          <w:tcPr>
            <w:tcW w:w="4950" w:type="dxa"/>
            <w:vAlign w:val="bottom"/>
          </w:tcPr>
          <w:p w:rsidR="005A0A3A"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Total Hourly Cost (Total Per FTE divided by 2,080 hours per year)</w:t>
            </w:r>
          </w:p>
        </w:tc>
        <w:tc>
          <w:tcPr>
            <w:tcW w:w="1440" w:type="dxa"/>
            <w:vAlign w:val="bottom"/>
          </w:tcPr>
          <w:p w:rsidR="005A0A3A" w:rsidRDefault="005A0A3A" w:rsidP="0079033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7" w:space="0" w:color="000000"/>
              <w:right w:val="single" w:sz="15" w:space="0" w:color="000000"/>
            </w:tcBorders>
            <w:vAlign w:val="bottom"/>
          </w:tcPr>
          <w:p w:rsidR="005A0A3A" w:rsidRDefault="00795215" w:rsidP="005A0A3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$48.55</w:t>
            </w:r>
          </w:p>
        </w:tc>
      </w:tr>
    </w:tbl>
    <w:p w:rsidR="0072384D" w:rsidRDefault="00B811C0" w:rsidP="0072384D">
      <w:pPr>
        <w:ind w:left="-720"/>
        <w:rPr>
          <w:color w:val="000000"/>
          <w:sz w:val="16"/>
        </w:rPr>
      </w:pPr>
      <w:r>
        <w:rPr>
          <w:color w:val="000000"/>
          <w:sz w:val="16"/>
          <w:szCs w:val="16"/>
        </w:rPr>
        <w:t>*</w:t>
      </w:r>
      <w:r w:rsidR="009913F4">
        <w:rPr>
          <w:color w:val="000000"/>
          <w:sz w:val="16"/>
          <w:szCs w:val="16"/>
        </w:rPr>
        <w:t xml:space="preserve"> </w:t>
      </w:r>
      <w:hyperlink r:id="rId10" w:history="1">
        <w:r w:rsidR="00CC4524" w:rsidRPr="00B26B25">
          <w:rPr>
            <w:rStyle w:val="Hyperlink"/>
            <w:sz w:val="16"/>
            <w:szCs w:val="16"/>
          </w:rPr>
          <w:t>http://www.opm.gov/oca/12tables/html/gs.asp</w:t>
        </w:r>
      </w:hyperlink>
      <w:r w:rsidR="000C24D4">
        <w:rPr>
          <w:color w:val="000000"/>
          <w:sz w:val="12"/>
        </w:rPr>
        <w:t xml:space="preserve"> </w:t>
      </w:r>
      <w:r w:rsidR="0072384D" w:rsidRPr="00AF75F2">
        <w:rPr>
          <w:color w:val="000000"/>
          <w:sz w:val="16"/>
        </w:rPr>
        <w:t xml:space="preserve"> </w:t>
      </w:r>
      <w:r w:rsidR="00CC4524">
        <w:rPr>
          <w:color w:val="000000"/>
          <w:sz w:val="16"/>
        </w:rPr>
        <w:t>February 2012</w:t>
      </w:r>
    </w:p>
    <w:p w:rsidR="0077471F" w:rsidRDefault="0077471F" w:rsidP="0072384D">
      <w:pPr>
        <w:ind w:left="-720"/>
      </w:pPr>
    </w:p>
    <w:p w:rsidR="007665F0" w:rsidRDefault="007665F0" w:rsidP="007665F0">
      <w:pPr>
        <w:rPr>
          <w:szCs w:val="24"/>
        </w:rPr>
      </w:pPr>
      <w:bookmarkStart w:id="1" w:name="BM6_40_b_41__40_ii_41__32__32_Estimating"/>
      <w:bookmarkEnd w:id="1"/>
      <w:r>
        <w:rPr>
          <w:szCs w:val="24"/>
        </w:rPr>
        <w:t xml:space="preserve">Since the purchase of capital equipment is believed to be an insignificant factor in </w:t>
      </w:r>
      <w:r w:rsidR="00417F09">
        <w:rPr>
          <w:szCs w:val="24"/>
        </w:rPr>
        <w:t>meeting the requirements associated with this ICR renewal</w:t>
      </w:r>
      <w:r>
        <w:rPr>
          <w:szCs w:val="24"/>
        </w:rPr>
        <w:t xml:space="preserve">, </w:t>
      </w:r>
      <w:r w:rsidR="006601C4">
        <w:rPr>
          <w:szCs w:val="24"/>
        </w:rPr>
        <w:t xml:space="preserve">the </w:t>
      </w:r>
      <w:r>
        <w:rPr>
          <w:szCs w:val="24"/>
        </w:rPr>
        <w:t>EPA assumes the operation, maintenance, or services are negligible</w:t>
      </w:r>
      <w:r w:rsidR="00417F09">
        <w:rPr>
          <w:szCs w:val="24"/>
        </w:rPr>
        <w:t xml:space="preserve"> </w:t>
      </w:r>
      <w:r w:rsidR="000E2466">
        <w:rPr>
          <w:szCs w:val="24"/>
        </w:rPr>
        <w:t>Most of the data and other guidance for estimating emissions and visibility impacts are available in electronic form and any equipment needed to respond to requests will be part of the respondent’s operating inventory.</w:t>
      </w:r>
    </w:p>
    <w:p w:rsidR="007665F0" w:rsidRDefault="007665F0" w:rsidP="007665F0">
      <w:pPr>
        <w:rPr>
          <w:szCs w:val="24"/>
        </w:rPr>
      </w:pPr>
      <w:bookmarkStart w:id="2" w:name="BM6_40_b_41__40_iii_41__32_Capital_47_St"/>
      <w:bookmarkEnd w:id="2"/>
    </w:p>
    <w:p w:rsidR="008869EA" w:rsidRDefault="00AA30E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bookmarkStart w:id="3" w:name="BM6_40_b_41__40_iv_41__32_Annualizing_32"/>
      <w:bookmarkEnd w:id="3"/>
      <w:r>
        <w:rPr>
          <w:noProof/>
          <w:szCs w:val="24"/>
        </w:rPr>
        <w:pict>
          <v:shape id="_x0000_s1100" type="#_x0000_t202" style="position:absolute;margin-left:-182.25pt;margin-top:3.1pt;width:146.15pt;height:35.2pt;z-index:15;mso-position-horizontal-relative:margin" filled="f" stroked="f">
            <v:textbox style="mso-next-textbox:#_x0000_s1100" inset="0,0">
              <w:txbxContent>
                <w:p w:rsidR="004817C3" w:rsidRPr="009B4422" w:rsidRDefault="004817C3" w:rsidP="00C87742">
                  <w:pPr>
                    <w:ind w:left="720" w:hanging="720"/>
                    <w:rPr>
                      <w:rFonts w:ascii="Arial" w:hAnsi="Arial" w:cs="Arial"/>
                      <w:b/>
                    </w:rPr>
                  </w:pPr>
                  <w:r>
                    <w:rPr>
                      <w:rFonts w:ascii="Arial" w:hAnsi="Arial" w:cs="Arial"/>
                      <w:b/>
                    </w:rPr>
                    <w:t>6.2.3</w:t>
                  </w:r>
                  <w:r w:rsidRPr="009B4422">
                    <w:rPr>
                      <w:rFonts w:ascii="Arial" w:hAnsi="Arial" w:cs="Arial"/>
                      <w:b/>
                    </w:rPr>
                    <w:tab/>
                  </w:r>
                  <w:r w:rsidRPr="00C87742">
                    <w:rPr>
                      <w:rFonts w:ascii="Arial" w:hAnsi="Arial" w:cs="Arial"/>
                      <w:b/>
                      <w:szCs w:val="24"/>
                    </w:rPr>
                    <w:t>Annualiz</w:t>
                  </w:r>
                  <w:r>
                    <w:rPr>
                      <w:rFonts w:ascii="Arial" w:hAnsi="Arial" w:cs="Arial"/>
                      <w:b/>
                      <w:szCs w:val="24"/>
                    </w:rPr>
                    <w:t>ed</w:t>
                  </w:r>
                  <w:r w:rsidRPr="00C87742">
                    <w:rPr>
                      <w:rFonts w:ascii="Arial" w:hAnsi="Arial" w:cs="Arial"/>
                      <w:b/>
                      <w:szCs w:val="24"/>
                    </w:rPr>
                    <w:t xml:space="preserve"> Capital Costs</w:t>
                  </w:r>
                </w:p>
              </w:txbxContent>
            </v:textbox>
            <w10:wrap anchorx="margin"/>
          </v:shape>
        </w:pict>
      </w:r>
      <w:r w:rsidR="007665F0">
        <w:rPr>
          <w:szCs w:val="24"/>
        </w:rPr>
        <w:t xml:space="preserve">Typically annualized capital cost would be derived from a discounted net present value of the stream of costs that would occur over the life of the </w:t>
      </w:r>
      <w:r w:rsidR="00F114AB">
        <w:rPr>
          <w:szCs w:val="24"/>
        </w:rPr>
        <w:t>activity</w:t>
      </w:r>
      <w:r w:rsidR="007665F0">
        <w:rPr>
          <w:szCs w:val="24"/>
        </w:rPr>
        <w:t>, or the ICR, whichever is shorter.</w:t>
      </w:r>
      <w:r w:rsidR="00F114AB">
        <w:rPr>
          <w:szCs w:val="24"/>
        </w:rPr>
        <w:t xml:space="preserve"> However we do not anticipate these </w:t>
      </w:r>
      <w:r w:rsidR="00FB3A66">
        <w:rPr>
          <w:szCs w:val="24"/>
        </w:rPr>
        <w:t xml:space="preserve">types of </w:t>
      </w:r>
      <w:r w:rsidR="00F114AB">
        <w:rPr>
          <w:szCs w:val="24"/>
        </w:rPr>
        <w:t>expenses will be incurred during this clearance period.</w:t>
      </w:r>
      <w:r w:rsidR="007665F0">
        <w:rPr>
          <w:szCs w:val="24"/>
        </w:rPr>
        <w:t xml:space="preserve">  </w:t>
      </w:r>
    </w:p>
    <w:p w:rsidR="00F114AB" w:rsidRDefault="00F114A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05469" w:rsidRDefault="00AA30E0" w:rsidP="00405469">
      <w:r>
        <w:rPr>
          <w:noProof/>
        </w:rPr>
        <w:pict>
          <v:shape id="_x0000_s1201" type="#_x0000_t202" style="position:absolute;margin-left:-186.4pt;margin-top:3.5pt;width:146.15pt;height:52.5pt;z-index:44;mso-position-horizontal-relative:margin" filled="f" stroked="f">
            <v:textbox style="mso-next-textbox:#_x0000_s1201" inset="0,0">
              <w:txbxContent>
                <w:p w:rsidR="004817C3" w:rsidRPr="009B4422" w:rsidRDefault="004817C3" w:rsidP="00795215">
                  <w:pPr>
                    <w:ind w:left="720" w:hanging="720"/>
                    <w:rPr>
                      <w:rFonts w:ascii="Arial" w:hAnsi="Arial" w:cs="Arial"/>
                      <w:b/>
                    </w:rPr>
                  </w:pPr>
                  <w:r>
                    <w:rPr>
                      <w:rFonts w:ascii="Arial" w:hAnsi="Arial" w:cs="Arial"/>
                      <w:b/>
                    </w:rPr>
                    <w:t>6.3</w:t>
                  </w:r>
                  <w:r w:rsidRPr="009B4422">
                    <w:rPr>
                      <w:rFonts w:ascii="Arial" w:hAnsi="Arial" w:cs="Arial"/>
                      <w:b/>
                    </w:rPr>
                    <w:tab/>
                  </w:r>
                  <w:r>
                    <w:rPr>
                      <w:rFonts w:ascii="Arial" w:hAnsi="Arial" w:cs="Arial"/>
                      <w:b/>
                      <w:szCs w:val="24"/>
                    </w:rPr>
                    <w:t>Estimating Agency Burden and Cost</w:t>
                  </w:r>
                </w:p>
              </w:txbxContent>
            </v:textbox>
            <w10:wrap anchorx="margin"/>
          </v:shape>
        </w:pict>
      </w:r>
      <w:r w:rsidR="00405469">
        <w:t>For this ICR, we have assumed the following number of offices will be involved in implementing the Regional Haze requirements.</w:t>
      </w:r>
    </w:p>
    <w:p w:rsidR="00405469" w:rsidRPr="00277664" w:rsidRDefault="00405469" w:rsidP="00405469"/>
    <w:p w:rsidR="00405469" w:rsidRDefault="00405469" w:rsidP="00405469">
      <w:r>
        <w:rPr>
          <w:b/>
        </w:rPr>
        <w:t xml:space="preserve">EPA Regional Offices.  </w:t>
      </w:r>
      <w:r>
        <w:t xml:space="preserve">We assume that all 10 EPA Regional Offices will be responsible for reviewing implementation plans from the </w:t>
      </w:r>
      <w:r w:rsidR="00E83A67">
        <w:t>s</w:t>
      </w:r>
      <w:r>
        <w:t>tates in their</w:t>
      </w:r>
      <w:r w:rsidR="00A27339">
        <w:t xml:space="preserve"> jurisdiction</w:t>
      </w:r>
      <w:r w:rsidR="008D7E0A">
        <w:t xml:space="preserve">, responding to public comments, and preparing </w:t>
      </w:r>
      <w:r w:rsidR="0050637A" w:rsidRPr="0050637A">
        <w:t>f</w:t>
      </w:r>
      <w:r w:rsidR="008D7E0A" w:rsidRPr="0050637A">
        <w:t xml:space="preserve">ederal </w:t>
      </w:r>
      <w:r w:rsidR="0050637A" w:rsidRPr="0050637A">
        <w:t>r</w:t>
      </w:r>
      <w:r w:rsidR="008D7E0A" w:rsidRPr="0050637A">
        <w:t>egister</w:t>
      </w:r>
      <w:r w:rsidR="008D7E0A">
        <w:t xml:space="preserve"> notices in taking final action on the SIPs</w:t>
      </w:r>
      <w:r w:rsidR="00A27339">
        <w:t xml:space="preserve">.  </w:t>
      </w:r>
    </w:p>
    <w:p w:rsidR="003F4916" w:rsidRDefault="003F4916" w:rsidP="00405469"/>
    <w:p w:rsidR="00405469" w:rsidRDefault="00405469" w:rsidP="00405469">
      <w:r>
        <w:rPr>
          <w:b/>
        </w:rPr>
        <w:t>EPA Headquarters.</w:t>
      </w:r>
      <w:r>
        <w:t xml:space="preserve">  The EPA Headquarters staff will provide oversight and review </w:t>
      </w:r>
      <w:r w:rsidR="008D7E0A">
        <w:t>of the</w:t>
      </w:r>
      <w:r>
        <w:t xml:space="preserve"> submittals.</w:t>
      </w:r>
    </w:p>
    <w:p w:rsidR="00405469" w:rsidRDefault="00405469" w:rsidP="00405469"/>
    <w:p w:rsidR="00405469" w:rsidRDefault="00B773E4" w:rsidP="002F07A8">
      <w:r>
        <w:t>Table 6.4 presents our estimate of the Agency burden in the ICR clearance period</w:t>
      </w:r>
      <w:r w:rsidR="004456D6">
        <w:t xml:space="preserve"> which is the average to review one </w:t>
      </w:r>
      <w:r w:rsidR="004E39BD">
        <w:t xml:space="preserve">state </w:t>
      </w:r>
      <w:r w:rsidR="004456D6">
        <w:t>plan</w:t>
      </w:r>
      <w:r>
        <w:t>. In developing these estimates, we considered previous estimates for similar activities</w:t>
      </w:r>
      <w:r w:rsidR="008D7E0A">
        <w:t xml:space="preserve">, particularly related to the time necessary to review SIPs and prepare federal register notices and respond to public comments. The SIP revisions for this renewal period are anticipated to be </w:t>
      </w:r>
      <w:r w:rsidR="00795215">
        <w:t>much</w:t>
      </w:r>
      <w:r w:rsidR="008D7E0A">
        <w:t xml:space="preserve"> abbreviated compared to the comprehensive regional haze SIP submittals which are required to be submitted every 10 years. This results in a reduced </w:t>
      </w:r>
      <w:r w:rsidR="008C6205">
        <w:t>burden relative to the previous ICR renewals as there are no modeling, emission inventory, or control strategy analyses due during the 2012 – 2015 collection period.</w:t>
      </w:r>
      <w:r w:rsidR="008D7E0A">
        <w:t xml:space="preserve"> </w:t>
      </w:r>
      <w:r>
        <w:t xml:space="preserve"> </w:t>
      </w:r>
    </w:p>
    <w:p w:rsidR="00405469" w:rsidRDefault="00405469" w:rsidP="002F07A8"/>
    <w:p w:rsidR="002F07A8" w:rsidRDefault="00DC6FBB" w:rsidP="002F07A8">
      <w:r>
        <w:t>Summ</w:t>
      </w:r>
      <w:r w:rsidR="00BC3F9B">
        <w:t>ing the total hours from Table 6.4 (</w:t>
      </w:r>
      <w:r w:rsidR="008E0EDC">
        <w:t xml:space="preserve">520 </w:t>
      </w:r>
      <w:r w:rsidR="00BC3F9B">
        <w:t xml:space="preserve">hours) and multiplying by </w:t>
      </w:r>
      <w:r w:rsidR="008E0EDC">
        <w:t>3</w:t>
      </w:r>
      <w:r w:rsidR="00566F46">
        <w:t>7</w:t>
      </w:r>
      <w:r w:rsidR="008E0EDC">
        <w:t xml:space="preserve"> </w:t>
      </w:r>
      <w:r w:rsidR="00BC3F9B">
        <w:t xml:space="preserve">total plans yields a total estimate of </w:t>
      </w:r>
      <w:r w:rsidR="00566F46">
        <w:t>19</w:t>
      </w:r>
      <w:r w:rsidR="008E0EDC">
        <w:t>,</w:t>
      </w:r>
      <w:r w:rsidR="00566F46">
        <w:t xml:space="preserve">240 </w:t>
      </w:r>
      <w:r w:rsidR="00BC3F9B">
        <w:t xml:space="preserve">hours. Using the </w:t>
      </w:r>
      <w:r w:rsidR="006601C4">
        <w:t>calculated</w:t>
      </w:r>
      <w:r w:rsidR="00BC3F9B">
        <w:t xml:space="preserve"> labor rate of $48.55/hr</w:t>
      </w:r>
      <w:r w:rsidR="002F47C3">
        <w:t xml:space="preserve">, from Table 6.3, </w:t>
      </w:r>
      <w:r w:rsidR="006601C4">
        <w:t>multiplied</w:t>
      </w:r>
      <w:r w:rsidR="00DD0F2E">
        <w:t xml:space="preserve"> by the </w:t>
      </w:r>
      <w:r w:rsidR="00EC2134">
        <w:t>19,240</w:t>
      </w:r>
      <w:r w:rsidR="00DD0F2E">
        <w:t xml:space="preserve"> hours </w:t>
      </w:r>
      <w:r w:rsidR="00DD0F2E">
        <w:lastRenderedPageBreak/>
        <w:t>gives an estimated cost of $</w:t>
      </w:r>
      <w:r w:rsidR="007E064D">
        <w:t>9</w:t>
      </w:r>
      <w:r w:rsidR="00566F46">
        <w:t>34</w:t>
      </w:r>
      <w:r w:rsidR="007E064D">
        <w:t>,</w:t>
      </w:r>
      <w:r w:rsidR="00566F46">
        <w:t>102</w:t>
      </w:r>
      <w:r w:rsidR="00DD0F2E">
        <w:t xml:space="preserve">, which when averaged over the 3 year collection period is </w:t>
      </w:r>
      <w:r w:rsidR="00566F46">
        <w:t xml:space="preserve">about </w:t>
      </w:r>
      <w:r w:rsidR="00DD0F2E">
        <w:t>$</w:t>
      </w:r>
      <w:r w:rsidR="00566F46">
        <w:t>311</w:t>
      </w:r>
      <w:r w:rsidR="007E064D">
        <w:t>,</w:t>
      </w:r>
      <w:r w:rsidR="00566F46">
        <w:t xml:space="preserve">367 </w:t>
      </w:r>
      <w:r w:rsidR="00DD0F2E">
        <w:t>per year as the Agency’s burden estimate.</w:t>
      </w:r>
      <w:r w:rsidR="00BC3F9B">
        <w:t xml:space="preserve"> </w:t>
      </w:r>
      <w:r>
        <w:t xml:space="preserve"> </w:t>
      </w:r>
    </w:p>
    <w:p w:rsidR="002F07A8" w:rsidRDefault="002F07A8" w:rsidP="002F07A8"/>
    <w:p w:rsidR="00B773E4" w:rsidRPr="00B773E4" w:rsidRDefault="00B773E4" w:rsidP="009D051D">
      <w:pPr>
        <w:rPr>
          <w:b/>
          <w:sz w:val="20"/>
        </w:rPr>
      </w:pPr>
      <w:r w:rsidRPr="00B773E4">
        <w:rPr>
          <w:rFonts w:ascii="CourierNewPSMT" w:hAnsi="CourierNewPSMT" w:cs="CourierNewPSMT"/>
          <w:b/>
        </w:rPr>
        <w:t xml:space="preserve">Table 6.4.  </w:t>
      </w:r>
      <w:r w:rsidRPr="00B773E4">
        <w:rPr>
          <w:b/>
        </w:rPr>
        <w:t>Estimated Agency Burden to Implement Requirements</w:t>
      </w:r>
    </w:p>
    <w:tbl>
      <w:tblPr>
        <w:tblW w:w="6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tblPr>
      <w:tblGrid>
        <w:gridCol w:w="2095"/>
        <w:gridCol w:w="1800"/>
        <w:gridCol w:w="1530"/>
        <w:gridCol w:w="1350"/>
      </w:tblGrid>
      <w:tr w:rsidR="004E39BD" w:rsidRPr="00917C21" w:rsidTr="007E064D">
        <w:trPr>
          <w:tblHeader/>
        </w:trPr>
        <w:tc>
          <w:tcPr>
            <w:tcW w:w="2095" w:type="dxa"/>
          </w:tcPr>
          <w:p w:rsidR="004E39BD" w:rsidRPr="00917C21" w:rsidRDefault="004E39BD" w:rsidP="00D54ED8">
            <w:pPr>
              <w:rPr>
                <w:rFonts w:ascii="Arial" w:hAnsi="Arial" w:cs="Arial"/>
                <w:b/>
                <w:sz w:val="16"/>
                <w:szCs w:val="16"/>
              </w:rPr>
            </w:pPr>
            <w:r w:rsidRPr="00917C21">
              <w:rPr>
                <w:rFonts w:ascii="Arial" w:hAnsi="Arial" w:cs="Arial"/>
                <w:b/>
                <w:sz w:val="16"/>
                <w:szCs w:val="16"/>
              </w:rPr>
              <w:t>Task Element</w:t>
            </w:r>
          </w:p>
        </w:tc>
        <w:tc>
          <w:tcPr>
            <w:tcW w:w="1800" w:type="dxa"/>
          </w:tcPr>
          <w:p w:rsidR="004E39BD" w:rsidRPr="00917C21" w:rsidRDefault="004E39BD" w:rsidP="00D54ED8">
            <w:pPr>
              <w:rPr>
                <w:rFonts w:ascii="Arial" w:hAnsi="Arial" w:cs="Arial"/>
                <w:b/>
                <w:sz w:val="16"/>
                <w:szCs w:val="16"/>
              </w:rPr>
            </w:pPr>
            <w:r w:rsidRPr="00917C21">
              <w:rPr>
                <w:rFonts w:ascii="Arial" w:hAnsi="Arial" w:cs="Arial"/>
                <w:b/>
                <w:sz w:val="16"/>
                <w:szCs w:val="16"/>
              </w:rPr>
              <w:t>Hours/EPA Regional Office</w:t>
            </w:r>
          </w:p>
        </w:tc>
        <w:tc>
          <w:tcPr>
            <w:tcW w:w="1530" w:type="dxa"/>
          </w:tcPr>
          <w:p w:rsidR="004E39BD" w:rsidRPr="00917C21" w:rsidRDefault="004E39BD" w:rsidP="00D54ED8">
            <w:pPr>
              <w:rPr>
                <w:rFonts w:ascii="Arial" w:hAnsi="Arial" w:cs="Arial"/>
                <w:b/>
                <w:sz w:val="16"/>
                <w:szCs w:val="16"/>
              </w:rPr>
            </w:pPr>
            <w:r w:rsidRPr="00917C21">
              <w:rPr>
                <w:rFonts w:ascii="Arial" w:hAnsi="Arial" w:cs="Arial"/>
                <w:b/>
                <w:sz w:val="16"/>
                <w:szCs w:val="16"/>
              </w:rPr>
              <w:t>Hours/</w:t>
            </w:r>
            <w:r w:rsidR="00137841">
              <w:rPr>
                <w:rFonts w:ascii="Arial" w:hAnsi="Arial" w:cs="Arial"/>
                <w:b/>
                <w:sz w:val="16"/>
                <w:szCs w:val="16"/>
              </w:rPr>
              <w:t xml:space="preserve">EPA </w:t>
            </w:r>
            <w:r w:rsidRPr="00917C21">
              <w:rPr>
                <w:rFonts w:ascii="Arial" w:hAnsi="Arial" w:cs="Arial"/>
                <w:b/>
                <w:sz w:val="16"/>
                <w:szCs w:val="16"/>
              </w:rPr>
              <w:t>Headquarters</w:t>
            </w:r>
          </w:p>
        </w:tc>
        <w:tc>
          <w:tcPr>
            <w:tcW w:w="1350" w:type="dxa"/>
          </w:tcPr>
          <w:p w:rsidR="004E39BD" w:rsidRPr="00917C21" w:rsidRDefault="004E39BD" w:rsidP="00D54ED8">
            <w:pPr>
              <w:rPr>
                <w:rFonts w:ascii="Arial" w:hAnsi="Arial" w:cs="Arial"/>
                <w:b/>
                <w:sz w:val="16"/>
                <w:szCs w:val="16"/>
              </w:rPr>
            </w:pPr>
            <w:r w:rsidRPr="00917C21">
              <w:rPr>
                <w:rFonts w:ascii="Arial" w:hAnsi="Arial" w:cs="Arial"/>
                <w:b/>
                <w:sz w:val="16"/>
                <w:szCs w:val="16"/>
              </w:rPr>
              <w:t>Year Incurred</w:t>
            </w:r>
          </w:p>
        </w:tc>
      </w:tr>
      <w:tr w:rsidR="004E39BD" w:rsidRPr="00917C21" w:rsidTr="007E064D">
        <w:tc>
          <w:tcPr>
            <w:tcW w:w="2095" w:type="dxa"/>
          </w:tcPr>
          <w:p w:rsidR="004E39BD" w:rsidRPr="00917C21" w:rsidRDefault="004E39BD" w:rsidP="00D54ED8">
            <w:pPr>
              <w:rPr>
                <w:rFonts w:ascii="Arial" w:hAnsi="Arial" w:cs="Arial"/>
                <w:sz w:val="16"/>
                <w:szCs w:val="16"/>
              </w:rPr>
            </w:pPr>
            <w:r>
              <w:rPr>
                <w:rFonts w:ascii="Arial" w:hAnsi="Arial" w:cs="Arial"/>
                <w:sz w:val="16"/>
                <w:szCs w:val="16"/>
              </w:rPr>
              <w:t>Review Periodic Progress Reports from States</w:t>
            </w:r>
            <w:r w:rsidRPr="00917C21">
              <w:rPr>
                <w:rFonts w:ascii="Arial" w:hAnsi="Arial" w:cs="Arial"/>
                <w:sz w:val="16"/>
                <w:szCs w:val="16"/>
              </w:rPr>
              <w:t xml:space="preserve"> </w:t>
            </w:r>
          </w:p>
        </w:tc>
        <w:tc>
          <w:tcPr>
            <w:tcW w:w="1800" w:type="dxa"/>
          </w:tcPr>
          <w:p w:rsidR="004E39BD" w:rsidRPr="00917C21" w:rsidRDefault="004E39BD" w:rsidP="00D54ED8">
            <w:pPr>
              <w:rPr>
                <w:rFonts w:ascii="Arial" w:hAnsi="Arial" w:cs="Arial"/>
                <w:sz w:val="16"/>
                <w:szCs w:val="16"/>
              </w:rPr>
            </w:pPr>
            <w:r>
              <w:rPr>
                <w:rFonts w:ascii="Arial" w:hAnsi="Arial" w:cs="Arial"/>
                <w:sz w:val="16"/>
                <w:szCs w:val="16"/>
              </w:rPr>
              <w:t>160</w:t>
            </w:r>
          </w:p>
        </w:tc>
        <w:tc>
          <w:tcPr>
            <w:tcW w:w="1530" w:type="dxa"/>
          </w:tcPr>
          <w:p w:rsidR="004E39BD" w:rsidRPr="00917C21" w:rsidRDefault="004E39BD" w:rsidP="00D54ED8">
            <w:pPr>
              <w:rPr>
                <w:rFonts w:ascii="Arial" w:hAnsi="Arial" w:cs="Arial"/>
                <w:sz w:val="16"/>
                <w:szCs w:val="16"/>
              </w:rPr>
            </w:pPr>
            <w:r>
              <w:rPr>
                <w:rFonts w:ascii="Arial" w:hAnsi="Arial" w:cs="Arial"/>
                <w:sz w:val="16"/>
                <w:szCs w:val="16"/>
              </w:rPr>
              <w:t>80</w:t>
            </w:r>
          </w:p>
        </w:tc>
        <w:tc>
          <w:tcPr>
            <w:tcW w:w="1350" w:type="dxa"/>
          </w:tcPr>
          <w:p w:rsidR="004E39BD" w:rsidRPr="00917C21" w:rsidRDefault="004E39BD" w:rsidP="00A27339">
            <w:pPr>
              <w:rPr>
                <w:rFonts w:ascii="Arial" w:hAnsi="Arial" w:cs="Arial"/>
                <w:sz w:val="16"/>
                <w:szCs w:val="16"/>
              </w:rPr>
            </w:pPr>
            <w:r w:rsidRPr="00917C21">
              <w:rPr>
                <w:rFonts w:ascii="Arial" w:hAnsi="Arial" w:cs="Arial"/>
                <w:sz w:val="16"/>
                <w:szCs w:val="16"/>
              </w:rPr>
              <w:t>20</w:t>
            </w:r>
            <w:r>
              <w:rPr>
                <w:rFonts w:ascii="Arial" w:hAnsi="Arial" w:cs="Arial"/>
                <w:sz w:val="16"/>
                <w:szCs w:val="16"/>
              </w:rPr>
              <w:t>12</w:t>
            </w:r>
            <w:r w:rsidRPr="00917C21">
              <w:rPr>
                <w:rFonts w:ascii="Arial" w:hAnsi="Arial" w:cs="Arial"/>
                <w:sz w:val="16"/>
                <w:szCs w:val="16"/>
              </w:rPr>
              <w:t xml:space="preserve"> - 20</w:t>
            </w:r>
            <w:r>
              <w:rPr>
                <w:rFonts w:ascii="Arial" w:hAnsi="Arial" w:cs="Arial"/>
                <w:sz w:val="16"/>
                <w:szCs w:val="16"/>
              </w:rPr>
              <w:t>15</w:t>
            </w:r>
          </w:p>
        </w:tc>
      </w:tr>
      <w:tr w:rsidR="004E39BD" w:rsidRPr="00917C21" w:rsidTr="007E064D">
        <w:tc>
          <w:tcPr>
            <w:tcW w:w="2095" w:type="dxa"/>
          </w:tcPr>
          <w:p w:rsidR="004E39BD" w:rsidRPr="00917C21" w:rsidRDefault="004E39BD" w:rsidP="00D54ED8">
            <w:pPr>
              <w:rPr>
                <w:rFonts w:ascii="Arial" w:hAnsi="Arial" w:cs="Arial"/>
                <w:sz w:val="16"/>
                <w:szCs w:val="16"/>
              </w:rPr>
            </w:pPr>
            <w:r>
              <w:rPr>
                <w:rFonts w:ascii="Arial" w:hAnsi="Arial" w:cs="Arial"/>
                <w:sz w:val="16"/>
                <w:szCs w:val="16"/>
              </w:rPr>
              <w:t>Respond to Public Comments and Prepare Federal Register Notices</w:t>
            </w:r>
          </w:p>
        </w:tc>
        <w:tc>
          <w:tcPr>
            <w:tcW w:w="1800" w:type="dxa"/>
          </w:tcPr>
          <w:p w:rsidR="004E39BD" w:rsidRPr="00917C21" w:rsidRDefault="004E39BD" w:rsidP="00D54ED8">
            <w:pPr>
              <w:rPr>
                <w:rFonts w:ascii="Arial" w:hAnsi="Arial" w:cs="Arial"/>
                <w:sz w:val="16"/>
                <w:szCs w:val="16"/>
              </w:rPr>
            </w:pPr>
            <w:r>
              <w:rPr>
                <w:rFonts w:ascii="Arial" w:hAnsi="Arial" w:cs="Arial"/>
                <w:sz w:val="16"/>
                <w:szCs w:val="16"/>
              </w:rPr>
              <w:t>120</w:t>
            </w:r>
          </w:p>
        </w:tc>
        <w:tc>
          <w:tcPr>
            <w:tcW w:w="1530" w:type="dxa"/>
          </w:tcPr>
          <w:p w:rsidR="004E39BD" w:rsidRPr="00917C21" w:rsidRDefault="004E39BD" w:rsidP="00D54ED8">
            <w:pPr>
              <w:rPr>
                <w:rFonts w:ascii="Arial" w:hAnsi="Arial" w:cs="Arial"/>
                <w:sz w:val="16"/>
                <w:szCs w:val="16"/>
              </w:rPr>
            </w:pPr>
            <w:r>
              <w:rPr>
                <w:rFonts w:ascii="Arial" w:hAnsi="Arial" w:cs="Arial"/>
                <w:sz w:val="16"/>
                <w:szCs w:val="16"/>
              </w:rPr>
              <w:t>40</w:t>
            </w:r>
          </w:p>
        </w:tc>
        <w:tc>
          <w:tcPr>
            <w:tcW w:w="1350" w:type="dxa"/>
          </w:tcPr>
          <w:p w:rsidR="004E39BD" w:rsidRPr="00917C21" w:rsidRDefault="004E39BD" w:rsidP="00A27339">
            <w:pPr>
              <w:rPr>
                <w:rFonts w:ascii="Arial" w:hAnsi="Arial" w:cs="Arial"/>
                <w:sz w:val="16"/>
                <w:szCs w:val="16"/>
              </w:rPr>
            </w:pPr>
            <w:r w:rsidRPr="00917C21">
              <w:rPr>
                <w:rFonts w:ascii="Arial" w:hAnsi="Arial" w:cs="Arial"/>
                <w:sz w:val="16"/>
                <w:szCs w:val="16"/>
              </w:rPr>
              <w:t>20</w:t>
            </w:r>
            <w:r>
              <w:rPr>
                <w:rFonts w:ascii="Arial" w:hAnsi="Arial" w:cs="Arial"/>
                <w:sz w:val="16"/>
                <w:szCs w:val="16"/>
              </w:rPr>
              <w:t>12</w:t>
            </w:r>
            <w:r w:rsidRPr="00917C21">
              <w:rPr>
                <w:rFonts w:ascii="Arial" w:hAnsi="Arial" w:cs="Arial"/>
                <w:sz w:val="16"/>
                <w:szCs w:val="16"/>
              </w:rPr>
              <w:t xml:space="preserve"> – 20</w:t>
            </w:r>
            <w:r>
              <w:rPr>
                <w:rFonts w:ascii="Arial" w:hAnsi="Arial" w:cs="Arial"/>
                <w:sz w:val="16"/>
                <w:szCs w:val="16"/>
              </w:rPr>
              <w:t>15</w:t>
            </w:r>
          </w:p>
        </w:tc>
      </w:tr>
      <w:tr w:rsidR="00155320" w:rsidRPr="00917C21" w:rsidTr="007E064D">
        <w:tc>
          <w:tcPr>
            <w:tcW w:w="2095" w:type="dxa"/>
          </w:tcPr>
          <w:p w:rsidR="00155320" w:rsidRDefault="00155320" w:rsidP="00D54ED8">
            <w:pPr>
              <w:rPr>
                <w:rFonts w:ascii="Arial" w:hAnsi="Arial" w:cs="Arial"/>
                <w:sz w:val="16"/>
                <w:szCs w:val="16"/>
              </w:rPr>
            </w:pPr>
            <w:r>
              <w:rPr>
                <w:rFonts w:ascii="Arial" w:hAnsi="Arial" w:cs="Arial"/>
                <w:sz w:val="16"/>
                <w:szCs w:val="16"/>
              </w:rPr>
              <w:t>Review substantive revisions to the regional haze SIP</w:t>
            </w:r>
          </w:p>
        </w:tc>
        <w:tc>
          <w:tcPr>
            <w:tcW w:w="1800" w:type="dxa"/>
          </w:tcPr>
          <w:p w:rsidR="00155320" w:rsidRDefault="008E0EDC" w:rsidP="00D54ED8">
            <w:pPr>
              <w:rPr>
                <w:rFonts w:ascii="Arial" w:hAnsi="Arial" w:cs="Arial"/>
                <w:sz w:val="16"/>
                <w:szCs w:val="16"/>
              </w:rPr>
            </w:pPr>
            <w:r>
              <w:rPr>
                <w:rFonts w:ascii="Arial" w:hAnsi="Arial" w:cs="Arial"/>
                <w:sz w:val="16"/>
                <w:szCs w:val="16"/>
              </w:rPr>
              <w:t>100</w:t>
            </w:r>
          </w:p>
        </w:tc>
        <w:tc>
          <w:tcPr>
            <w:tcW w:w="1530" w:type="dxa"/>
          </w:tcPr>
          <w:p w:rsidR="00155320" w:rsidRDefault="008E0EDC" w:rsidP="00D54ED8">
            <w:pPr>
              <w:rPr>
                <w:rFonts w:ascii="Arial" w:hAnsi="Arial" w:cs="Arial"/>
                <w:sz w:val="16"/>
                <w:szCs w:val="16"/>
              </w:rPr>
            </w:pPr>
            <w:r>
              <w:rPr>
                <w:rFonts w:ascii="Arial" w:hAnsi="Arial" w:cs="Arial"/>
                <w:sz w:val="16"/>
                <w:szCs w:val="16"/>
              </w:rPr>
              <w:t>20</w:t>
            </w:r>
          </w:p>
        </w:tc>
        <w:tc>
          <w:tcPr>
            <w:tcW w:w="1350" w:type="dxa"/>
          </w:tcPr>
          <w:p w:rsidR="00155320" w:rsidRPr="00917C21" w:rsidRDefault="008E0EDC" w:rsidP="00A27339">
            <w:pPr>
              <w:rPr>
                <w:rFonts w:ascii="Arial" w:hAnsi="Arial" w:cs="Arial"/>
                <w:sz w:val="16"/>
                <w:szCs w:val="16"/>
              </w:rPr>
            </w:pPr>
            <w:r>
              <w:rPr>
                <w:rFonts w:ascii="Arial" w:hAnsi="Arial" w:cs="Arial"/>
                <w:sz w:val="16"/>
                <w:szCs w:val="16"/>
              </w:rPr>
              <w:t>2012 - 2014</w:t>
            </w:r>
          </w:p>
        </w:tc>
      </w:tr>
      <w:tr w:rsidR="004E39BD" w:rsidRPr="00917C21" w:rsidTr="007E064D">
        <w:tc>
          <w:tcPr>
            <w:tcW w:w="2095" w:type="dxa"/>
          </w:tcPr>
          <w:p w:rsidR="004E39BD" w:rsidRPr="00917C21" w:rsidRDefault="004E39BD" w:rsidP="00D54ED8">
            <w:pPr>
              <w:rPr>
                <w:rFonts w:ascii="Arial" w:hAnsi="Arial" w:cs="Arial"/>
                <w:sz w:val="16"/>
                <w:szCs w:val="16"/>
              </w:rPr>
            </w:pPr>
            <w:r w:rsidRPr="00917C21">
              <w:rPr>
                <w:rFonts w:ascii="Arial" w:hAnsi="Arial" w:cs="Arial"/>
                <w:sz w:val="16"/>
                <w:szCs w:val="16"/>
              </w:rPr>
              <w:t>TOTAL</w:t>
            </w:r>
          </w:p>
        </w:tc>
        <w:tc>
          <w:tcPr>
            <w:tcW w:w="1800" w:type="dxa"/>
          </w:tcPr>
          <w:p w:rsidR="004E39BD" w:rsidRPr="00917C21" w:rsidRDefault="008E0EDC" w:rsidP="00D54ED8">
            <w:pPr>
              <w:rPr>
                <w:rFonts w:ascii="Arial" w:hAnsi="Arial" w:cs="Arial"/>
                <w:sz w:val="16"/>
                <w:szCs w:val="16"/>
              </w:rPr>
            </w:pPr>
            <w:r>
              <w:rPr>
                <w:rFonts w:ascii="Arial" w:hAnsi="Arial" w:cs="Arial"/>
                <w:sz w:val="16"/>
                <w:szCs w:val="16"/>
              </w:rPr>
              <w:t>3</w:t>
            </w:r>
            <w:r w:rsidR="004E39BD">
              <w:rPr>
                <w:rFonts w:ascii="Arial" w:hAnsi="Arial" w:cs="Arial"/>
                <w:sz w:val="16"/>
                <w:szCs w:val="16"/>
              </w:rPr>
              <w:t>80</w:t>
            </w:r>
          </w:p>
        </w:tc>
        <w:tc>
          <w:tcPr>
            <w:tcW w:w="1530" w:type="dxa"/>
          </w:tcPr>
          <w:p w:rsidR="004E39BD" w:rsidRPr="00917C21" w:rsidRDefault="004E39BD" w:rsidP="00D54ED8">
            <w:pPr>
              <w:rPr>
                <w:rFonts w:ascii="Arial" w:hAnsi="Arial" w:cs="Arial"/>
                <w:sz w:val="16"/>
                <w:szCs w:val="16"/>
              </w:rPr>
            </w:pPr>
            <w:r>
              <w:rPr>
                <w:rFonts w:ascii="Arial" w:hAnsi="Arial" w:cs="Arial"/>
                <w:sz w:val="16"/>
                <w:szCs w:val="16"/>
              </w:rPr>
              <w:t>1</w:t>
            </w:r>
            <w:r w:rsidR="008E0EDC">
              <w:rPr>
                <w:rFonts w:ascii="Arial" w:hAnsi="Arial" w:cs="Arial"/>
                <w:sz w:val="16"/>
                <w:szCs w:val="16"/>
              </w:rPr>
              <w:t>4</w:t>
            </w:r>
            <w:r>
              <w:rPr>
                <w:rFonts w:ascii="Arial" w:hAnsi="Arial" w:cs="Arial"/>
                <w:sz w:val="16"/>
                <w:szCs w:val="16"/>
              </w:rPr>
              <w:t>0</w:t>
            </w:r>
          </w:p>
        </w:tc>
        <w:tc>
          <w:tcPr>
            <w:tcW w:w="1350" w:type="dxa"/>
          </w:tcPr>
          <w:p w:rsidR="004E39BD" w:rsidRPr="00917C21" w:rsidRDefault="004E39BD" w:rsidP="00D54ED8">
            <w:pPr>
              <w:rPr>
                <w:rFonts w:ascii="Arial" w:hAnsi="Arial" w:cs="Arial"/>
                <w:sz w:val="16"/>
                <w:szCs w:val="16"/>
              </w:rPr>
            </w:pPr>
          </w:p>
        </w:tc>
      </w:tr>
    </w:tbl>
    <w:p w:rsidR="00B773E4" w:rsidRDefault="00B773E4" w:rsidP="00B773E4">
      <w:pPr>
        <w:rPr>
          <w:b/>
        </w:rPr>
      </w:pPr>
    </w:p>
    <w:p w:rsidR="00A67586" w:rsidRDefault="00A67586" w:rsidP="00B773E4"/>
    <w:p w:rsidR="00B773E4" w:rsidRDefault="00AA30E0" w:rsidP="00B773E4">
      <w:r w:rsidRPr="00AA30E0">
        <w:rPr>
          <w:noProof/>
          <w:szCs w:val="24"/>
        </w:rPr>
        <w:pict>
          <v:shape id="_x0000_s1166" type="#_x0000_t202" style="position:absolute;margin-left:-180pt;margin-top:.65pt;width:137.4pt;height:48.55pt;z-index:21;mso-position-horizontal-relative:margin" filled="f" stroked="f">
            <v:textbox style="mso-next-textbox:#_x0000_s1166" inset="0,0">
              <w:txbxContent>
                <w:p w:rsidR="004817C3" w:rsidRPr="009B4422" w:rsidRDefault="004817C3" w:rsidP="00E45EDD">
                  <w:pPr>
                    <w:ind w:left="720" w:hanging="720"/>
                    <w:rPr>
                      <w:rFonts w:ascii="Arial" w:hAnsi="Arial" w:cs="Arial"/>
                      <w:b/>
                    </w:rPr>
                  </w:pPr>
                  <w:r>
                    <w:rPr>
                      <w:rFonts w:ascii="Arial" w:hAnsi="Arial" w:cs="Arial"/>
                      <w:b/>
                    </w:rPr>
                    <w:t>6.4</w:t>
                  </w:r>
                  <w:r>
                    <w:rPr>
                      <w:rFonts w:ascii="Arial" w:hAnsi="Arial" w:cs="Arial"/>
                      <w:b/>
                    </w:rPr>
                    <w:tab/>
                    <w:t>Estimating the Respondent Universe</w:t>
                  </w:r>
                </w:p>
              </w:txbxContent>
            </v:textbox>
            <w10:wrap anchorx="margin"/>
          </v:shape>
        </w:pict>
      </w:r>
      <w:r w:rsidR="00B773E4">
        <w:t>For the purpose of estimating burden in this ICR, the respondent universe is determined as follows.</w:t>
      </w:r>
    </w:p>
    <w:p w:rsidR="00B773E4" w:rsidRDefault="00B773E4" w:rsidP="00B773E4"/>
    <w:p w:rsidR="009651B7" w:rsidRDefault="00B773E4" w:rsidP="005F4787">
      <w:pPr>
        <w:rPr>
          <w:b/>
        </w:rPr>
      </w:pPr>
      <w:r w:rsidRPr="00F1767D">
        <w:rPr>
          <w:b/>
        </w:rPr>
        <w:t>States</w:t>
      </w:r>
      <w:r w:rsidR="00206FC8">
        <w:t xml:space="preserve">. </w:t>
      </w:r>
      <w:r w:rsidR="002E1A53">
        <w:t>We assume that 50 states</w:t>
      </w:r>
      <w:r w:rsidR="008B6D41">
        <w:t xml:space="preserve">, </w:t>
      </w:r>
      <w:r w:rsidR="002E1A53">
        <w:t>the District of Columbia</w:t>
      </w:r>
      <w:r w:rsidR="008B6D41">
        <w:t>, and the U.S. Virgin Islands</w:t>
      </w:r>
      <w:r w:rsidR="002E1A53">
        <w:t xml:space="preserve"> may elect to begin developing information for the regional haze SIP required in 2018. </w:t>
      </w:r>
      <w:r>
        <w:t xml:space="preserve">We assume that </w:t>
      </w:r>
      <w:r w:rsidR="004A53A6">
        <w:t xml:space="preserve">34 states, including </w:t>
      </w:r>
      <w:r w:rsidR="006947AF">
        <w:t>Albuquerque/</w:t>
      </w:r>
      <w:r w:rsidR="004A53A6">
        <w:t xml:space="preserve">Bernalillo County in New Mexico, </w:t>
      </w:r>
      <w:r>
        <w:t xml:space="preserve">will be affected by the </w:t>
      </w:r>
      <w:r w:rsidR="004A53A6">
        <w:t xml:space="preserve">regional haze rule </w:t>
      </w:r>
      <w:r w:rsidR="00B2355F">
        <w:t>5-year p</w:t>
      </w:r>
      <w:r w:rsidR="00B2355F" w:rsidRPr="00B2355F">
        <w:t xml:space="preserve">rogress </w:t>
      </w:r>
      <w:r w:rsidR="004A53A6">
        <w:t>reporting</w:t>
      </w:r>
      <w:r w:rsidR="003F4916">
        <w:t xml:space="preserve"> </w:t>
      </w:r>
      <w:r>
        <w:t>requirements.</w:t>
      </w:r>
      <w:r w:rsidR="00B2355F">
        <w:t xml:space="preserve"> We assume that </w:t>
      </w:r>
      <w:r w:rsidR="008B6D41">
        <w:t>12</w:t>
      </w:r>
      <w:r w:rsidR="009651B7">
        <w:t xml:space="preserve"> </w:t>
      </w:r>
      <w:r w:rsidR="00B2355F">
        <w:t xml:space="preserve">states </w:t>
      </w:r>
      <w:r w:rsidR="009651B7">
        <w:t xml:space="preserve">could prepare and submit a SIP revision consisting of one paragraph to substitute a state plan in place of EPA’s FIP related to the Cross-State Air Pollution Rule as an alternative to BART. We assume that </w:t>
      </w:r>
      <w:r w:rsidR="00566F46">
        <w:t xml:space="preserve">three </w:t>
      </w:r>
      <w:r w:rsidR="009651B7">
        <w:t xml:space="preserve">states will need to submit a new </w:t>
      </w:r>
      <w:r w:rsidR="006947AF">
        <w:t>substantive</w:t>
      </w:r>
      <w:r w:rsidR="009651B7">
        <w:t xml:space="preserve"> SIP to remedy EPA’s disapproval of specific elements of these SIPs. </w:t>
      </w:r>
      <w:r w:rsidR="00E35136">
        <w:t xml:space="preserve">Additionally, two states </w:t>
      </w:r>
      <w:r w:rsidR="00E35136">
        <w:rPr>
          <w:color w:val="000000"/>
        </w:rPr>
        <w:t>submit minor SIP revisions by June 2014</w:t>
      </w:r>
      <w:r w:rsidR="00E35136">
        <w:t>.</w:t>
      </w:r>
    </w:p>
    <w:p w:rsidR="002E1A53" w:rsidRDefault="002E1A53" w:rsidP="005F4787">
      <w:pPr>
        <w:rPr>
          <w:b/>
        </w:rPr>
      </w:pPr>
    </w:p>
    <w:p w:rsidR="00EF76B9" w:rsidRDefault="00EF76B9" w:rsidP="005F4787">
      <w:pPr>
        <w:rPr>
          <w:b/>
        </w:rPr>
      </w:pPr>
      <w:r>
        <w:rPr>
          <w:b/>
        </w:rPr>
        <w:t>Tribes.</w:t>
      </w:r>
      <w:r w:rsidRPr="00EF76B9">
        <w:t xml:space="preserve"> No tribes have elected to develop and implement the regional haze plan.</w:t>
      </w:r>
    </w:p>
    <w:p w:rsidR="00EF76B9" w:rsidRDefault="00EF76B9" w:rsidP="005F4787">
      <w:pPr>
        <w:rPr>
          <w:b/>
        </w:rPr>
      </w:pPr>
    </w:p>
    <w:p w:rsidR="005F4787" w:rsidRPr="00206FC8" w:rsidRDefault="00B773E4" w:rsidP="00F56694">
      <w:r>
        <w:rPr>
          <w:b/>
        </w:rPr>
        <w:t>Industry.</w:t>
      </w:r>
      <w:r>
        <w:t xml:space="preserve"> </w:t>
      </w:r>
      <w:r w:rsidR="00F56694">
        <w:t xml:space="preserve">The sole regional </w:t>
      </w:r>
      <w:r w:rsidR="00F56694" w:rsidRPr="00206FC8">
        <w:t>haze requirement for this reporting period is for the states to submit periodic progress reports, and thus there is no anticipated burden for industrial sources.</w:t>
      </w:r>
    </w:p>
    <w:p w:rsidR="005F4787" w:rsidRPr="00206FC8" w:rsidRDefault="005F4787" w:rsidP="00B773E4"/>
    <w:p w:rsidR="00344BF5" w:rsidRPr="00914AF3" w:rsidRDefault="00B773E4" w:rsidP="00344BF5">
      <w:r w:rsidRPr="00206FC8">
        <w:rPr>
          <w:b/>
        </w:rPr>
        <w:t xml:space="preserve">FLMs. </w:t>
      </w:r>
      <w:r w:rsidRPr="00206FC8">
        <w:t>The burden hours for FLMs are estimated for the group as a whole</w:t>
      </w:r>
      <w:r w:rsidR="000624D9" w:rsidRPr="00206FC8">
        <w:t>, and are estimated to be 80 hours for each SIP revision</w:t>
      </w:r>
      <w:r w:rsidR="000624D9">
        <w:t xml:space="preserve">. For </w:t>
      </w:r>
      <w:r w:rsidR="00344BF5">
        <w:t xml:space="preserve">the </w:t>
      </w:r>
      <w:r w:rsidR="000624D9">
        <w:t xml:space="preserve">34 </w:t>
      </w:r>
      <w:r w:rsidR="008E0EDC">
        <w:t xml:space="preserve">5-year progress report </w:t>
      </w:r>
      <w:r w:rsidR="000624D9">
        <w:t xml:space="preserve">SIPs, </w:t>
      </w:r>
      <w:r w:rsidR="00206FC8">
        <w:t>the hours would be 2,720.</w:t>
      </w:r>
      <w:r w:rsidR="000624D9">
        <w:t xml:space="preserve"> Multiplying by the labor rate of $48.55/hr equates to a cost of $132,056, or $44,019 per year for each of the 3 years.</w:t>
      </w:r>
      <w:r w:rsidR="002E1A53">
        <w:t xml:space="preserve"> For the </w:t>
      </w:r>
      <w:r w:rsidR="00566F46">
        <w:t xml:space="preserve">3 </w:t>
      </w:r>
      <w:r w:rsidR="002E1A53">
        <w:t xml:space="preserve">substantive regional haze SIP revisions, the hours will be </w:t>
      </w:r>
      <w:r w:rsidR="00566F46">
        <w:t>240</w:t>
      </w:r>
      <w:r w:rsidR="002E1A53">
        <w:t>.</w:t>
      </w:r>
      <w:r w:rsidR="008E0EDC" w:rsidRPr="008E0EDC">
        <w:t xml:space="preserve"> </w:t>
      </w:r>
      <w:r w:rsidR="008E0EDC">
        <w:t>Multiplying by the labor rate of $48.55/hr equates to a cost of $</w:t>
      </w:r>
      <w:r w:rsidR="00566F46">
        <w:t>11</w:t>
      </w:r>
      <w:r w:rsidR="008E0EDC">
        <w:t>,</w:t>
      </w:r>
      <w:r w:rsidR="00566F46">
        <w:t>652</w:t>
      </w:r>
      <w:r w:rsidR="008E0EDC">
        <w:t>, or $</w:t>
      </w:r>
      <w:r w:rsidR="00566F46">
        <w:t>5</w:t>
      </w:r>
      <w:r w:rsidR="008E0EDC">
        <w:t>,</w:t>
      </w:r>
      <w:r w:rsidR="00566F46">
        <w:t xml:space="preserve">826 </w:t>
      </w:r>
      <w:r w:rsidR="008E0EDC">
        <w:t>per year for each of the 2 years.</w:t>
      </w:r>
    </w:p>
    <w:p w:rsidR="00344BF5" w:rsidRPr="00914AF3" w:rsidRDefault="00344BF5" w:rsidP="00B773E4"/>
    <w:p w:rsidR="00B773E4" w:rsidRDefault="00B773E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ED25AB" w:rsidRDefault="00AA30E0" w:rsidP="00D7638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A30E0">
        <w:rPr>
          <w:noProof/>
        </w:rPr>
        <w:pict>
          <v:shape id="_x0000_s1127" type="#_x0000_t202" style="position:absolute;margin-left:-179.7pt;margin-top:-1.1pt;width:140.65pt;height:32.65pt;z-index:17;mso-position-horizontal-relative:margin" filled="f" stroked="f">
            <v:textbox style="mso-next-textbox:#_x0000_s1127" inset="0,0">
              <w:txbxContent>
                <w:p w:rsidR="004817C3" w:rsidRPr="00DE09EE" w:rsidRDefault="004817C3" w:rsidP="00A015B6">
                  <w:pPr>
                    <w:ind w:left="720" w:hanging="720"/>
                    <w:rPr>
                      <w:rFonts w:ascii="Arial" w:hAnsi="Arial" w:cs="Arial"/>
                      <w:b/>
                    </w:rPr>
                  </w:pPr>
                  <w:r>
                    <w:rPr>
                      <w:rFonts w:ascii="Arial" w:hAnsi="Arial" w:cs="Arial"/>
                      <w:b/>
                    </w:rPr>
                    <w:t>6.5</w:t>
                  </w:r>
                  <w:r>
                    <w:rPr>
                      <w:rFonts w:ascii="Arial" w:hAnsi="Arial" w:cs="Arial"/>
                      <w:b/>
                    </w:rPr>
                    <w:tab/>
                    <w:t>Bottom Line Burden and Cost</w:t>
                  </w:r>
                </w:p>
              </w:txbxContent>
            </v:textbox>
            <w10:wrap anchorx="margin"/>
          </v:shape>
        </w:pict>
      </w:r>
      <w:r w:rsidR="00D76385">
        <w:rPr>
          <w:color w:val="000000"/>
        </w:rPr>
        <w:t>Tables 6.6 summarizes the total annual respondent burden</w:t>
      </w:r>
      <w:r w:rsidR="00AF04D8">
        <w:rPr>
          <w:color w:val="000000"/>
        </w:rPr>
        <w:t xml:space="preserve"> </w:t>
      </w:r>
      <w:r w:rsidR="00ED25AB">
        <w:rPr>
          <w:color w:val="000000"/>
        </w:rPr>
        <w:t>to prepare and submit</w:t>
      </w:r>
      <w:r w:rsidR="00C51C98">
        <w:rPr>
          <w:color w:val="000000"/>
        </w:rPr>
        <w:t>:</w:t>
      </w:r>
      <w:r w:rsidR="00ED25AB">
        <w:rPr>
          <w:color w:val="000000"/>
        </w:rPr>
        <w:t xml:space="preserve"> the 5-year progress reports</w:t>
      </w:r>
      <w:r w:rsidR="00C51C98">
        <w:rPr>
          <w:color w:val="000000"/>
        </w:rPr>
        <w:t>, substantive revisions to state SIPs to remedy EPA’s disapproval of regional haze plans, and minor revisions to state SIPs to adopt the requirements of CSAPR as a BART alternative, thus replacing EPA’s FIP</w:t>
      </w:r>
      <w:r w:rsidR="00ED25AB">
        <w:rPr>
          <w:color w:val="000000"/>
        </w:rPr>
        <w:t xml:space="preserve">. The total respondent burden is estimated to be </w:t>
      </w:r>
      <w:r w:rsidR="002775B1">
        <w:rPr>
          <w:color w:val="000000"/>
        </w:rPr>
        <w:t>6</w:t>
      </w:r>
      <w:r w:rsidR="00344BF5">
        <w:rPr>
          <w:color w:val="000000"/>
        </w:rPr>
        <w:t>,</w:t>
      </w:r>
      <w:r w:rsidR="002775B1">
        <w:rPr>
          <w:color w:val="000000"/>
        </w:rPr>
        <w:t>048</w:t>
      </w:r>
      <w:r w:rsidR="007E064D">
        <w:rPr>
          <w:color w:val="000000"/>
        </w:rPr>
        <w:t xml:space="preserve"> </w:t>
      </w:r>
      <w:r w:rsidR="00D76385">
        <w:rPr>
          <w:color w:val="000000"/>
        </w:rPr>
        <w:t>hours per year and $</w:t>
      </w:r>
      <w:r w:rsidR="00BE7FDB">
        <w:rPr>
          <w:color w:val="000000"/>
        </w:rPr>
        <w:t>2</w:t>
      </w:r>
      <w:r w:rsidR="002775B1">
        <w:rPr>
          <w:color w:val="000000"/>
        </w:rPr>
        <w:t>9</w:t>
      </w:r>
      <w:r w:rsidR="007E064D">
        <w:rPr>
          <w:color w:val="000000"/>
        </w:rPr>
        <w:t>3</w:t>
      </w:r>
      <w:r w:rsidR="00344BF5">
        <w:rPr>
          <w:color w:val="000000"/>
        </w:rPr>
        <w:t>,</w:t>
      </w:r>
      <w:r w:rsidR="002775B1">
        <w:rPr>
          <w:color w:val="000000"/>
        </w:rPr>
        <w:t xml:space="preserve">631 </w:t>
      </w:r>
      <w:r w:rsidR="00206FC8">
        <w:rPr>
          <w:color w:val="000000"/>
        </w:rPr>
        <w:t xml:space="preserve">per year. </w:t>
      </w:r>
      <w:r w:rsidR="00D76385">
        <w:rPr>
          <w:color w:val="000000"/>
        </w:rPr>
        <w:t>As described in section 6.2.</w:t>
      </w:r>
      <w:r w:rsidR="006A49E7">
        <w:rPr>
          <w:color w:val="000000"/>
        </w:rPr>
        <w:t>2 and 6.2.</w:t>
      </w:r>
      <w:r w:rsidR="00D76385">
        <w:rPr>
          <w:color w:val="000000"/>
        </w:rPr>
        <w:t xml:space="preserve">3, there are no </w:t>
      </w:r>
      <w:r w:rsidR="006A49E7">
        <w:rPr>
          <w:color w:val="000000"/>
        </w:rPr>
        <w:t xml:space="preserve">operation and maintenance costs or </w:t>
      </w:r>
      <w:r w:rsidR="00D76385">
        <w:rPr>
          <w:color w:val="000000"/>
        </w:rPr>
        <w:t xml:space="preserve">capital costs associated with activities to be conducted during this 3-year clearance period. </w:t>
      </w:r>
      <w:r w:rsidR="006A49E7">
        <w:rPr>
          <w:color w:val="000000"/>
        </w:rPr>
        <w:t xml:space="preserve">The total number of respondents is </w:t>
      </w:r>
      <w:r w:rsidR="007F4647">
        <w:rPr>
          <w:color w:val="000000"/>
        </w:rPr>
        <w:t>53</w:t>
      </w:r>
      <w:r w:rsidR="00C51C98">
        <w:rPr>
          <w:color w:val="000000"/>
        </w:rPr>
        <w:t xml:space="preserve"> </w:t>
      </w:r>
      <w:r w:rsidR="006A49E7">
        <w:rPr>
          <w:color w:val="000000"/>
        </w:rPr>
        <w:t>(</w:t>
      </w:r>
      <w:r w:rsidR="00355042">
        <w:rPr>
          <w:color w:val="000000"/>
        </w:rPr>
        <w:t>5</w:t>
      </w:r>
      <w:r w:rsidR="007F4647">
        <w:rPr>
          <w:color w:val="000000"/>
        </w:rPr>
        <w:t>2</w:t>
      </w:r>
      <w:r w:rsidR="00C51C98">
        <w:rPr>
          <w:color w:val="000000"/>
        </w:rPr>
        <w:t xml:space="preserve"> </w:t>
      </w:r>
      <w:r w:rsidR="009D051D">
        <w:rPr>
          <w:color w:val="000000"/>
        </w:rPr>
        <w:t>s</w:t>
      </w:r>
      <w:r w:rsidR="006A49E7">
        <w:rPr>
          <w:color w:val="000000"/>
        </w:rPr>
        <w:t>tate agencies</w:t>
      </w:r>
      <w:r w:rsidR="006601C4">
        <w:rPr>
          <w:color w:val="000000"/>
        </w:rPr>
        <w:t xml:space="preserve"> </w:t>
      </w:r>
      <w:r w:rsidR="00F75E39">
        <w:rPr>
          <w:color w:val="000000"/>
        </w:rPr>
        <w:t xml:space="preserve">and </w:t>
      </w:r>
      <w:r w:rsidR="006A49E7">
        <w:rPr>
          <w:color w:val="000000"/>
        </w:rPr>
        <w:t>1 group of FLMs.)</w:t>
      </w:r>
    </w:p>
    <w:p w:rsidR="00D76385" w:rsidRDefault="000E6EE7" w:rsidP="00D7638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br w:type="page"/>
      </w:r>
    </w:p>
    <w:p w:rsidR="0044411E" w:rsidRPr="00B72F80" w:rsidRDefault="0044411E" w:rsidP="00D7638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771DB">
        <w:rPr>
          <w:rFonts w:ascii="CourierNewPSMT" w:hAnsi="CourierNewPSMT" w:cs="CourierNewPSMT"/>
          <w:b/>
        </w:rPr>
        <w:t>Table 6.</w:t>
      </w:r>
      <w:r w:rsidR="00620764">
        <w:rPr>
          <w:rFonts w:ascii="CourierNewPSMT" w:hAnsi="CourierNewPSMT" w:cs="CourierNewPSMT"/>
          <w:b/>
        </w:rPr>
        <w:t>6</w:t>
      </w:r>
      <w:r>
        <w:rPr>
          <w:rFonts w:ascii="CourierNewPSMT" w:hAnsi="CourierNewPSMT" w:cs="CourierNewPSMT"/>
        </w:rPr>
        <w:t xml:space="preserve">  </w:t>
      </w:r>
      <w:r w:rsidRPr="007771DB">
        <w:rPr>
          <w:b/>
        </w:rPr>
        <w:t xml:space="preserve">Estimated </w:t>
      </w:r>
      <w:r w:rsidR="00612014">
        <w:rPr>
          <w:b/>
        </w:rPr>
        <w:t xml:space="preserve">Annual </w:t>
      </w:r>
      <w:r w:rsidRPr="007771DB">
        <w:rPr>
          <w:b/>
        </w:rPr>
        <w:t>Respondent Burden to Implement Requirements</w:t>
      </w:r>
    </w:p>
    <w:tbl>
      <w:tblPr>
        <w:tblW w:w="7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
      <w:tblGrid>
        <w:gridCol w:w="1530"/>
        <w:gridCol w:w="1530"/>
        <w:gridCol w:w="1375"/>
        <w:gridCol w:w="1350"/>
        <w:gridCol w:w="1350"/>
      </w:tblGrid>
      <w:tr w:rsidR="00432AFB" w:rsidRPr="00917C21" w:rsidTr="009D1098">
        <w:trPr>
          <w:tblHeader/>
        </w:trPr>
        <w:tc>
          <w:tcPr>
            <w:tcW w:w="1530" w:type="dxa"/>
            <w:vMerge w:val="restart"/>
            <w:vAlign w:val="center"/>
          </w:tcPr>
          <w:p w:rsidR="00432AFB" w:rsidRPr="00917C21" w:rsidRDefault="00432AFB" w:rsidP="008C64BD">
            <w:pPr>
              <w:rPr>
                <w:rFonts w:ascii="Arial" w:hAnsi="Arial" w:cs="Arial"/>
                <w:b/>
                <w:sz w:val="16"/>
                <w:szCs w:val="16"/>
              </w:rPr>
            </w:pPr>
            <w:r w:rsidRPr="00917C21">
              <w:rPr>
                <w:rFonts w:ascii="Arial" w:hAnsi="Arial" w:cs="Arial"/>
                <w:b/>
                <w:sz w:val="16"/>
                <w:szCs w:val="16"/>
              </w:rPr>
              <w:t>Task Element</w:t>
            </w:r>
          </w:p>
        </w:tc>
        <w:tc>
          <w:tcPr>
            <w:tcW w:w="2905" w:type="dxa"/>
            <w:gridSpan w:val="2"/>
          </w:tcPr>
          <w:p w:rsidR="00432AFB" w:rsidRPr="00917C21" w:rsidRDefault="00432AFB" w:rsidP="00917C21">
            <w:pPr>
              <w:jc w:val="center"/>
              <w:rPr>
                <w:rFonts w:ascii="Arial" w:hAnsi="Arial" w:cs="Arial"/>
                <w:b/>
                <w:sz w:val="16"/>
                <w:szCs w:val="16"/>
              </w:rPr>
            </w:pPr>
            <w:r w:rsidRPr="00917C21">
              <w:rPr>
                <w:rFonts w:ascii="Arial" w:hAnsi="Arial" w:cs="Arial"/>
                <w:b/>
                <w:sz w:val="16"/>
                <w:szCs w:val="16"/>
              </w:rPr>
              <w:t>States</w:t>
            </w:r>
          </w:p>
        </w:tc>
        <w:tc>
          <w:tcPr>
            <w:tcW w:w="2700" w:type="dxa"/>
            <w:gridSpan w:val="2"/>
            <w:shd w:val="clear" w:color="auto" w:fill="auto"/>
          </w:tcPr>
          <w:p w:rsidR="00432AFB" w:rsidRPr="00917C21" w:rsidRDefault="00432AFB" w:rsidP="00917C21">
            <w:pPr>
              <w:jc w:val="center"/>
              <w:rPr>
                <w:rFonts w:ascii="Arial" w:hAnsi="Arial" w:cs="Arial"/>
                <w:b/>
                <w:sz w:val="16"/>
                <w:szCs w:val="16"/>
              </w:rPr>
            </w:pPr>
            <w:r w:rsidRPr="00917C21">
              <w:rPr>
                <w:rFonts w:ascii="Arial" w:hAnsi="Arial" w:cs="Arial"/>
                <w:b/>
                <w:sz w:val="16"/>
                <w:szCs w:val="16"/>
              </w:rPr>
              <w:t>FLMs</w:t>
            </w:r>
          </w:p>
        </w:tc>
      </w:tr>
      <w:tr w:rsidR="009D1098" w:rsidRPr="00917C21" w:rsidTr="009D1098">
        <w:trPr>
          <w:tblHeader/>
        </w:trPr>
        <w:tc>
          <w:tcPr>
            <w:tcW w:w="1530" w:type="dxa"/>
            <w:vMerge/>
          </w:tcPr>
          <w:p w:rsidR="00432AFB" w:rsidRPr="00917C21" w:rsidRDefault="00432AFB" w:rsidP="00D54ED8">
            <w:pPr>
              <w:rPr>
                <w:rFonts w:ascii="Arial" w:hAnsi="Arial" w:cs="Arial"/>
                <w:b/>
                <w:sz w:val="16"/>
                <w:szCs w:val="16"/>
              </w:rPr>
            </w:pPr>
          </w:p>
        </w:tc>
        <w:tc>
          <w:tcPr>
            <w:tcW w:w="1530" w:type="dxa"/>
          </w:tcPr>
          <w:p w:rsidR="00432AFB" w:rsidRPr="00917C21" w:rsidRDefault="00432AFB" w:rsidP="00D54ED8">
            <w:pPr>
              <w:rPr>
                <w:rFonts w:ascii="Arial" w:hAnsi="Arial" w:cs="Arial"/>
                <w:b/>
                <w:sz w:val="16"/>
                <w:szCs w:val="16"/>
              </w:rPr>
            </w:pPr>
            <w:r w:rsidRPr="00917C21">
              <w:rPr>
                <w:rFonts w:ascii="Arial" w:hAnsi="Arial" w:cs="Arial"/>
                <w:b/>
                <w:sz w:val="16"/>
                <w:szCs w:val="16"/>
              </w:rPr>
              <w:t>Average Annual Hours</w:t>
            </w:r>
          </w:p>
        </w:tc>
        <w:tc>
          <w:tcPr>
            <w:tcW w:w="1375" w:type="dxa"/>
          </w:tcPr>
          <w:p w:rsidR="00432AFB" w:rsidRPr="00917C21" w:rsidRDefault="0016736B" w:rsidP="00D54ED8">
            <w:pPr>
              <w:rPr>
                <w:rFonts w:ascii="Arial" w:hAnsi="Arial" w:cs="Arial"/>
                <w:b/>
                <w:sz w:val="16"/>
                <w:szCs w:val="16"/>
              </w:rPr>
            </w:pPr>
            <w:r>
              <w:rPr>
                <w:rFonts w:ascii="Arial" w:hAnsi="Arial" w:cs="Arial"/>
                <w:b/>
                <w:sz w:val="16"/>
                <w:szCs w:val="16"/>
              </w:rPr>
              <w:t>Average Annual Cost ($</w:t>
            </w:r>
            <w:r w:rsidR="00432AFB" w:rsidRPr="00917C21">
              <w:rPr>
                <w:rFonts w:ascii="Arial" w:hAnsi="Arial" w:cs="Arial"/>
                <w:b/>
                <w:sz w:val="16"/>
                <w:szCs w:val="16"/>
              </w:rPr>
              <w:t>)</w:t>
            </w:r>
          </w:p>
        </w:tc>
        <w:tc>
          <w:tcPr>
            <w:tcW w:w="1350" w:type="dxa"/>
            <w:shd w:val="clear" w:color="auto" w:fill="auto"/>
          </w:tcPr>
          <w:p w:rsidR="00432AFB" w:rsidRPr="00917C21" w:rsidRDefault="00432AFB" w:rsidP="00D54ED8">
            <w:pPr>
              <w:rPr>
                <w:rFonts w:ascii="Arial" w:hAnsi="Arial" w:cs="Arial"/>
                <w:b/>
                <w:sz w:val="16"/>
                <w:szCs w:val="16"/>
              </w:rPr>
            </w:pPr>
            <w:r w:rsidRPr="00917C21">
              <w:rPr>
                <w:rFonts w:ascii="Arial" w:hAnsi="Arial" w:cs="Arial"/>
                <w:b/>
                <w:sz w:val="16"/>
                <w:szCs w:val="16"/>
              </w:rPr>
              <w:t>Average Annual  Hours</w:t>
            </w:r>
          </w:p>
        </w:tc>
        <w:tc>
          <w:tcPr>
            <w:tcW w:w="1350" w:type="dxa"/>
            <w:shd w:val="clear" w:color="auto" w:fill="auto"/>
          </w:tcPr>
          <w:p w:rsidR="00432AFB" w:rsidRPr="00917C21" w:rsidRDefault="0016736B" w:rsidP="0016736B">
            <w:pPr>
              <w:rPr>
                <w:rFonts w:ascii="Arial" w:hAnsi="Arial" w:cs="Arial"/>
                <w:b/>
                <w:sz w:val="16"/>
                <w:szCs w:val="16"/>
              </w:rPr>
            </w:pPr>
            <w:r>
              <w:rPr>
                <w:rFonts w:ascii="Arial" w:hAnsi="Arial" w:cs="Arial"/>
                <w:b/>
                <w:sz w:val="16"/>
                <w:szCs w:val="16"/>
              </w:rPr>
              <w:t>Average Annual Cost ($</w:t>
            </w:r>
            <w:r w:rsidR="00432AFB" w:rsidRPr="00917C21">
              <w:rPr>
                <w:rFonts w:ascii="Arial" w:hAnsi="Arial" w:cs="Arial"/>
                <w:b/>
                <w:sz w:val="16"/>
                <w:szCs w:val="16"/>
              </w:rPr>
              <w:t>)</w:t>
            </w:r>
          </w:p>
        </w:tc>
      </w:tr>
      <w:tr w:rsidR="009D1098" w:rsidRPr="00917C21" w:rsidTr="009D1098">
        <w:trPr>
          <w:trHeight w:val="930"/>
        </w:trPr>
        <w:tc>
          <w:tcPr>
            <w:tcW w:w="1530" w:type="dxa"/>
          </w:tcPr>
          <w:p w:rsidR="00432AFB" w:rsidRPr="00917C21" w:rsidRDefault="00432AFB" w:rsidP="00D54ED8">
            <w:pPr>
              <w:rPr>
                <w:rFonts w:ascii="Arial" w:hAnsi="Arial" w:cs="Arial"/>
                <w:sz w:val="16"/>
                <w:szCs w:val="16"/>
              </w:rPr>
            </w:pPr>
            <w:r w:rsidRPr="0076047E">
              <w:rPr>
                <w:rFonts w:ascii="Arial" w:hAnsi="Arial" w:cs="Arial"/>
                <w:sz w:val="16"/>
                <w:szCs w:val="16"/>
              </w:rPr>
              <w:t xml:space="preserve">Develop and submit §308(g) </w:t>
            </w:r>
            <w:r>
              <w:rPr>
                <w:rFonts w:ascii="Arial" w:hAnsi="Arial" w:cs="Arial"/>
                <w:sz w:val="16"/>
                <w:szCs w:val="16"/>
              </w:rPr>
              <w:t xml:space="preserve">or 309(d)(10) </w:t>
            </w:r>
            <w:r w:rsidRPr="0076047E">
              <w:rPr>
                <w:rFonts w:ascii="Arial" w:hAnsi="Arial" w:cs="Arial"/>
                <w:sz w:val="16"/>
                <w:szCs w:val="16"/>
              </w:rPr>
              <w:t xml:space="preserve">Implementation Plan </w:t>
            </w:r>
            <w:r>
              <w:rPr>
                <w:rFonts w:ascii="Arial" w:hAnsi="Arial" w:cs="Arial"/>
                <w:sz w:val="16"/>
                <w:szCs w:val="16"/>
              </w:rPr>
              <w:t>– 5-year periodic reports</w:t>
            </w:r>
          </w:p>
        </w:tc>
        <w:tc>
          <w:tcPr>
            <w:tcW w:w="1530" w:type="dxa"/>
          </w:tcPr>
          <w:p w:rsidR="009D1098" w:rsidRDefault="009D1098" w:rsidP="00D54ED8">
            <w:pPr>
              <w:rPr>
                <w:rFonts w:ascii="Arial" w:hAnsi="Arial" w:cs="Arial"/>
                <w:sz w:val="16"/>
                <w:szCs w:val="16"/>
              </w:rPr>
            </w:pPr>
            <w:r>
              <w:rPr>
                <w:rFonts w:ascii="Arial" w:hAnsi="Arial" w:cs="Arial"/>
                <w:sz w:val="16"/>
                <w:szCs w:val="16"/>
              </w:rPr>
              <w:t>3,173</w:t>
            </w:r>
          </w:p>
          <w:p w:rsidR="009D1098" w:rsidRDefault="009D1098" w:rsidP="00D54ED8">
            <w:pPr>
              <w:rPr>
                <w:rFonts w:ascii="Arial" w:hAnsi="Arial" w:cs="Arial"/>
                <w:sz w:val="16"/>
                <w:szCs w:val="16"/>
              </w:rPr>
            </w:pPr>
          </w:p>
          <w:p w:rsidR="009D1098" w:rsidRDefault="009D1098" w:rsidP="00D54ED8">
            <w:pPr>
              <w:rPr>
                <w:rFonts w:ascii="Arial" w:hAnsi="Arial" w:cs="Arial"/>
                <w:sz w:val="16"/>
                <w:szCs w:val="16"/>
              </w:rPr>
            </w:pPr>
            <w:r>
              <w:rPr>
                <w:rFonts w:ascii="Arial" w:hAnsi="Arial" w:cs="Arial"/>
                <w:sz w:val="16"/>
                <w:szCs w:val="16"/>
              </w:rPr>
              <w:t>Calculation:</w:t>
            </w:r>
          </w:p>
          <w:p w:rsidR="00432AFB" w:rsidRPr="00917C21" w:rsidRDefault="00432AFB" w:rsidP="00D54ED8">
            <w:pPr>
              <w:rPr>
                <w:rFonts w:ascii="Arial" w:hAnsi="Arial" w:cs="Arial"/>
                <w:sz w:val="16"/>
                <w:szCs w:val="16"/>
              </w:rPr>
            </w:pPr>
            <w:r w:rsidRPr="00917C21">
              <w:rPr>
                <w:rFonts w:ascii="Arial" w:hAnsi="Arial" w:cs="Arial"/>
                <w:sz w:val="16"/>
                <w:szCs w:val="16"/>
              </w:rPr>
              <w:t>(</w:t>
            </w:r>
            <w:r>
              <w:rPr>
                <w:rFonts w:ascii="Arial" w:hAnsi="Arial" w:cs="Arial"/>
                <w:sz w:val="16"/>
                <w:szCs w:val="16"/>
              </w:rPr>
              <w:t>280 hours per plan x 34 plan</w:t>
            </w:r>
            <w:r w:rsidR="009D1098">
              <w:rPr>
                <w:rFonts w:ascii="Arial" w:hAnsi="Arial" w:cs="Arial"/>
                <w:sz w:val="16"/>
                <w:szCs w:val="16"/>
              </w:rPr>
              <w:t>s</w:t>
            </w:r>
            <w:r w:rsidRPr="00917C21">
              <w:rPr>
                <w:rFonts w:ascii="Arial" w:hAnsi="Arial" w:cs="Arial"/>
                <w:sz w:val="16"/>
                <w:szCs w:val="16"/>
              </w:rPr>
              <w:t>)/3</w:t>
            </w:r>
            <w:r>
              <w:rPr>
                <w:rFonts w:ascii="Arial" w:hAnsi="Arial" w:cs="Arial"/>
                <w:sz w:val="16"/>
                <w:szCs w:val="16"/>
              </w:rPr>
              <w:t xml:space="preserve"> years</w:t>
            </w:r>
            <w:r w:rsidRPr="00917C21">
              <w:rPr>
                <w:rFonts w:ascii="Arial" w:hAnsi="Arial" w:cs="Arial"/>
                <w:sz w:val="16"/>
                <w:szCs w:val="16"/>
              </w:rPr>
              <w:t>=</w:t>
            </w:r>
          </w:p>
          <w:p w:rsidR="00432AFB" w:rsidRPr="00917C21" w:rsidRDefault="00432AFB" w:rsidP="00D54ED8">
            <w:pPr>
              <w:rPr>
                <w:rFonts w:ascii="Arial" w:hAnsi="Arial" w:cs="Arial"/>
                <w:sz w:val="16"/>
                <w:szCs w:val="16"/>
              </w:rPr>
            </w:pPr>
            <w:r>
              <w:rPr>
                <w:rFonts w:ascii="Arial" w:hAnsi="Arial" w:cs="Arial"/>
                <w:sz w:val="16"/>
                <w:szCs w:val="16"/>
              </w:rPr>
              <w:t>3,173</w:t>
            </w:r>
            <w:r w:rsidR="002B58D4">
              <w:rPr>
                <w:rFonts w:ascii="Arial" w:hAnsi="Arial" w:cs="Arial"/>
                <w:sz w:val="16"/>
                <w:szCs w:val="16"/>
              </w:rPr>
              <w:t xml:space="preserve"> hr</w:t>
            </w:r>
            <w:r w:rsidR="009D1098">
              <w:rPr>
                <w:rFonts w:ascii="Arial" w:hAnsi="Arial" w:cs="Arial"/>
                <w:sz w:val="16"/>
                <w:szCs w:val="16"/>
              </w:rPr>
              <w:t>/yr</w:t>
            </w:r>
          </w:p>
        </w:tc>
        <w:tc>
          <w:tcPr>
            <w:tcW w:w="1375" w:type="dxa"/>
          </w:tcPr>
          <w:p w:rsidR="009D1098" w:rsidRDefault="009D1098" w:rsidP="009D1098">
            <w:pPr>
              <w:rPr>
                <w:rFonts w:ascii="Arial" w:hAnsi="Arial" w:cs="Arial"/>
                <w:sz w:val="16"/>
                <w:szCs w:val="16"/>
              </w:rPr>
            </w:pPr>
            <w:r>
              <w:rPr>
                <w:rFonts w:ascii="Arial" w:hAnsi="Arial" w:cs="Arial"/>
                <w:sz w:val="16"/>
                <w:szCs w:val="16"/>
              </w:rPr>
              <w:t>15</w:t>
            </w:r>
            <w:r w:rsidR="003A4A45">
              <w:rPr>
                <w:rFonts w:ascii="Arial" w:hAnsi="Arial" w:cs="Arial"/>
                <w:sz w:val="16"/>
                <w:szCs w:val="16"/>
              </w:rPr>
              <w:t>4</w:t>
            </w:r>
            <w:r w:rsidR="008D5C41">
              <w:rPr>
                <w:rFonts w:ascii="Arial" w:hAnsi="Arial" w:cs="Arial"/>
                <w:sz w:val="16"/>
                <w:szCs w:val="16"/>
              </w:rPr>
              <w:t>,049</w:t>
            </w:r>
          </w:p>
          <w:p w:rsidR="009D1098" w:rsidRDefault="009D1098" w:rsidP="009D1098">
            <w:pPr>
              <w:rPr>
                <w:rFonts w:ascii="Arial" w:hAnsi="Arial" w:cs="Arial"/>
                <w:sz w:val="16"/>
                <w:szCs w:val="16"/>
              </w:rPr>
            </w:pPr>
          </w:p>
          <w:p w:rsidR="009D1098" w:rsidRDefault="009D1098" w:rsidP="009D1098">
            <w:pPr>
              <w:rPr>
                <w:rFonts w:ascii="Arial" w:hAnsi="Arial" w:cs="Arial"/>
                <w:sz w:val="16"/>
                <w:szCs w:val="16"/>
              </w:rPr>
            </w:pPr>
            <w:r>
              <w:rPr>
                <w:rFonts w:ascii="Arial" w:hAnsi="Arial" w:cs="Arial"/>
                <w:sz w:val="16"/>
                <w:szCs w:val="16"/>
              </w:rPr>
              <w:t>Calculation:</w:t>
            </w:r>
          </w:p>
          <w:p w:rsidR="00432AFB" w:rsidRPr="00917C21" w:rsidRDefault="009D1098" w:rsidP="003A4A45">
            <w:pPr>
              <w:rPr>
                <w:rFonts w:ascii="Arial" w:hAnsi="Arial" w:cs="Arial"/>
                <w:sz w:val="16"/>
                <w:szCs w:val="16"/>
              </w:rPr>
            </w:pPr>
            <w:r w:rsidRPr="00917C21">
              <w:rPr>
                <w:rFonts w:ascii="Arial" w:hAnsi="Arial" w:cs="Arial"/>
                <w:sz w:val="16"/>
                <w:szCs w:val="16"/>
              </w:rPr>
              <w:t>(</w:t>
            </w:r>
            <w:r>
              <w:rPr>
                <w:rFonts w:ascii="Arial" w:hAnsi="Arial" w:cs="Arial"/>
                <w:sz w:val="16"/>
                <w:szCs w:val="16"/>
              </w:rPr>
              <w:t>3,173 hrs per yr x labor rate of $</w:t>
            </w:r>
            <w:r w:rsidR="003A4A45">
              <w:rPr>
                <w:rFonts w:ascii="Arial" w:hAnsi="Arial" w:cs="Arial"/>
                <w:sz w:val="16"/>
                <w:szCs w:val="16"/>
              </w:rPr>
              <w:t>48.55</w:t>
            </w:r>
            <w:r w:rsidR="002B58D4">
              <w:rPr>
                <w:rFonts w:ascii="Arial" w:hAnsi="Arial" w:cs="Arial"/>
                <w:sz w:val="16"/>
                <w:szCs w:val="16"/>
              </w:rPr>
              <w:t>)</w:t>
            </w:r>
          </w:p>
        </w:tc>
        <w:tc>
          <w:tcPr>
            <w:tcW w:w="1350" w:type="dxa"/>
            <w:shd w:val="clear" w:color="auto" w:fill="auto"/>
          </w:tcPr>
          <w:p w:rsidR="00432AFB" w:rsidRPr="00917C21" w:rsidRDefault="003A4A45" w:rsidP="0076047E">
            <w:pPr>
              <w:rPr>
                <w:rFonts w:ascii="Arial" w:hAnsi="Arial" w:cs="Arial"/>
                <w:sz w:val="16"/>
                <w:szCs w:val="16"/>
              </w:rPr>
            </w:pPr>
            <w:r>
              <w:rPr>
                <w:rFonts w:ascii="Arial" w:hAnsi="Arial" w:cs="Arial"/>
                <w:sz w:val="16"/>
                <w:szCs w:val="16"/>
              </w:rPr>
              <w:t>0</w:t>
            </w:r>
          </w:p>
        </w:tc>
        <w:tc>
          <w:tcPr>
            <w:tcW w:w="1350" w:type="dxa"/>
            <w:shd w:val="clear" w:color="auto" w:fill="auto"/>
          </w:tcPr>
          <w:p w:rsidR="00432AFB" w:rsidRPr="00917C21" w:rsidRDefault="003A4A45" w:rsidP="00D54ED8">
            <w:pPr>
              <w:rPr>
                <w:rFonts w:ascii="Arial" w:hAnsi="Arial" w:cs="Arial"/>
                <w:sz w:val="16"/>
                <w:szCs w:val="16"/>
              </w:rPr>
            </w:pPr>
            <w:r>
              <w:rPr>
                <w:rFonts w:ascii="Arial" w:hAnsi="Arial" w:cs="Arial"/>
                <w:sz w:val="16"/>
                <w:szCs w:val="16"/>
              </w:rPr>
              <w:t>0</w:t>
            </w:r>
          </w:p>
        </w:tc>
      </w:tr>
      <w:tr w:rsidR="009D1098" w:rsidRPr="00917C21" w:rsidTr="009D1098">
        <w:tc>
          <w:tcPr>
            <w:tcW w:w="1530" w:type="dxa"/>
          </w:tcPr>
          <w:p w:rsidR="00432AFB" w:rsidRPr="00917C21" w:rsidRDefault="003A4A45" w:rsidP="00052835">
            <w:pPr>
              <w:rPr>
                <w:rFonts w:ascii="Arial" w:hAnsi="Arial" w:cs="Arial"/>
                <w:sz w:val="16"/>
                <w:szCs w:val="16"/>
              </w:rPr>
            </w:pPr>
            <w:r>
              <w:rPr>
                <w:rFonts w:ascii="Arial" w:hAnsi="Arial" w:cs="Arial"/>
                <w:sz w:val="16"/>
                <w:szCs w:val="16"/>
              </w:rPr>
              <w:t>Review and Comment on Reports</w:t>
            </w:r>
          </w:p>
        </w:tc>
        <w:tc>
          <w:tcPr>
            <w:tcW w:w="1530" w:type="dxa"/>
          </w:tcPr>
          <w:p w:rsidR="00432AFB" w:rsidRPr="00917C21" w:rsidRDefault="00432AFB" w:rsidP="00D54ED8">
            <w:pPr>
              <w:rPr>
                <w:rFonts w:ascii="Arial" w:hAnsi="Arial" w:cs="Arial"/>
                <w:sz w:val="16"/>
                <w:szCs w:val="16"/>
              </w:rPr>
            </w:pPr>
            <w:r w:rsidRPr="00917C21">
              <w:rPr>
                <w:rFonts w:ascii="Arial" w:hAnsi="Arial" w:cs="Arial"/>
                <w:sz w:val="16"/>
                <w:szCs w:val="16"/>
              </w:rPr>
              <w:t>0</w:t>
            </w:r>
          </w:p>
        </w:tc>
        <w:tc>
          <w:tcPr>
            <w:tcW w:w="1375" w:type="dxa"/>
          </w:tcPr>
          <w:p w:rsidR="00432AFB" w:rsidRPr="00917C21" w:rsidRDefault="00432AFB" w:rsidP="00D54ED8">
            <w:pPr>
              <w:rPr>
                <w:rFonts w:ascii="Arial" w:hAnsi="Arial" w:cs="Arial"/>
                <w:sz w:val="16"/>
                <w:szCs w:val="16"/>
              </w:rPr>
            </w:pPr>
            <w:r w:rsidRPr="00917C21">
              <w:rPr>
                <w:rFonts w:ascii="Arial" w:hAnsi="Arial" w:cs="Arial"/>
                <w:sz w:val="16"/>
                <w:szCs w:val="16"/>
              </w:rPr>
              <w:t>0</w:t>
            </w:r>
          </w:p>
        </w:tc>
        <w:tc>
          <w:tcPr>
            <w:tcW w:w="1350" w:type="dxa"/>
            <w:shd w:val="clear" w:color="auto" w:fill="auto"/>
          </w:tcPr>
          <w:p w:rsidR="003A4A45" w:rsidRDefault="004845B9" w:rsidP="003A4A45">
            <w:pPr>
              <w:rPr>
                <w:rFonts w:ascii="Arial" w:hAnsi="Arial" w:cs="Arial"/>
                <w:sz w:val="16"/>
                <w:szCs w:val="16"/>
              </w:rPr>
            </w:pPr>
            <w:r>
              <w:rPr>
                <w:rFonts w:ascii="Arial" w:hAnsi="Arial" w:cs="Arial"/>
                <w:sz w:val="16"/>
                <w:szCs w:val="16"/>
              </w:rPr>
              <w:t>907</w:t>
            </w:r>
          </w:p>
          <w:p w:rsidR="003A4A45" w:rsidRDefault="003A4A45" w:rsidP="003A4A45">
            <w:pPr>
              <w:rPr>
                <w:rFonts w:ascii="Arial" w:hAnsi="Arial" w:cs="Arial"/>
                <w:sz w:val="16"/>
                <w:szCs w:val="16"/>
              </w:rPr>
            </w:pPr>
          </w:p>
          <w:p w:rsidR="003A4A45" w:rsidRDefault="003A4A45" w:rsidP="003A4A45">
            <w:pPr>
              <w:rPr>
                <w:rFonts w:ascii="Arial" w:hAnsi="Arial" w:cs="Arial"/>
                <w:sz w:val="16"/>
                <w:szCs w:val="16"/>
              </w:rPr>
            </w:pPr>
            <w:r>
              <w:rPr>
                <w:rFonts w:ascii="Arial" w:hAnsi="Arial" w:cs="Arial"/>
                <w:sz w:val="16"/>
                <w:szCs w:val="16"/>
              </w:rPr>
              <w:t>Calculation:</w:t>
            </w:r>
          </w:p>
          <w:p w:rsidR="003A4A45" w:rsidRPr="00917C21" w:rsidRDefault="003A4A45" w:rsidP="003A4A45">
            <w:pPr>
              <w:rPr>
                <w:rFonts w:ascii="Arial" w:hAnsi="Arial" w:cs="Arial"/>
                <w:sz w:val="16"/>
                <w:szCs w:val="16"/>
              </w:rPr>
            </w:pPr>
            <w:r w:rsidRPr="00917C21">
              <w:rPr>
                <w:rFonts w:ascii="Arial" w:hAnsi="Arial" w:cs="Arial"/>
                <w:sz w:val="16"/>
                <w:szCs w:val="16"/>
              </w:rPr>
              <w:t>(</w:t>
            </w:r>
            <w:r>
              <w:rPr>
                <w:rFonts w:ascii="Arial" w:hAnsi="Arial" w:cs="Arial"/>
                <w:sz w:val="16"/>
                <w:szCs w:val="16"/>
              </w:rPr>
              <w:t>80 hours per plan x 34 plans</w:t>
            </w:r>
            <w:r w:rsidRPr="00917C21">
              <w:rPr>
                <w:rFonts w:ascii="Arial" w:hAnsi="Arial" w:cs="Arial"/>
                <w:sz w:val="16"/>
                <w:szCs w:val="16"/>
              </w:rPr>
              <w:t>)/3</w:t>
            </w:r>
            <w:r>
              <w:rPr>
                <w:rFonts w:ascii="Arial" w:hAnsi="Arial" w:cs="Arial"/>
                <w:sz w:val="16"/>
                <w:szCs w:val="16"/>
              </w:rPr>
              <w:t xml:space="preserve"> years</w:t>
            </w:r>
            <w:r w:rsidRPr="00917C21">
              <w:rPr>
                <w:rFonts w:ascii="Arial" w:hAnsi="Arial" w:cs="Arial"/>
                <w:sz w:val="16"/>
                <w:szCs w:val="16"/>
              </w:rPr>
              <w:t>=</w:t>
            </w:r>
          </w:p>
          <w:p w:rsidR="00432AFB" w:rsidRPr="00917C21" w:rsidRDefault="002B58D4" w:rsidP="003A4A45">
            <w:pPr>
              <w:rPr>
                <w:rFonts w:ascii="Arial" w:hAnsi="Arial" w:cs="Arial"/>
                <w:sz w:val="16"/>
                <w:szCs w:val="16"/>
              </w:rPr>
            </w:pPr>
            <w:r>
              <w:rPr>
                <w:rFonts w:ascii="Arial" w:hAnsi="Arial" w:cs="Arial"/>
                <w:sz w:val="16"/>
                <w:szCs w:val="16"/>
              </w:rPr>
              <w:t>907 hr</w:t>
            </w:r>
            <w:r w:rsidR="003A4A45">
              <w:rPr>
                <w:rFonts w:ascii="Arial" w:hAnsi="Arial" w:cs="Arial"/>
                <w:sz w:val="16"/>
                <w:szCs w:val="16"/>
              </w:rPr>
              <w:t>/yr</w:t>
            </w:r>
          </w:p>
        </w:tc>
        <w:tc>
          <w:tcPr>
            <w:tcW w:w="1350" w:type="dxa"/>
            <w:shd w:val="clear" w:color="auto" w:fill="auto"/>
          </w:tcPr>
          <w:p w:rsidR="003A4A45" w:rsidRDefault="003A4A45" w:rsidP="003A4A45">
            <w:pPr>
              <w:rPr>
                <w:rFonts w:ascii="Arial" w:hAnsi="Arial" w:cs="Arial"/>
                <w:sz w:val="16"/>
                <w:szCs w:val="16"/>
              </w:rPr>
            </w:pPr>
            <w:r>
              <w:rPr>
                <w:rFonts w:ascii="Arial" w:hAnsi="Arial" w:cs="Arial"/>
                <w:sz w:val="16"/>
                <w:szCs w:val="16"/>
              </w:rPr>
              <w:t>44</w:t>
            </w:r>
            <w:r w:rsidR="008D5C41">
              <w:rPr>
                <w:rFonts w:ascii="Arial" w:hAnsi="Arial" w:cs="Arial"/>
                <w:sz w:val="16"/>
                <w:szCs w:val="16"/>
              </w:rPr>
              <w:t>,035</w:t>
            </w:r>
          </w:p>
          <w:p w:rsidR="003A4A45" w:rsidRDefault="003A4A45" w:rsidP="003A4A45">
            <w:pPr>
              <w:rPr>
                <w:rFonts w:ascii="Arial" w:hAnsi="Arial" w:cs="Arial"/>
                <w:sz w:val="16"/>
                <w:szCs w:val="16"/>
              </w:rPr>
            </w:pPr>
          </w:p>
          <w:p w:rsidR="003A4A45" w:rsidRDefault="003A4A45" w:rsidP="003A4A45">
            <w:pPr>
              <w:rPr>
                <w:rFonts w:ascii="Arial" w:hAnsi="Arial" w:cs="Arial"/>
                <w:sz w:val="16"/>
                <w:szCs w:val="16"/>
              </w:rPr>
            </w:pPr>
            <w:r>
              <w:rPr>
                <w:rFonts w:ascii="Arial" w:hAnsi="Arial" w:cs="Arial"/>
                <w:sz w:val="16"/>
                <w:szCs w:val="16"/>
              </w:rPr>
              <w:t>Calculation:</w:t>
            </w:r>
          </w:p>
          <w:p w:rsidR="00432AFB" w:rsidRPr="00917C21" w:rsidRDefault="003A4A45" w:rsidP="008D5C41">
            <w:pPr>
              <w:rPr>
                <w:rFonts w:ascii="Arial" w:hAnsi="Arial" w:cs="Arial"/>
                <w:sz w:val="16"/>
                <w:szCs w:val="16"/>
              </w:rPr>
            </w:pPr>
            <w:r w:rsidRPr="00917C21">
              <w:rPr>
                <w:rFonts w:ascii="Arial" w:hAnsi="Arial" w:cs="Arial"/>
                <w:sz w:val="16"/>
                <w:szCs w:val="16"/>
              </w:rPr>
              <w:t>(</w:t>
            </w:r>
            <w:r>
              <w:rPr>
                <w:rFonts w:ascii="Arial" w:hAnsi="Arial" w:cs="Arial"/>
                <w:sz w:val="16"/>
                <w:szCs w:val="16"/>
              </w:rPr>
              <w:t>907 hrs per yr x labor rate of $48.55</w:t>
            </w:r>
            <w:r w:rsidR="002B58D4">
              <w:rPr>
                <w:rFonts w:ascii="Arial" w:hAnsi="Arial" w:cs="Arial"/>
                <w:sz w:val="16"/>
                <w:szCs w:val="16"/>
              </w:rPr>
              <w:t>)</w:t>
            </w:r>
            <w:r>
              <w:rPr>
                <w:rFonts w:ascii="Arial" w:hAnsi="Arial" w:cs="Arial"/>
                <w:sz w:val="16"/>
                <w:szCs w:val="16"/>
              </w:rPr>
              <w:t xml:space="preserve"> </w:t>
            </w:r>
          </w:p>
        </w:tc>
      </w:tr>
      <w:tr w:rsidR="003D6B44" w:rsidRPr="00917C21" w:rsidTr="009D1098">
        <w:tc>
          <w:tcPr>
            <w:tcW w:w="1530" w:type="dxa"/>
          </w:tcPr>
          <w:p w:rsidR="003D6B44" w:rsidRDefault="003D6B44" w:rsidP="00052835">
            <w:pPr>
              <w:rPr>
                <w:rFonts w:ascii="Arial" w:hAnsi="Arial" w:cs="Arial"/>
                <w:sz w:val="16"/>
                <w:szCs w:val="16"/>
              </w:rPr>
            </w:pPr>
            <w:r w:rsidRPr="0076047E">
              <w:rPr>
                <w:rFonts w:ascii="Arial" w:hAnsi="Arial" w:cs="Arial"/>
                <w:sz w:val="16"/>
                <w:szCs w:val="16"/>
              </w:rPr>
              <w:t>Develop and submit §</w:t>
            </w:r>
            <w:r>
              <w:rPr>
                <w:rFonts w:ascii="Arial" w:hAnsi="Arial" w:cs="Arial"/>
                <w:sz w:val="16"/>
                <w:szCs w:val="16"/>
              </w:rPr>
              <w:t>51.</w:t>
            </w:r>
            <w:r w:rsidRPr="0076047E">
              <w:rPr>
                <w:rFonts w:ascii="Arial" w:hAnsi="Arial" w:cs="Arial"/>
                <w:sz w:val="16"/>
                <w:szCs w:val="16"/>
              </w:rPr>
              <w:t>308</w:t>
            </w:r>
            <w:r>
              <w:rPr>
                <w:rFonts w:ascii="Arial" w:hAnsi="Arial" w:cs="Arial"/>
                <w:sz w:val="16"/>
                <w:szCs w:val="16"/>
              </w:rPr>
              <w:t xml:space="preserve"> State Implementation Plan</w:t>
            </w:r>
          </w:p>
        </w:tc>
        <w:tc>
          <w:tcPr>
            <w:tcW w:w="1530" w:type="dxa"/>
          </w:tcPr>
          <w:p w:rsidR="003D6B44" w:rsidRDefault="00E35136" w:rsidP="003D6B44">
            <w:pPr>
              <w:rPr>
                <w:rFonts w:ascii="Arial" w:hAnsi="Arial" w:cs="Arial"/>
                <w:sz w:val="16"/>
                <w:szCs w:val="16"/>
              </w:rPr>
            </w:pPr>
            <w:r>
              <w:rPr>
                <w:rFonts w:ascii="Arial" w:hAnsi="Arial" w:cs="Arial"/>
                <w:sz w:val="16"/>
                <w:szCs w:val="16"/>
              </w:rPr>
              <w:t>450</w:t>
            </w:r>
          </w:p>
          <w:p w:rsidR="003D6B44" w:rsidRDefault="003D6B44" w:rsidP="003D6B44">
            <w:pPr>
              <w:rPr>
                <w:rFonts w:ascii="Arial" w:hAnsi="Arial" w:cs="Arial"/>
                <w:sz w:val="16"/>
                <w:szCs w:val="16"/>
              </w:rPr>
            </w:pPr>
            <w:r>
              <w:rPr>
                <w:rFonts w:ascii="Arial" w:hAnsi="Arial" w:cs="Arial"/>
                <w:sz w:val="16"/>
                <w:szCs w:val="16"/>
              </w:rPr>
              <w:t>Calculation:</w:t>
            </w:r>
          </w:p>
          <w:p w:rsidR="003D6B44" w:rsidRPr="00917C21" w:rsidRDefault="003D6B44" w:rsidP="003D6B44">
            <w:pPr>
              <w:rPr>
                <w:rFonts w:ascii="Arial" w:hAnsi="Arial" w:cs="Arial"/>
                <w:sz w:val="16"/>
                <w:szCs w:val="16"/>
              </w:rPr>
            </w:pPr>
            <w:r w:rsidRPr="00917C21">
              <w:rPr>
                <w:rFonts w:ascii="Arial" w:hAnsi="Arial" w:cs="Arial"/>
                <w:sz w:val="16"/>
                <w:szCs w:val="16"/>
              </w:rPr>
              <w:t>(</w:t>
            </w:r>
            <w:r>
              <w:rPr>
                <w:rFonts w:ascii="Arial" w:hAnsi="Arial" w:cs="Arial"/>
                <w:sz w:val="16"/>
                <w:szCs w:val="16"/>
              </w:rPr>
              <w:t xml:space="preserve">300 hours per plan x </w:t>
            </w:r>
            <w:r w:rsidR="00E35136">
              <w:rPr>
                <w:rFonts w:ascii="Arial" w:hAnsi="Arial" w:cs="Arial"/>
                <w:sz w:val="16"/>
                <w:szCs w:val="16"/>
              </w:rPr>
              <w:t>3</w:t>
            </w:r>
            <w:r>
              <w:rPr>
                <w:rFonts w:ascii="Arial" w:hAnsi="Arial" w:cs="Arial"/>
                <w:sz w:val="16"/>
                <w:szCs w:val="16"/>
              </w:rPr>
              <w:t xml:space="preserve"> plans)/2 years</w:t>
            </w:r>
            <w:r w:rsidRPr="00917C21">
              <w:rPr>
                <w:rFonts w:ascii="Arial" w:hAnsi="Arial" w:cs="Arial"/>
                <w:sz w:val="16"/>
                <w:szCs w:val="16"/>
              </w:rPr>
              <w:t>=</w:t>
            </w:r>
          </w:p>
          <w:p w:rsidR="003D6B44" w:rsidRPr="00917C21" w:rsidRDefault="003D6B44" w:rsidP="00D54ED8">
            <w:pPr>
              <w:rPr>
                <w:rFonts w:ascii="Arial" w:hAnsi="Arial" w:cs="Arial"/>
                <w:sz w:val="16"/>
                <w:szCs w:val="16"/>
              </w:rPr>
            </w:pPr>
            <w:r>
              <w:rPr>
                <w:rFonts w:ascii="Arial" w:hAnsi="Arial" w:cs="Arial"/>
                <w:sz w:val="16"/>
                <w:szCs w:val="16"/>
              </w:rPr>
              <w:t>3,173 hr/yr</w:t>
            </w:r>
          </w:p>
        </w:tc>
        <w:tc>
          <w:tcPr>
            <w:tcW w:w="1375" w:type="dxa"/>
          </w:tcPr>
          <w:p w:rsidR="003D6B44" w:rsidRDefault="00E35136" w:rsidP="003D6B44">
            <w:pPr>
              <w:rPr>
                <w:rFonts w:ascii="Arial" w:hAnsi="Arial" w:cs="Arial"/>
                <w:sz w:val="16"/>
                <w:szCs w:val="16"/>
              </w:rPr>
            </w:pPr>
            <w:r>
              <w:rPr>
                <w:rFonts w:ascii="Arial" w:hAnsi="Arial" w:cs="Arial"/>
                <w:sz w:val="16"/>
                <w:szCs w:val="16"/>
              </w:rPr>
              <w:t>2</w:t>
            </w:r>
            <w:r w:rsidR="003D6B44">
              <w:rPr>
                <w:rFonts w:ascii="Arial" w:hAnsi="Arial" w:cs="Arial"/>
                <w:sz w:val="16"/>
                <w:szCs w:val="16"/>
              </w:rPr>
              <w:t>1,</w:t>
            </w:r>
            <w:r>
              <w:rPr>
                <w:rFonts w:ascii="Arial" w:hAnsi="Arial" w:cs="Arial"/>
                <w:sz w:val="16"/>
                <w:szCs w:val="16"/>
              </w:rPr>
              <w:t>848</w:t>
            </w:r>
            <w:r w:rsidR="003D6B44">
              <w:rPr>
                <w:rFonts w:ascii="Arial" w:hAnsi="Arial" w:cs="Arial"/>
                <w:sz w:val="16"/>
                <w:szCs w:val="16"/>
              </w:rPr>
              <w:t xml:space="preserve"> </w:t>
            </w:r>
          </w:p>
          <w:p w:rsidR="003D6B44" w:rsidRDefault="003D6B44" w:rsidP="003D6B44">
            <w:pPr>
              <w:rPr>
                <w:rFonts w:ascii="Arial" w:hAnsi="Arial" w:cs="Arial"/>
                <w:sz w:val="16"/>
                <w:szCs w:val="16"/>
              </w:rPr>
            </w:pPr>
          </w:p>
          <w:p w:rsidR="003D6B44" w:rsidRPr="00917C21" w:rsidRDefault="003D6B44" w:rsidP="00E35136">
            <w:pPr>
              <w:rPr>
                <w:rFonts w:ascii="Arial" w:hAnsi="Arial" w:cs="Arial"/>
                <w:sz w:val="16"/>
                <w:szCs w:val="16"/>
              </w:rPr>
            </w:pPr>
            <w:r w:rsidRPr="00917C21">
              <w:rPr>
                <w:rFonts w:ascii="Arial" w:hAnsi="Arial" w:cs="Arial"/>
                <w:sz w:val="16"/>
                <w:szCs w:val="16"/>
              </w:rPr>
              <w:t>(</w:t>
            </w:r>
            <w:r w:rsidR="00E35136">
              <w:rPr>
                <w:rFonts w:ascii="Arial" w:hAnsi="Arial" w:cs="Arial"/>
                <w:sz w:val="16"/>
                <w:szCs w:val="16"/>
              </w:rPr>
              <w:t>450</w:t>
            </w:r>
            <w:r>
              <w:rPr>
                <w:rFonts w:ascii="Arial" w:hAnsi="Arial" w:cs="Arial"/>
                <w:sz w:val="16"/>
                <w:szCs w:val="16"/>
              </w:rPr>
              <w:t>0 hrs per yr x labor rate of $48.55)</w:t>
            </w:r>
          </w:p>
        </w:tc>
        <w:tc>
          <w:tcPr>
            <w:tcW w:w="1350" w:type="dxa"/>
            <w:shd w:val="clear" w:color="auto" w:fill="auto"/>
          </w:tcPr>
          <w:p w:rsidR="003D6B44" w:rsidRDefault="003D6B44" w:rsidP="003A4A45">
            <w:pPr>
              <w:rPr>
                <w:rFonts w:ascii="Arial" w:hAnsi="Arial" w:cs="Arial"/>
                <w:sz w:val="16"/>
                <w:szCs w:val="16"/>
              </w:rPr>
            </w:pPr>
            <w:r>
              <w:rPr>
                <w:rFonts w:ascii="Arial" w:hAnsi="Arial" w:cs="Arial"/>
                <w:sz w:val="16"/>
                <w:szCs w:val="16"/>
              </w:rPr>
              <w:t>0</w:t>
            </w:r>
          </w:p>
        </w:tc>
        <w:tc>
          <w:tcPr>
            <w:tcW w:w="1350" w:type="dxa"/>
            <w:shd w:val="clear" w:color="auto" w:fill="auto"/>
          </w:tcPr>
          <w:p w:rsidR="003D6B44" w:rsidRDefault="003D6B44" w:rsidP="003A4A45">
            <w:pPr>
              <w:rPr>
                <w:rFonts w:ascii="Arial" w:hAnsi="Arial" w:cs="Arial"/>
                <w:sz w:val="16"/>
                <w:szCs w:val="16"/>
              </w:rPr>
            </w:pPr>
            <w:r>
              <w:rPr>
                <w:rFonts w:ascii="Arial" w:hAnsi="Arial" w:cs="Arial"/>
                <w:sz w:val="16"/>
                <w:szCs w:val="16"/>
              </w:rPr>
              <w:t>0</w:t>
            </w:r>
          </w:p>
        </w:tc>
      </w:tr>
      <w:tr w:rsidR="003D6B44" w:rsidRPr="00917C21" w:rsidTr="009D1098">
        <w:tc>
          <w:tcPr>
            <w:tcW w:w="1530" w:type="dxa"/>
          </w:tcPr>
          <w:p w:rsidR="003D6B44" w:rsidRDefault="003D6B44" w:rsidP="00052835">
            <w:pPr>
              <w:rPr>
                <w:rFonts w:ascii="Arial" w:hAnsi="Arial" w:cs="Arial"/>
                <w:sz w:val="16"/>
                <w:szCs w:val="16"/>
              </w:rPr>
            </w:pPr>
            <w:r>
              <w:rPr>
                <w:rFonts w:ascii="Arial" w:hAnsi="Arial" w:cs="Arial"/>
                <w:sz w:val="16"/>
                <w:szCs w:val="16"/>
              </w:rPr>
              <w:t>Review and Comment on resubmitted SIPs</w:t>
            </w:r>
          </w:p>
        </w:tc>
        <w:tc>
          <w:tcPr>
            <w:tcW w:w="1530" w:type="dxa"/>
          </w:tcPr>
          <w:p w:rsidR="003D6B44" w:rsidRPr="00917C21" w:rsidRDefault="003D6B44" w:rsidP="00D54ED8">
            <w:pPr>
              <w:rPr>
                <w:rFonts w:ascii="Arial" w:hAnsi="Arial" w:cs="Arial"/>
                <w:sz w:val="16"/>
                <w:szCs w:val="16"/>
              </w:rPr>
            </w:pPr>
            <w:r>
              <w:rPr>
                <w:rFonts w:ascii="Arial" w:hAnsi="Arial" w:cs="Arial"/>
                <w:sz w:val="16"/>
                <w:szCs w:val="16"/>
              </w:rPr>
              <w:t>0</w:t>
            </w:r>
          </w:p>
        </w:tc>
        <w:tc>
          <w:tcPr>
            <w:tcW w:w="1375" w:type="dxa"/>
          </w:tcPr>
          <w:p w:rsidR="003D6B44" w:rsidRPr="00917C21" w:rsidRDefault="003D6B44" w:rsidP="00D54ED8">
            <w:pPr>
              <w:rPr>
                <w:rFonts w:ascii="Arial" w:hAnsi="Arial" w:cs="Arial"/>
                <w:sz w:val="16"/>
                <w:szCs w:val="16"/>
              </w:rPr>
            </w:pPr>
            <w:r>
              <w:rPr>
                <w:rFonts w:ascii="Arial" w:hAnsi="Arial" w:cs="Arial"/>
                <w:sz w:val="16"/>
                <w:szCs w:val="16"/>
              </w:rPr>
              <w:t>0</w:t>
            </w:r>
          </w:p>
        </w:tc>
        <w:tc>
          <w:tcPr>
            <w:tcW w:w="1350" w:type="dxa"/>
            <w:shd w:val="clear" w:color="auto" w:fill="auto"/>
          </w:tcPr>
          <w:p w:rsidR="003D6B44" w:rsidRDefault="00E35136" w:rsidP="003D6B44">
            <w:pPr>
              <w:rPr>
                <w:rFonts w:ascii="Arial" w:hAnsi="Arial" w:cs="Arial"/>
                <w:sz w:val="16"/>
                <w:szCs w:val="16"/>
              </w:rPr>
            </w:pPr>
            <w:r>
              <w:rPr>
                <w:rFonts w:ascii="Arial" w:hAnsi="Arial" w:cs="Arial"/>
                <w:sz w:val="16"/>
                <w:szCs w:val="16"/>
              </w:rPr>
              <w:t>120</w:t>
            </w:r>
          </w:p>
          <w:p w:rsidR="003D6B44" w:rsidRDefault="003D6B44" w:rsidP="003D6B44">
            <w:pPr>
              <w:rPr>
                <w:rFonts w:ascii="Arial" w:hAnsi="Arial" w:cs="Arial"/>
                <w:sz w:val="16"/>
                <w:szCs w:val="16"/>
              </w:rPr>
            </w:pPr>
          </w:p>
          <w:p w:rsidR="003D6B44" w:rsidRDefault="003D6B44" w:rsidP="003D6B44">
            <w:pPr>
              <w:rPr>
                <w:rFonts w:ascii="Arial" w:hAnsi="Arial" w:cs="Arial"/>
                <w:sz w:val="16"/>
                <w:szCs w:val="16"/>
              </w:rPr>
            </w:pPr>
            <w:r>
              <w:rPr>
                <w:rFonts w:ascii="Arial" w:hAnsi="Arial" w:cs="Arial"/>
                <w:sz w:val="16"/>
                <w:szCs w:val="16"/>
              </w:rPr>
              <w:t>Calculation:</w:t>
            </w:r>
          </w:p>
          <w:p w:rsidR="003D6B44" w:rsidRPr="00917C21" w:rsidRDefault="003D6B44" w:rsidP="003D6B44">
            <w:pPr>
              <w:rPr>
                <w:rFonts w:ascii="Arial" w:hAnsi="Arial" w:cs="Arial"/>
                <w:sz w:val="16"/>
                <w:szCs w:val="16"/>
              </w:rPr>
            </w:pPr>
            <w:r w:rsidRPr="00917C21">
              <w:rPr>
                <w:rFonts w:ascii="Arial" w:hAnsi="Arial" w:cs="Arial"/>
                <w:sz w:val="16"/>
                <w:szCs w:val="16"/>
              </w:rPr>
              <w:t>(</w:t>
            </w:r>
            <w:r>
              <w:rPr>
                <w:rFonts w:ascii="Arial" w:hAnsi="Arial" w:cs="Arial"/>
                <w:sz w:val="16"/>
                <w:szCs w:val="16"/>
              </w:rPr>
              <w:t xml:space="preserve">80 hours per plan x </w:t>
            </w:r>
            <w:r w:rsidR="00E35136">
              <w:rPr>
                <w:rFonts w:ascii="Arial" w:hAnsi="Arial" w:cs="Arial"/>
                <w:sz w:val="16"/>
                <w:szCs w:val="16"/>
              </w:rPr>
              <w:t>3</w:t>
            </w:r>
            <w:r>
              <w:rPr>
                <w:rFonts w:ascii="Arial" w:hAnsi="Arial" w:cs="Arial"/>
                <w:sz w:val="16"/>
                <w:szCs w:val="16"/>
              </w:rPr>
              <w:t xml:space="preserve"> plans)/2 years</w:t>
            </w:r>
            <w:r w:rsidRPr="00917C21">
              <w:rPr>
                <w:rFonts w:ascii="Arial" w:hAnsi="Arial" w:cs="Arial"/>
                <w:sz w:val="16"/>
                <w:szCs w:val="16"/>
              </w:rPr>
              <w:t>=</w:t>
            </w:r>
          </w:p>
          <w:p w:rsidR="003D6B44" w:rsidRDefault="003D6B44" w:rsidP="003A4A45">
            <w:pPr>
              <w:rPr>
                <w:rFonts w:ascii="Arial" w:hAnsi="Arial" w:cs="Arial"/>
                <w:sz w:val="16"/>
                <w:szCs w:val="16"/>
              </w:rPr>
            </w:pPr>
            <w:r>
              <w:rPr>
                <w:rFonts w:ascii="Arial" w:hAnsi="Arial" w:cs="Arial"/>
                <w:sz w:val="16"/>
                <w:szCs w:val="16"/>
              </w:rPr>
              <w:t>907 hr/yr</w:t>
            </w:r>
          </w:p>
        </w:tc>
        <w:tc>
          <w:tcPr>
            <w:tcW w:w="1350" w:type="dxa"/>
            <w:shd w:val="clear" w:color="auto" w:fill="auto"/>
          </w:tcPr>
          <w:p w:rsidR="003D6B44" w:rsidRDefault="00E35136" w:rsidP="003D6B44">
            <w:pPr>
              <w:rPr>
                <w:rFonts w:ascii="Arial" w:hAnsi="Arial" w:cs="Arial"/>
                <w:sz w:val="16"/>
                <w:szCs w:val="16"/>
              </w:rPr>
            </w:pPr>
            <w:r>
              <w:rPr>
                <w:rFonts w:ascii="Arial" w:hAnsi="Arial" w:cs="Arial"/>
                <w:sz w:val="16"/>
                <w:szCs w:val="16"/>
              </w:rPr>
              <w:t>5</w:t>
            </w:r>
            <w:r w:rsidR="003D6B44">
              <w:rPr>
                <w:rFonts w:ascii="Arial" w:hAnsi="Arial" w:cs="Arial"/>
                <w:sz w:val="16"/>
                <w:szCs w:val="16"/>
              </w:rPr>
              <w:t>,8</w:t>
            </w:r>
            <w:r>
              <w:rPr>
                <w:rFonts w:ascii="Arial" w:hAnsi="Arial" w:cs="Arial"/>
                <w:sz w:val="16"/>
                <w:szCs w:val="16"/>
              </w:rPr>
              <w:t>26</w:t>
            </w:r>
          </w:p>
          <w:p w:rsidR="003D6B44" w:rsidRDefault="003D6B44" w:rsidP="003D6B44">
            <w:pPr>
              <w:rPr>
                <w:rFonts w:ascii="Arial" w:hAnsi="Arial" w:cs="Arial"/>
                <w:sz w:val="16"/>
                <w:szCs w:val="16"/>
              </w:rPr>
            </w:pPr>
          </w:p>
          <w:p w:rsidR="003D6B44" w:rsidRDefault="003D6B44" w:rsidP="003D6B44">
            <w:pPr>
              <w:rPr>
                <w:rFonts w:ascii="Arial" w:hAnsi="Arial" w:cs="Arial"/>
                <w:sz w:val="16"/>
                <w:szCs w:val="16"/>
              </w:rPr>
            </w:pPr>
            <w:r>
              <w:rPr>
                <w:rFonts w:ascii="Arial" w:hAnsi="Arial" w:cs="Arial"/>
                <w:sz w:val="16"/>
                <w:szCs w:val="16"/>
              </w:rPr>
              <w:t>Calculation:</w:t>
            </w:r>
          </w:p>
          <w:p w:rsidR="003D6B44" w:rsidRDefault="003D6B44" w:rsidP="00E35136">
            <w:pPr>
              <w:rPr>
                <w:rFonts w:ascii="Arial" w:hAnsi="Arial" w:cs="Arial"/>
                <w:sz w:val="16"/>
                <w:szCs w:val="16"/>
              </w:rPr>
            </w:pPr>
            <w:r w:rsidRPr="00917C21">
              <w:rPr>
                <w:rFonts w:ascii="Arial" w:hAnsi="Arial" w:cs="Arial"/>
                <w:sz w:val="16"/>
                <w:szCs w:val="16"/>
              </w:rPr>
              <w:t>(</w:t>
            </w:r>
            <w:r w:rsidR="00E35136">
              <w:rPr>
                <w:rFonts w:ascii="Arial" w:hAnsi="Arial" w:cs="Arial"/>
                <w:sz w:val="16"/>
                <w:szCs w:val="16"/>
              </w:rPr>
              <w:t xml:space="preserve">120 </w:t>
            </w:r>
            <w:r>
              <w:rPr>
                <w:rFonts w:ascii="Arial" w:hAnsi="Arial" w:cs="Arial"/>
                <w:sz w:val="16"/>
                <w:szCs w:val="16"/>
              </w:rPr>
              <w:t>hrs per yr x labor rate of $48.55)</w:t>
            </w:r>
          </w:p>
        </w:tc>
      </w:tr>
      <w:tr w:rsidR="003D6B44" w:rsidRPr="00917C21" w:rsidTr="009D1098">
        <w:tc>
          <w:tcPr>
            <w:tcW w:w="1530" w:type="dxa"/>
          </w:tcPr>
          <w:p w:rsidR="003D6B44" w:rsidRDefault="003D6B44" w:rsidP="00052835">
            <w:pPr>
              <w:rPr>
                <w:rFonts w:ascii="Arial" w:hAnsi="Arial" w:cs="Arial"/>
                <w:sz w:val="16"/>
                <w:szCs w:val="16"/>
              </w:rPr>
            </w:pPr>
            <w:r>
              <w:rPr>
                <w:rFonts w:ascii="Arial" w:hAnsi="Arial" w:cs="Arial"/>
                <w:sz w:val="16"/>
                <w:szCs w:val="16"/>
              </w:rPr>
              <w:t>Submit minor SIP revision adopting CSAPR as BART alternative.</w:t>
            </w:r>
          </w:p>
        </w:tc>
        <w:tc>
          <w:tcPr>
            <w:tcW w:w="1530" w:type="dxa"/>
          </w:tcPr>
          <w:p w:rsidR="003D6B44" w:rsidRDefault="00407971" w:rsidP="003D6B44">
            <w:pPr>
              <w:rPr>
                <w:rFonts w:ascii="Arial" w:hAnsi="Arial" w:cs="Arial"/>
                <w:sz w:val="16"/>
                <w:szCs w:val="16"/>
              </w:rPr>
            </w:pPr>
            <w:r>
              <w:rPr>
                <w:rFonts w:ascii="Arial" w:hAnsi="Arial" w:cs="Arial"/>
                <w:sz w:val="16"/>
                <w:szCs w:val="16"/>
              </w:rPr>
              <w:t>98</w:t>
            </w:r>
          </w:p>
          <w:p w:rsidR="003D6B44" w:rsidRDefault="003D6B44" w:rsidP="003D6B44">
            <w:pPr>
              <w:rPr>
                <w:rFonts w:ascii="Arial" w:hAnsi="Arial" w:cs="Arial"/>
                <w:sz w:val="16"/>
                <w:szCs w:val="16"/>
              </w:rPr>
            </w:pPr>
          </w:p>
          <w:p w:rsidR="003D6B44" w:rsidRDefault="003D6B44" w:rsidP="003D6B44">
            <w:pPr>
              <w:rPr>
                <w:rFonts w:ascii="Arial" w:hAnsi="Arial" w:cs="Arial"/>
                <w:sz w:val="16"/>
                <w:szCs w:val="16"/>
              </w:rPr>
            </w:pPr>
            <w:r>
              <w:rPr>
                <w:rFonts w:ascii="Arial" w:hAnsi="Arial" w:cs="Arial"/>
                <w:sz w:val="16"/>
                <w:szCs w:val="16"/>
              </w:rPr>
              <w:t>Calculation:</w:t>
            </w:r>
          </w:p>
          <w:p w:rsidR="003D6B44" w:rsidRPr="00917C21" w:rsidRDefault="003D6B44" w:rsidP="003D6B44">
            <w:pPr>
              <w:rPr>
                <w:rFonts w:ascii="Arial" w:hAnsi="Arial" w:cs="Arial"/>
                <w:sz w:val="16"/>
                <w:szCs w:val="16"/>
              </w:rPr>
            </w:pPr>
            <w:r w:rsidRPr="00917C21">
              <w:rPr>
                <w:rFonts w:ascii="Arial" w:hAnsi="Arial" w:cs="Arial"/>
                <w:sz w:val="16"/>
                <w:szCs w:val="16"/>
              </w:rPr>
              <w:t>(</w:t>
            </w:r>
            <w:r w:rsidR="008E0EDC">
              <w:rPr>
                <w:rFonts w:ascii="Arial" w:hAnsi="Arial" w:cs="Arial"/>
                <w:sz w:val="16"/>
                <w:szCs w:val="16"/>
              </w:rPr>
              <w:t>2</w:t>
            </w:r>
            <w:r w:rsidR="00407971">
              <w:rPr>
                <w:rFonts w:ascii="Arial" w:hAnsi="Arial" w:cs="Arial"/>
                <w:sz w:val="16"/>
                <w:szCs w:val="16"/>
              </w:rPr>
              <w:t>1</w:t>
            </w:r>
            <w:r w:rsidR="008E0EDC">
              <w:rPr>
                <w:rFonts w:ascii="Arial" w:hAnsi="Arial" w:cs="Arial"/>
                <w:sz w:val="16"/>
                <w:szCs w:val="16"/>
              </w:rPr>
              <w:t xml:space="preserve"> </w:t>
            </w:r>
            <w:r w:rsidR="00BE7FDB">
              <w:rPr>
                <w:rFonts w:ascii="Arial" w:hAnsi="Arial" w:cs="Arial"/>
                <w:sz w:val="16"/>
                <w:szCs w:val="16"/>
              </w:rPr>
              <w:t>hours per plan x 1</w:t>
            </w:r>
            <w:r w:rsidR="00407971">
              <w:rPr>
                <w:rFonts w:ascii="Arial" w:hAnsi="Arial" w:cs="Arial"/>
                <w:sz w:val="16"/>
                <w:szCs w:val="16"/>
              </w:rPr>
              <w:t>4</w:t>
            </w:r>
            <w:r>
              <w:rPr>
                <w:rFonts w:ascii="Arial" w:hAnsi="Arial" w:cs="Arial"/>
                <w:sz w:val="16"/>
                <w:szCs w:val="16"/>
              </w:rPr>
              <w:t xml:space="preserve"> plans)/3 years</w:t>
            </w:r>
            <w:r w:rsidRPr="00917C21">
              <w:rPr>
                <w:rFonts w:ascii="Arial" w:hAnsi="Arial" w:cs="Arial"/>
                <w:sz w:val="16"/>
                <w:szCs w:val="16"/>
              </w:rPr>
              <w:t>=</w:t>
            </w:r>
          </w:p>
          <w:p w:rsidR="003D6B44" w:rsidRPr="00917C21" w:rsidRDefault="00355042" w:rsidP="00D54ED8">
            <w:pPr>
              <w:rPr>
                <w:rFonts w:ascii="Arial" w:hAnsi="Arial" w:cs="Arial"/>
                <w:sz w:val="16"/>
                <w:szCs w:val="16"/>
              </w:rPr>
            </w:pPr>
            <w:r>
              <w:rPr>
                <w:rFonts w:ascii="Arial" w:hAnsi="Arial" w:cs="Arial"/>
                <w:sz w:val="16"/>
                <w:szCs w:val="16"/>
              </w:rPr>
              <w:t xml:space="preserve">80 </w:t>
            </w:r>
            <w:r w:rsidR="003D6B44">
              <w:rPr>
                <w:rFonts w:ascii="Arial" w:hAnsi="Arial" w:cs="Arial"/>
                <w:sz w:val="16"/>
                <w:szCs w:val="16"/>
              </w:rPr>
              <w:t>hr/yr</w:t>
            </w:r>
          </w:p>
        </w:tc>
        <w:tc>
          <w:tcPr>
            <w:tcW w:w="1375" w:type="dxa"/>
          </w:tcPr>
          <w:p w:rsidR="003D6B44" w:rsidRDefault="00407971" w:rsidP="003D6B44">
            <w:pPr>
              <w:rPr>
                <w:rFonts w:ascii="Arial" w:hAnsi="Arial" w:cs="Arial"/>
                <w:sz w:val="16"/>
                <w:szCs w:val="16"/>
              </w:rPr>
            </w:pPr>
            <w:r>
              <w:rPr>
                <w:rFonts w:ascii="Arial" w:hAnsi="Arial" w:cs="Arial"/>
                <w:sz w:val="16"/>
                <w:szCs w:val="16"/>
              </w:rPr>
              <w:t>4</w:t>
            </w:r>
            <w:r w:rsidR="003D6B44">
              <w:rPr>
                <w:rFonts w:ascii="Arial" w:hAnsi="Arial" w:cs="Arial"/>
                <w:sz w:val="16"/>
                <w:szCs w:val="16"/>
              </w:rPr>
              <w:t>,</w:t>
            </w:r>
            <w:r>
              <w:rPr>
                <w:rFonts w:ascii="Arial" w:hAnsi="Arial" w:cs="Arial"/>
                <w:sz w:val="16"/>
                <w:szCs w:val="16"/>
              </w:rPr>
              <w:t xml:space="preserve">758 </w:t>
            </w:r>
          </w:p>
          <w:p w:rsidR="003D6B44" w:rsidRDefault="003D6B44" w:rsidP="003D6B44">
            <w:pPr>
              <w:rPr>
                <w:rFonts w:ascii="Arial" w:hAnsi="Arial" w:cs="Arial"/>
                <w:sz w:val="16"/>
                <w:szCs w:val="16"/>
              </w:rPr>
            </w:pPr>
          </w:p>
          <w:p w:rsidR="003D6B44" w:rsidRPr="00917C21" w:rsidRDefault="003D6B44" w:rsidP="00407971">
            <w:pPr>
              <w:rPr>
                <w:rFonts w:ascii="Arial" w:hAnsi="Arial" w:cs="Arial"/>
                <w:sz w:val="16"/>
                <w:szCs w:val="16"/>
              </w:rPr>
            </w:pPr>
            <w:r w:rsidRPr="00917C21">
              <w:rPr>
                <w:rFonts w:ascii="Arial" w:hAnsi="Arial" w:cs="Arial"/>
                <w:sz w:val="16"/>
                <w:szCs w:val="16"/>
              </w:rPr>
              <w:t>(</w:t>
            </w:r>
            <w:r w:rsidR="00407971">
              <w:rPr>
                <w:rFonts w:ascii="Arial" w:hAnsi="Arial" w:cs="Arial"/>
                <w:sz w:val="16"/>
                <w:szCs w:val="16"/>
              </w:rPr>
              <w:t xml:space="preserve">98 </w:t>
            </w:r>
            <w:r>
              <w:rPr>
                <w:rFonts w:ascii="Arial" w:hAnsi="Arial" w:cs="Arial"/>
                <w:sz w:val="16"/>
                <w:szCs w:val="16"/>
              </w:rPr>
              <w:t>hrs per yr x labor rate of $48.55)</w:t>
            </w:r>
          </w:p>
        </w:tc>
        <w:tc>
          <w:tcPr>
            <w:tcW w:w="1350" w:type="dxa"/>
            <w:shd w:val="clear" w:color="auto" w:fill="auto"/>
          </w:tcPr>
          <w:p w:rsidR="003D6B44" w:rsidRDefault="003D6B44" w:rsidP="003A4A45">
            <w:pPr>
              <w:rPr>
                <w:rFonts w:ascii="Arial" w:hAnsi="Arial" w:cs="Arial"/>
                <w:sz w:val="16"/>
                <w:szCs w:val="16"/>
              </w:rPr>
            </w:pPr>
            <w:r>
              <w:rPr>
                <w:rFonts w:ascii="Arial" w:hAnsi="Arial" w:cs="Arial"/>
                <w:sz w:val="16"/>
                <w:szCs w:val="16"/>
              </w:rPr>
              <w:t>0</w:t>
            </w:r>
          </w:p>
        </w:tc>
        <w:tc>
          <w:tcPr>
            <w:tcW w:w="1350" w:type="dxa"/>
            <w:shd w:val="clear" w:color="auto" w:fill="auto"/>
          </w:tcPr>
          <w:p w:rsidR="003D6B44" w:rsidRDefault="003D6B44" w:rsidP="003A4A45">
            <w:pPr>
              <w:rPr>
                <w:rFonts w:ascii="Arial" w:hAnsi="Arial" w:cs="Arial"/>
                <w:sz w:val="16"/>
                <w:szCs w:val="16"/>
              </w:rPr>
            </w:pPr>
            <w:r>
              <w:rPr>
                <w:rFonts w:ascii="Arial" w:hAnsi="Arial" w:cs="Arial"/>
                <w:sz w:val="16"/>
                <w:szCs w:val="16"/>
              </w:rPr>
              <w:t>0</w:t>
            </w:r>
          </w:p>
        </w:tc>
      </w:tr>
      <w:tr w:rsidR="00355042" w:rsidRPr="00917C21" w:rsidTr="009D1098">
        <w:tc>
          <w:tcPr>
            <w:tcW w:w="1530" w:type="dxa"/>
          </w:tcPr>
          <w:p w:rsidR="00355042" w:rsidRPr="00355042" w:rsidRDefault="00355042" w:rsidP="006341AF">
            <w:pPr>
              <w:rPr>
                <w:rFonts w:ascii="Arial" w:hAnsi="Arial" w:cs="Arial"/>
                <w:sz w:val="16"/>
                <w:szCs w:val="16"/>
              </w:rPr>
            </w:pPr>
            <w:r w:rsidRPr="00355042">
              <w:rPr>
                <w:rFonts w:ascii="Arial" w:hAnsi="Arial" w:cs="Arial"/>
                <w:sz w:val="16"/>
                <w:szCs w:val="16"/>
              </w:rPr>
              <w:t>Early effort on 2018 SIP</w:t>
            </w:r>
          </w:p>
        </w:tc>
        <w:tc>
          <w:tcPr>
            <w:tcW w:w="1530" w:type="dxa"/>
          </w:tcPr>
          <w:p w:rsidR="00355042" w:rsidRDefault="00355042" w:rsidP="00355042">
            <w:pPr>
              <w:rPr>
                <w:rFonts w:ascii="Arial" w:hAnsi="Arial" w:cs="Arial"/>
                <w:sz w:val="16"/>
                <w:szCs w:val="16"/>
              </w:rPr>
            </w:pPr>
            <w:r>
              <w:rPr>
                <w:rFonts w:ascii="Arial" w:hAnsi="Arial" w:cs="Arial"/>
                <w:sz w:val="16"/>
                <w:szCs w:val="16"/>
              </w:rPr>
              <w:t>1,3</w:t>
            </w:r>
            <w:r w:rsidR="007E064D">
              <w:rPr>
                <w:rFonts w:ascii="Arial" w:hAnsi="Arial" w:cs="Arial"/>
                <w:sz w:val="16"/>
                <w:szCs w:val="16"/>
              </w:rPr>
              <w:t>00</w:t>
            </w:r>
          </w:p>
          <w:p w:rsidR="00355042" w:rsidRDefault="00355042" w:rsidP="00355042">
            <w:pPr>
              <w:rPr>
                <w:rFonts w:ascii="Arial" w:hAnsi="Arial" w:cs="Arial"/>
                <w:sz w:val="16"/>
                <w:szCs w:val="16"/>
              </w:rPr>
            </w:pPr>
          </w:p>
          <w:p w:rsidR="00355042" w:rsidRDefault="00355042" w:rsidP="00355042">
            <w:pPr>
              <w:rPr>
                <w:rFonts w:ascii="Arial" w:hAnsi="Arial" w:cs="Arial"/>
                <w:sz w:val="16"/>
                <w:szCs w:val="16"/>
              </w:rPr>
            </w:pPr>
            <w:r>
              <w:rPr>
                <w:rFonts w:ascii="Arial" w:hAnsi="Arial" w:cs="Arial"/>
                <w:sz w:val="16"/>
                <w:szCs w:val="16"/>
              </w:rPr>
              <w:t>Calculation:</w:t>
            </w:r>
          </w:p>
          <w:p w:rsidR="00355042" w:rsidRPr="00917C21" w:rsidRDefault="00355042" w:rsidP="00355042">
            <w:pPr>
              <w:rPr>
                <w:rFonts w:ascii="Arial" w:hAnsi="Arial" w:cs="Arial"/>
                <w:sz w:val="16"/>
                <w:szCs w:val="16"/>
              </w:rPr>
            </w:pPr>
            <w:r w:rsidRPr="00917C21">
              <w:rPr>
                <w:rFonts w:ascii="Arial" w:hAnsi="Arial" w:cs="Arial"/>
                <w:sz w:val="16"/>
                <w:szCs w:val="16"/>
              </w:rPr>
              <w:t>(</w:t>
            </w:r>
            <w:r>
              <w:rPr>
                <w:rFonts w:ascii="Arial" w:hAnsi="Arial" w:cs="Arial"/>
                <w:sz w:val="16"/>
                <w:szCs w:val="16"/>
              </w:rPr>
              <w:t>50 hours per plan x 5</w:t>
            </w:r>
            <w:r w:rsidR="007E064D">
              <w:rPr>
                <w:rFonts w:ascii="Arial" w:hAnsi="Arial" w:cs="Arial"/>
                <w:sz w:val="16"/>
                <w:szCs w:val="16"/>
              </w:rPr>
              <w:t>2</w:t>
            </w:r>
            <w:r>
              <w:rPr>
                <w:rFonts w:ascii="Arial" w:hAnsi="Arial" w:cs="Arial"/>
                <w:sz w:val="16"/>
                <w:szCs w:val="16"/>
              </w:rPr>
              <w:t xml:space="preserve"> plans)/2years</w:t>
            </w:r>
            <w:r w:rsidRPr="00917C21">
              <w:rPr>
                <w:rFonts w:ascii="Arial" w:hAnsi="Arial" w:cs="Arial"/>
                <w:sz w:val="16"/>
                <w:szCs w:val="16"/>
              </w:rPr>
              <w:t>=</w:t>
            </w:r>
          </w:p>
          <w:p w:rsidR="00355042" w:rsidRDefault="00355042" w:rsidP="00355042">
            <w:pPr>
              <w:rPr>
                <w:rFonts w:ascii="Arial" w:hAnsi="Arial" w:cs="Arial"/>
                <w:sz w:val="16"/>
                <w:szCs w:val="16"/>
              </w:rPr>
            </w:pPr>
            <w:r>
              <w:rPr>
                <w:rFonts w:ascii="Arial" w:hAnsi="Arial" w:cs="Arial"/>
                <w:sz w:val="16"/>
                <w:szCs w:val="16"/>
              </w:rPr>
              <w:t>1,325  hr/yr</w:t>
            </w:r>
          </w:p>
        </w:tc>
        <w:tc>
          <w:tcPr>
            <w:tcW w:w="1375" w:type="dxa"/>
          </w:tcPr>
          <w:p w:rsidR="00355042" w:rsidRDefault="00355042" w:rsidP="00355042">
            <w:pPr>
              <w:rPr>
                <w:rFonts w:ascii="Arial" w:hAnsi="Arial" w:cs="Arial"/>
                <w:sz w:val="16"/>
                <w:szCs w:val="16"/>
              </w:rPr>
            </w:pPr>
            <w:r>
              <w:rPr>
                <w:rFonts w:ascii="Arial" w:hAnsi="Arial" w:cs="Arial"/>
                <w:sz w:val="16"/>
                <w:szCs w:val="16"/>
              </w:rPr>
              <w:t>6</w:t>
            </w:r>
            <w:r w:rsidR="007E064D">
              <w:rPr>
                <w:rFonts w:ascii="Arial" w:hAnsi="Arial" w:cs="Arial"/>
                <w:sz w:val="16"/>
                <w:szCs w:val="16"/>
              </w:rPr>
              <w:t>3</w:t>
            </w:r>
            <w:r>
              <w:rPr>
                <w:rFonts w:ascii="Arial" w:hAnsi="Arial" w:cs="Arial"/>
                <w:sz w:val="16"/>
                <w:szCs w:val="16"/>
              </w:rPr>
              <w:t>,</w:t>
            </w:r>
            <w:r w:rsidR="007E064D">
              <w:rPr>
                <w:rFonts w:ascii="Arial" w:hAnsi="Arial" w:cs="Arial"/>
                <w:sz w:val="16"/>
                <w:szCs w:val="16"/>
              </w:rPr>
              <w:t>115</w:t>
            </w:r>
          </w:p>
          <w:p w:rsidR="00355042" w:rsidRDefault="00355042" w:rsidP="00355042">
            <w:pPr>
              <w:rPr>
                <w:rFonts w:ascii="Arial" w:hAnsi="Arial" w:cs="Arial"/>
                <w:sz w:val="16"/>
                <w:szCs w:val="16"/>
              </w:rPr>
            </w:pPr>
          </w:p>
          <w:p w:rsidR="00355042" w:rsidDel="003D6B44" w:rsidRDefault="00355042" w:rsidP="00355042">
            <w:pPr>
              <w:rPr>
                <w:rFonts w:ascii="Arial" w:hAnsi="Arial" w:cs="Arial"/>
                <w:sz w:val="16"/>
                <w:szCs w:val="16"/>
              </w:rPr>
            </w:pPr>
            <w:r w:rsidRPr="00917C21">
              <w:rPr>
                <w:rFonts w:ascii="Arial" w:hAnsi="Arial" w:cs="Arial"/>
                <w:sz w:val="16"/>
                <w:szCs w:val="16"/>
              </w:rPr>
              <w:t>(</w:t>
            </w:r>
            <w:r>
              <w:rPr>
                <w:rFonts w:ascii="Arial" w:hAnsi="Arial" w:cs="Arial"/>
                <w:sz w:val="16"/>
                <w:szCs w:val="16"/>
              </w:rPr>
              <w:t>1,325 hrs per yr x labor rate of $48.55)</w:t>
            </w:r>
          </w:p>
        </w:tc>
        <w:tc>
          <w:tcPr>
            <w:tcW w:w="1350" w:type="dxa"/>
            <w:shd w:val="clear" w:color="auto" w:fill="auto"/>
          </w:tcPr>
          <w:p w:rsidR="00355042" w:rsidRDefault="00355042" w:rsidP="00D54ED8">
            <w:pPr>
              <w:rPr>
                <w:rFonts w:ascii="Arial" w:hAnsi="Arial" w:cs="Arial"/>
                <w:sz w:val="16"/>
                <w:szCs w:val="16"/>
              </w:rPr>
            </w:pPr>
            <w:r>
              <w:rPr>
                <w:rFonts w:ascii="Arial" w:hAnsi="Arial" w:cs="Arial"/>
                <w:sz w:val="16"/>
                <w:szCs w:val="16"/>
              </w:rPr>
              <w:t>0</w:t>
            </w:r>
          </w:p>
        </w:tc>
        <w:tc>
          <w:tcPr>
            <w:tcW w:w="1350" w:type="dxa"/>
            <w:shd w:val="clear" w:color="auto" w:fill="auto"/>
          </w:tcPr>
          <w:p w:rsidR="00355042" w:rsidDel="003D6B44" w:rsidRDefault="00355042" w:rsidP="003D6B44">
            <w:pPr>
              <w:rPr>
                <w:rFonts w:ascii="Arial" w:hAnsi="Arial" w:cs="Arial"/>
                <w:sz w:val="16"/>
                <w:szCs w:val="16"/>
              </w:rPr>
            </w:pPr>
            <w:r>
              <w:rPr>
                <w:rFonts w:ascii="Arial" w:hAnsi="Arial" w:cs="Arial"/>
                <w:sz w:val="16"/>
                <w:szCs w:val="16"/>
              </w:rPr>
              <w:t>0</w:t>
            </w:r>
          </w:p>
        </w:tc>
      </w:tr>
      <w:tr w:rsidR="003D6B44" w:rsidRPr="00917C21" w:rsidTr="009D1098">
        <w:tc>
          <w:tcPr>
            <w:tcW w:w="1530" w:type="dxa"/>
          </w:tcPr>
          <w:p w:rsidR="003D6B44" w:rsidRPr="00917C21" w:rsidRDefault="003D6B44" w:rsidP="006341AF">
            <w:pPr>
              <w:rPr>
                <w:rFonts w:ascii="Arial" w:hAnsi="Arial" w:cs="Arial"/>
                <w:sz w:val="16"/>
                <w:szCs w:val="16"/>
              </w:rPr>
            </w:pPr>
            <w:r w:rsidRPr="00917C21">
              <w:rPr>
                <w:rFonts w:ascii="Arial" w:hAnsi="Arial" w:cs="Arial"/>
                <w:b/>
                <w:sz w:val="16"/>
                <w:szCs w:val="16"/>
              </w:rPr>
              <w:t xml:space="preserve">Total </w:t>
            </w:r>
            <w:r>
              <w:rPr>
                <w:rFonts w:ascii="Arial" w:hAnsi="Arial" w:cs="Arial"/>
                <w:b/>
                <w:sz w:val="16"/>
                <w:szCs w:val="16"/>
              </w:rPr>
              <w:t>Burden by Respondent</w:t>
            </w:r>
          </w:p>
        </w:tc>
        <w:tc>
          <w:tcPr>
            <w:tcW w:w="1530" w:type="dxa"/>
          </w:tcPr>
          <w:p w:rsidR="003D6B44" w:rsidRPr="00917C21" w:rsidRDefault="00407971" w:rsidP="007E064D">
            <w:pPr>
              <w:rPr>
                <w:rFonts w:ascii="Arial" w:hAnsi="Arial" w:cs="Arial"/>
                <w:sz w:val="16"/>
                <w:szCs w:val="16"/>
              </w:rPr>
            </w:pPr>
            <w:r>
              <w:rPr>
                <w:rFonts w:ascii="Arial" w:hAnsi="Arial" w:cs="Arial"/>
                <w:sz w:val="16"/>
                <w:szCs w:val="16"/>
              </w:rPr>
              <w:t>5,021</w:t>
            </w:r>
          </w:p>
        </w:tc>
        <w:tc>
          <w:tcPr>
            <w:tcW w:w="1375" w:type="dxa"/>
          </w:tcPr>
          <w:p w:rsidR="003D6B44" w:rsidRPr="00917C21" w:rsidRDefault="007E064D" w:rsidP="00407971">
            <w:pPr>
              <w:rPr>
                <w:rFonts w:ascii="Arial" w:hAnsi="Arial" w:cs="Arial"/>
                <w:sz w:val="16"/>
                <w:szCs w:val="16"/>
              </w:rPr>
            </w:pPr>
            <w:r>
              <w:rPr>
                <w:rFonts w:ascii="Arial" w:hAnsi="Arial" w:cs="Arial"/>
                <w:sz w:val="16"/>
                <w:szCs w:val="16"/>
              </w:rPr>
              <w:t>2</w:t>
            </w:r>
            <w:r w:rsidR="00407971">
              <w:rPr>
                <w:rFonts w:ascii="Arial" w:hAnsi="Arial" w:cs="Arial"/>
                <w:sz w:val="16"/>
                <w:szCs w:val="16"/>
              </w:rPr>
              <w:t>4</w:t>
            </w:r>
            <w:r>
              <w:rPr>
                <w:rFonts w:ascii="Arial" w:hAnsi="Arial" w:cs="Arial"/>
                <w:sz w:val="16"/>
                <w:szCs w:val="16"/>
              </w:rPr>
              <w:t>3,</w:t>
            </w:r>
            <w:r w:rsidR="00407971">
              <w:rPr>
                <w:rFonts w:ascii="Arial" w:hAnsi="Arial" w:cs="Arial"/>
                <w:sz w:val="16"/>
                <w:szCs w:val="16"/>
              </w:rPr>
              <w:t>770</w:t>
            </w:r>
          </w:p>
        </w:tc>
        <w:tc>
          <w:tcPr>
            <w:tcW w:w="1350" w:type="dxa"/>
            <w:shd w:val="clear" w:color="auto" w:fill="auto"/>
          </w:tcPr>
          <w:p w:rsidR="003D6B44" w:rsidRPr="00917C21" w:rsidRDefault="002775B1" w:rsidP="00D54ED8">
            <w:pPr>
              <w:rPr>
                <w:rFonts w:ascii="Arial" w:hAnsi="Arial" w:cs="Arial"/>
                <w:sz w:val="16"/>
                <w:szCs w:val="16"/>
              </w:rPr>
            </w:pPr>
            <w:r>
              <w:rPr>
                <w:rFonts w:ascii="Arial" w:hAnsi="Arial" w:cs="Arial"/>
                <w:sz w:val="16"/>
                <w:szCs w:val="16"/>
              </w:rPr>
              <w:t>1,027</w:t>
            </w:r>
          </w:p>
        </w:tc>
        <w:tc>
          <w:tcPr>
            <w:tcW w:w="1350" w:type="dxa"/>
            <w:shd w:val="clear" w:color="auto" w:fill="auto"/>
          </w:tcPr>
          <w:p w:rsidR="003D6B44" w:rsidRPr="00917C21" w:rsidRDefault="003D6B44" w:rsidP="003D6B44">
            <w:pPr>
              <w:rPr>
                <w:rFonts w:ascii="Arial" w:hAnsi="Arial" w:cs="Arial"/>
                <w:sz w:val="16"/>
                <w:szCs w:val="16"/>
              </w:rPr>
            </w:pPr>
            <w:r>
              <w:rPr>
                <w:rFonts w:ascii="Arial" w:hAnsi="Arial" w:cs="Arial"/>
                <w:sz w:val="16"/>
                <w:szCs w:val="16"/>
              </w:rPr>
              <w:t>49</w:t>
            </w:r>
            <w:r w:rsidR="002775B1">
              <w:rPr>
                <w:rFonts w:ascii="Arial" w:hAnsi="Arial" w:cs="Arial"/>
                <w:sz w:val="16"/>
                <w:szCs w:val="16"/>
              </w:rPr>
              <w:t>,86</w:t>
            </w:r>
            <w:r>
              <w:rPr>
                <w:rFonts w:ascii="Arial" w:hAnsi="Arial" w:cs="Arial"/>
                <w:sz w:val="16"/>
                <w:szCs w:val="16"/>
              </w:rPr>
              <w:t>1</w:t>
            </w:r>
          </w:p>
        </w:tc>
      </w:tr>
      <w:tr w:rsidR="003D6B44" w:rsidRPr="00917C21" w:rsidTr="00174B38">
        <w:tc>
          <w:tcPr>
            <w:tcW w:w="1530" w:type="dxa"/>
          </w:tcPr>
          <w:p w:rsidR="003D6B44" w:rsidRPr="00917C21" w:rsidRDefault="003D6B44" w:rsidP="006341AF">
            <w:pPr>
              <w:rPr>
                <w:rFonts w:ascii="Arial" w:hAnsi="Arial" w:cs="Arial"/>
                <w:b/>
                <w:sz w:val="16"/>
                <w:szCs w:val="16"/>
              </w:rPr>
            </w:pPr>
            <w:r>
              <w:rPr>
                <w:rFonts w:ascii="Arial" w:hAnsi="Arial" w:cs="Arial"/>
                <w:b/>
                <w:sz w:val="16"/>
                <w:szCs w:val="16"/>
              </w:rPr>
              <w:t>Total for Respondent Universe</w:t>
            </w:r>
          </w:p>
        </w:tc>
        <w:tc>
          <w:tcPr>
            <w:tcW w:w="5605" w:type="dxa"/>
            <w:gridSpan w:val="4"/>
          </w:tcPr>
          <w:p w:rsidR="003D6B44" w:rsidRPr="001A1839" w:rsidRDefault="002775B1" w:rsidP="007E064D">
            <w:pPr>
              <w:rPr>
                <w:rFonts w:ascii="Arial" w:hAnsi="Arial" w:cs="Arial"/>
                <w:b/>
                <w:sz w:val="16"/>
                <w:szCs w:val="16"/>
              </w:rPr>
            </w:pPr>
            <w:r>
              <w:rPr>
                <w:rFonts w:ascii="Arial" w:hAnsi="Arial" w:cs="Arial"/>
                <w:b/>
                <w:sz w:val="16"/>
                <w:szCs w:val="16"/>
              </w:rPr>
              <w:t>6,048</w:t>
            </w:r>
            <w:r w:rsidR="007E064D" w:rsidRPr="001A1839">
              <w:rPr>
                <w:rFonts w:ascii="Arial" w:hAnsi="Arial" w:cs="Arial"/>
                <w:b/>
                <w:sz w:val="16"/>
                <w:szCs w:val="16"/>
              </w:rPr>
              <w:t xml:space="preserve"> </w:t>
            </w:r>
            <w:r w:rsidR="003D6B44" w:rsidRPr="001A1839">
              <w:rPr>
                <w:rFonts w:ascii="Arial" w:hAnsi="Arial" w:cs="Arial"/>
                <w:b/>
                <w:sz w:val="16"/>
                <w:szCs w:val="16"/>
              </w:rPr>
              <w:t>hours; $</w:t>
            </w:r>
            <w:r w:rsidR="007E064D">
              <w:rPr>
                <w:rFonts w:ascii="Arial" w:hAnsi="Arial" w:cs="Arial"/>
                <w:b/>
                <w:sz w:val="16"/>
                <w:szCs w:val="16"/>
              </w:rPr>
              <w:t>2</w:t>
            </w:r>
            <w:r>
              <w:rPr>
                <w:rFonts w:ascii="Arial" w:hAnsi="Arial" w:cs="Arial"/>
                <w:b/>
                <w:sz w:val="16"/>
                <w:szCs w:val="16"/>
              </w:rPr>
              <w:t>9</w:t>
            </w:r>
            <w:r w:rsidR="007E064D">
              <w:rPr>
                <w:rFonts w:ascii="Arial" w:hAnsi="Arial" w:cs="Arial"/>
                <w:b/>
                <w:sz w:val="16"/>
                <w:szCs w:val="16"/>
              </w:rPr>
              <w:t>3,</w:t>
            </w:r>
            <w:r>
              <w:rPr>
                <w:rFonts w:ascii="Arial" w:hAnsi="Arial" w:cs="Arial"/>
                <w:b/>
                <w:sz w:val="16"/>
                <w:szCs w:val="16"/>
              </w:rPr>
              <w:t>631</w:t>
            </w:r>
          </w:p>
        </w:tc>
      </w:tr>
    </w:tbl>
    <w:p w:rsidR="0044411E" w:rsidRPr="00B72F80" w:rsidRDefault="001A1839" w:rsidP="00127E2E">
      <w:pPr>
        <w:ind w:left="-2070" w:firstLine="2070"/>
        <w:rPr>
          <w:sz w:val="20"/>
        </w:rPr>
      </w:pPr>
      <w:r>
        <w:rPr>
          <w:sz w:val="20"/>
        </w:rPr>
        <w:t xml:space="preserve"> </w:t>
      </w:r>
    </w:p>
    <w:p w:rsidR="005E6163" w:rsidRDefault="005E6163" w:rsidP="005E6163"/>
    <w:p w:rsidR="005E6163" w:rsidRDefault="005E6163" w:rsidP="00DE09EE"/>
    <w:p w:rsidR="005E6163" w:rsidRDefault="005E6163" w:rsidP="00DE09EE"/>
    <w:p w:rsidR="00A548F2" w:rsidRDefault="00AA30E0"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A30E0">
        <w:rPr>
          <w:noProof/>
        </w:rPr>
        <w:pict>
          <v:shape id="_x0000_s1128" type="#_x0000_t202" style="position:absolute;margin-left:-180.25pt;margin-top:.7pt;width:140.65pt;height:45.2pt;z-index:18;mso-position-horizontal-relative:margin" filled="f" stroked="f">
            <v:textbox style="mso-next-textbox:#_x0000_s1128" inset="0,0">
              <w:txbxContent>
                <w:p w:rsidR="004817C3" w:rsidRPr="00DE09EE" w:rsidRDefault="004817C3" w:rsidP="004079BE">
                  <w:pPr>
                    <w:ind w:left="720" w:hanging="720"/>
                    <w:rPr>
                      <w:rFonts w:ascii="Arial" w:hAnsi="Arial" w:cs="Arial"/>
                      <w:b/>
                    </w:rPr>
                  </w:pPr>
                  <w:r>
                    <w:rPr>
                      <w:rFonts w:ascii="Arial" w:hAnsi="Arial" w:cs="Arial"/>
                      <w:b/>
                    </w:rPr>
                    <w:t>6.6</w:t>
                  </w:r>
                  <w:r>
                    <w:rPr>
                      <w:rFonts w:ascii="Arial" w:hAnsi="Arial" w:cs="Arial"/>
                      <w:b/>
                    </w:rPr>
                    <w:tab/>
                    <w:t>Reasons for Change in Burden</w:t>
                  </w:r>
                </w:p>
              </w:txbxContent>
            </v:textbox>
            <w10:wrap anchorx="margin"/>
          </v:shape>
        </w:pict>
      </w:r>
      <w:r w:rsidR="009134D6">
        <w:rPr>
          <w:color w:val="000000"/>
        </w:rPr>
        <w:t>The burden estimates for this ICR renewal period cover different task elements than those for the previous renewal (1813.0</w:t>
      </w:r>
      <w:r w:rsidR="00FF41AD">
        <w:rPr>
          <w:color w:val="000000"/>
        </w:rPr>
        <w:t>7</w:t>
      </w:r>
      <w:r w:rsidR="009134D6">
        <w:rPr>
          <w:color w:val="000000"/>
        </w:rPr>
        <w:t xml:space="preserve">). </w:t>
      </w:r>
      <w:r w:rsidR="00791CCA">
        <w:rPr>
          <w:color w:val="000000"/>
        </w:rPr>
        <w:t xml:space="preserve">These differences reflect the requirements of the final </w:t>
      </w:r>
      <w:r w:rsidR="009D051D">
        <w:rPr>
          <w:color w:val="000000"/>
        </w:rPr>
        <w:t>r</w:t>
      </w:r>
      <w:r w:rsidR="00791CCA">
        <w:rPr>
          <w:color w:val="000000"/>
        </w:rPr>
        <w:t xml:space="preserve">egional </w:t>
      </w:r>
      <w:r w:rsidR="009D051D">
        <w:rPr>
          <w:color w:val="000000"/>
        </w:rPr>
        <w:t>h</w:t>
      </w:r>
      <w:r w:rsidR="00791CCA">
        <w:rPr>
          <w:color w:val="000000"/>
        </w:rPr>
        <w:t xml:space="preserve">aze </w:t>
      </w:r>
      <w:r w:rsidR="009D051D">
        <w:rPr>
          <w:color w:val="000000"/>
        </w:rPr>
        <w:t>r</w:t>
      </w:r>
      <w:r w:rsidR="00791CCA">
        <w:rPr>
          <w:color w:val="000000"/>
        </w:rPr>
        <w:t>ule with respect to the scheduled events and activities in the implementation process.</w:t>
      </w:r>
      <w:r w:rsidR="00A548F2">
        <w:rPr>
          <w:color w:val="000000"/>
        </w:rPr>
        <w:t xml:space="preserve">  </w:t>
      </w:r>
      <w:r w:rsidR="00A548F2" w:rsidRPr="003F206D">
        <w:t>The last collection request anticipated the program progressing from the plan</w:t>
      </w:r>
      <w:r w:rsidR="00A548F2">
        <w:t>ning stages to implementation.</w:t>
      </w:r>
      <w:r w:rsidR="00A548F2" w:rsidRPr="006C210C">
        <w:t xml:space="preserve"> The change in burden </w:t>
      </w:r>
      <w:r w:rsidR="00A548F2">
        <w:t>reflects</w:t>
      </w:r>
      <w:r w:rsidR="00A548F2" w:rsidRPr="006C210C">
        <w:t xml:space="preserve"> changes in labor rates, changes in the activities conducted due to the normal progression of the program</w:t>
      </w:r>
      <w:r w:rsidR="00A548F2">
        <w:t>, and the fact that the aggregate initial regional haze SIPs and best available retrofit technology (BART) determinations will be acted on by the EPA by November 2012 and the states will be evaluating reasonable progress and implementation stages for the goals in those SIPs.</w:t>
      </w:r>
      <w:r w:rsidR="00A548F2" w:rsidRPr="008D581E">
        <w:rPr>
          <w:color w:val="FF0000"/>
        </w:rPr>
        <w:t xml:space="preserve">  </w:t>
      </w:r>
    </w:p>
    <w:p w:rsidR="009632B3" w:rsidRDefault="009632B3"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9632B3" w:rsidRDefault="007431E6"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431E6">
        <w:rPr>
          <w:color w:val="000000"/>
        </w:rPr>
        <w:t xml:space="preserve">The annual public reporting and recordkeeping burden for this collection of information </w:t>
      </w:r>
      <w:r>
        <w:rPr>
          <w:color w:val="000000"/>
        </w:rPr>
        <w:t>is estimated to average 114</w:t>
      </w:r>
      <w:r w:rsidRPr="007431E6">
        <w:rPr>
          <w:color w:val="000000"/>
        </w:rPr>
        <w:t xml:space="preserve"> hours per response.  </w:t>
      </w:r>
      <w:r w:rsidR="00AA30E0" w:rsidRPr="00AA30E0">
        <w:rPr>
          <w:noProof/>
        </w:rPr>
        <w:pict>
          <v:shape id="_x0000_s1129" type="#_x0000_t202" style="position:absolute;margin-left:-180pt;margin-top:1.5pt;width:140.65pt;height:31.8pt;z-index:19;mso-position-horizontal-relative:margin;mso-position-vertical-relative:text" filled="f" stroked="f">
            <v:textbox style="mso-next-textbox:#_x0000_s1129" inset="0,0">
              <w:txbxContent>
                <w:p w:rsidR="004817C3" w:rsidRPr="00DE09EE" w:rsidRDefault="004817C3" w:rsidP="009632B3">
                  <w:pPr>
                    <w:ind w:left="720" w:hanging="720"/>
                    <w:rPr>
                      <w:rFonts w:ascii="Arial" w:hAnsi="Arial" w:cs="Arial"/>
                      <w:b/>
                    </w:rPr>
                  </w:pPr>
                  <w:r>
                    <w:rPr>
                      <w:rFonts w:ascii="Arial" w:hAnsi="Arial" w:cs="Arial"/>
                      <w:b/>
                    </w:rPr>
                    <w:t>6.7</w:t>
                  </w:r>
                  <w:r>
                    <w:rPr>
                      <w:rFonts w:ascii="Arial" w:hAnsi="Arial" w:cs="Arial"/>
                      <w:b/>
                    </w:rPr>
                    <w:tab/>
                    <w:t>Burden Statement</w:t>
                  </w:r>
                </w:p>
              </w:txbxContent>
            </v:textbox>
            <w10:wrap anchorx="margin"/>
          </v:shape>
        </w:pict>
      </w:r>
      <w:r w:rsidR="009632B3">
        <w:rPr>
          <w:color w:val="000000"/>
        </w:rPr>
        <w:t>Burden means the total time, effort, or financial resources expended by persons to generate, maintain, retain, or disclose or p</w:t>
      </w:r>
      <w:r w:rsidR="0050637A">
        <w:rPr>
          <w:color w:val="000000"/>
        </w:rPr>
        <w:t>rovide information to or for a f</w:t>
      </w:r>
      <w:r w:rsidR="009632B3">
        <w:rPr>
          <w:color w:val="000000"/>
        </w:rPr>
        <w:t>ederal agency. This includes the time needed to review instructions; develop, acquire, install, and utilize technology and systems for the purposes of collecting,</w:t>
      </w:r>
      <w:r w:rsidR="00206FC8">
        <w:rPr>
          <w:color w:val="000000"/>
        </w:rPr>
        <w:t xml:space="preserve"> </w:t>
      </w:r>
      <w:r w:rsidR="009632B3">
        <w:rPr>
          <w:color w:val="000000"/>
        </w:rPr>
        <w:t>validating, and verifying information, processing and maintaining information, and disclosing and providing information; adjust</w:t>
      </w:r>
      <w:r w:rsidR="00850378">
        <w:rPr>
          <w:color w:val="000000"/>
        </w:rPr>
        <w:t>ing</w:t>
      </w:r>
      <w:r w:rsidR="009632B3">
        <w:rPr>
          <w:color w:val="000000"/>
        </w:rPr>
        <w:t xml:space="preserve"> the existing ways to comply with any previously applicable instructions and requirements; train</w:t>
      </w:r>
      <w:r w:rsidR="00850378">
        <w:rPr>
          <w:color w:val="000000"/>
        </w:rPr>
        <w:t>ing</w:t>
      </w:r>
      <w:r w:rsidR="009632B3">
        <w:rPr>
          <w:color w:val="000000"/>
        </w:rPr>
        <w:t xml:space="preserve"> personnel to be able to respond to a collection of information; search</w:t>
      </w:r>
      <w:r w:rsidR="00850378">
        <w:rPr>
          <w:color w:val="000000"/>
        </w:rPr>
        <w:t>ing</w:t>
      </w:r>
      <w:r w:rsidR="009632B3">
        <w:rPr>
          <w:color w:val="000000"/>
        </w:rPr>
        <w:t xml:space="preserve"> data sources; complet</w:t>
      </w:r>
      <w:r w:rsidR="00850378">
        <w:rPr>
          <w:color w:val="000000"/>
        </w:rPr>
        <w:t>ing</w:t>
      </w:r>
      <w:r w:rsidR="009632B3">
        <w:rPr>
          <w:color w:val="000000"/>
        </w:rPr>
        <w:t xml:space="preserve"> and review</w:t>
      </w:r>
      <w:r w:rsidR="00850378">
        <w:rPr>
          <w:color w:val="000000"/>
        </w:rPr>
        <w:t>ing</w:t>
      </w:r>
      <w:r w:rsidR="009632B3">
        <w:rPr>
          <w:color w:val="000000"/>
        </w:rPr>
        <w:t xml:space="preserve"> the collection of information; and </w:t>
      </w:r>
      <w:r w:rsidR="006601C4">
        <w:rPr>
          <w:color w:val="000000"/>
        </w:rPr>
        <w:t>transmitting</w:t>
      </w:r>
      <w:r w:rsidR="009632B3">
        <w:rPr>
          <w:color w:val="000000"/>
        </w:rPr>
        <w:t xml:space="preserve"> or otherwise disclos</w:t>
      </w:r>
      <w:r w:rsidR="00850378">
        <w:rPr>
          <w:color w:val="000000"/>
        </w:rPr>
        <w:t>ing</w:t>
      </w:r>
      <w:r w:rsidR="009632B3">
        <w:rPr>
          <w:color w:val="000000"/>
        </w:rPr>
        <w:t xml:space="preserve"> the information. The Agency may not conduct or sponsor, and a person is not required to respond to, a collection of information unless it displays a currently valid OMB control number. The OMB control numbers for </w:t>
      </w:r>
      <w:r w:rsidR="006601C4">
        <w:rPr>
          <w:color w:val="000000"/>
        </w:rPr>
        <w:t xml:space="preserve">the </w:t>
      </w:r>
      <w:r w:rsidR="009632B3">
        <w:rPr>
          <w:color w:val="000000"/>
        </w:rPr>
        <w:t>EPA’s regulations are listed in 40 CFR Part 9 and 48 CFR Chapter 15.</w:t>
      </w:r>
    </w:p>
    <w:p w:rsidR="009632B3" w:rsidRDefault="009632B3"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9632B3" w:rsidRDefault="009632B3" w:rsidP="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t xml:space="preserve">To comment on the Agency’s need for this information, the accuracy of the provided burden estimates, and any suggested methods for minimizing respondent burden, including through the use of automated collection techniques, </w:t>
      </w:r>
      <w:r w:rsidR="006601C4">
        <w:rPr>
          <w:color w:val="000000"/>
        </w:rPr>
        <w:t xml:space="preserve">the </w:t>
      </w:r>
      <w:r>
        <w:rPr>
          <w:color w:val="000000"/>
        </w:rPr>
        <w:t>EPA has established a public docket for this ICR u</w:t>
      </w:r>
      <w:r w:rsidR="00441091">
        <w:rPr>
          <w:color w:val="000000"/>
        </w:rPr>
        <w:t xml:space="preserve">nder Docket ID No. </w:t>
      </w:r>
      <w:r w:rsidR="007431E6">
        <w:rPr>
          <w:color w:val="000000"/>
        </w:rPr>
        <w:t>EPA-HQ-</w:t>
      </w:r>
      <w:r w:rsidR="00441091">
        <w:rPr>
          <w:color w:val="000000"/>
        </w:rPr>
        <w:t>OAR-2003-0162</w:t>
      </w:r>
      <w:r>
        <w:rPr>
          <w:color w:val="000000"/>
        </w:rPr>
        <w:t>, that is available for public viewing at the Air and Radiation Docket and Information Center, in the EPA Docket Cent</w:t>
      </w:r>
      <w:r w:rsidR="007431E6">
        <w:rPr>
          <w:color w:val="000000"/>
        </w:rPr>
        <w:t>er (EPA/DC), EPA West, Room 3334</w:t>
      </w:r>
      <w:r>
        <w:rPr>
          <w:color w:val="000000"/>
        </w:rPr>
        <w:t xml:space="preserve">, 1301 Constitution Ave., NW, Washington, DC. The EPA Docket Center Public Reading Room is open from 8:30 a.m. to 4:30 p.m., Monday through Friday, excluding legal holidays. The telephone number for the Reading Room is (202) 566-1744, and the telephone number for the Air Docket is (202) 566-1742. </w:t>
      </w:r>
      <w:r w:rsidR="007431E6">
        <w:rPr>
          <w:color w:val="0F0F0F"/>
          <w:szCs w:val="24"/>
        </w:rPr>
        <w:t xml:space="preserve">An electronic version of the public docket is available at www.regulations.gov.  This site can be used to submit or view public comments, access the index listing of the contents of the public docket, and </w:t>
      </w:r>
      <w:r w:rsidR="007431E6">
        <w:rPr>
          <w:color w:val="0F0F0F"/>
          <w:szCs w:val="24"/>
        </w:rPr>
        <w:lastRenderedPageBreak/>
        <w:t xml:space="preserve">to access those documents in the public docket that are available electronically.  When in the system, select “search,” then key in the Docket ID Number identified above.  </w:t>
      </w:r>
      <w:r>
        <w:rPr>
          <w:color w:val="000000"/>
        </w:rPr>
        <w:t>Also, you can send comments to the Office of Information and Regulatory Affairs, Office of Management and Budget, 725 17th Street, N.W., Washington D.C. 20503, Attention: Desk Offi</w:t>
      </w:r>
      <w:r w:rsidR="0020664F">
        <w:rPr>
          <w:color w:val="000000"/>
        </w:rPr>
        <w:t xml:space="preserve">cer for EPA. Please include EPA Docket ID No. </w:t>
      </w:r>
      <w:r w:rsidR="007431E6">
        <w:rPr>
          <w:color w:val="000000"/>
        </w:rPr>
        <w:t>EPA-HQ-</w:t>
      </w:r>
      <w:r w:rsidR="00441091">
        <w:rPr>
          <w:color w:val="000000"/>
        </w:rPr>
        <w:t>OAR-2003-0162</w:t>
      </w:r>
      <w:r>
        <w:rPr>
          <w:color w:val="000000"/>
        </w:rPr>
        <w:t xml:space="preserve"> </w:t>
      </w:r>
      <w:r w:rsidR="007431E6">
        <w:rPr>
          <w:color w:val="000000"/>
        </w:rPr>
        <w:t xml:space="preserve">and OMB Control Number 2060-0421 </w:t>
      </w:r>
      <w:r>
        <w:rPr>
          <w:color w:val="000000"/>
        </w:rPr>
        <w:t>in any correspondence.</w:t>
      </w:r>
    </w:p>
    <w:p w:rsidR="00DE09EE" w:rsidRDefault="009632B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w:t>
      </w:r>
    </w:p>
    <w:sectPr w:rsidR="00DE09EE" w:rsidSect="00FD5710">
      <w:headerReference w:type="even" r:id="rId11"/>
      <w:headerReference w:type="default" r:id="rId12"/>
      <w:footerReference w:type="even" r:id="rId13"/>
      <w:footerReference w:type="default" r:id="rId14"/>
      <w:endnotePr>
        <w:numFmt w:val="lowerLetter"/>
      </w:endnotePr>
      <w:type w:val="continuous"/>
      <w:pgSz w:w="12240" w:h="15840" w:code="1"/>
      <w:pgMar w:top="1339" w:right="634" w:bottom="1814" w:left="4320" w:header="864" w:footer="57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0B6" w:rsidRDefault="00BA70B6">
      <w:r>
        <w:separator/>
      </w:r>
    </w:p>
  </w:endnote>
  <w:endnote w:type="continuationSeparator" w:id="0">
    <w:p w:rsidR="00BA70B6" w:rsidRDefault="00BA70B6">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7C3" w:rsidRDefault="004817C3" w:rsidP="007B52C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4325A">
      <w:rPr>
        <w:b/>
        <w:sz w:val="16"/>
        <w:szCs w:val="16"/>
      </w:rPr>
      <w:t>INFORMATION COLLECTION REQUEST FOR CHANGES TO THE 40 CFR</w:t>
    </w:r>
    <w:r>
      <w:rPr>
        <w:b/>
        <w:sz w:val="16"/>
        <w:szCs w:val="16"/>
      </w:rPr>
      <w:t xml:space="preserve"> </w:t>
    </w:r>
    <w:r w:rsidRPr="00A4325A">
      <w:rPr>
        <w:b/>
        <w:sz w:val="16"/>
        <w:szCs w:val="16"/>
      </w:rPr>
      <w:t>PARTS 51 and 52</w:t>
    </w:r>
    <w:r>
      <w:rPr>
        <w:b/>
        <w:sz w:val="16"/>
        <w:szCs w:val="16"/>
      </w:rPr>
      <w:t xml:space="preserve"> </w:t>
    </w:r>
    <w:r w:rsidRPr="00A4325A">
      <w:rPr>
        <w:b/>
        <w:sz w:val="16"/>
        <w:szCs w:val="16"/>
      </w:rPr>
      <w:t>PSD AND NONATTAINMENT NSR: DEBOTTLENECKING, AGGREGATION, AND PROJECT NETTING</w:t>
    </w:r>
  </w:p>
  <w:p w:rsidR="004817C3" w:rsidRDefault="004817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sz w:val="16"/>
      </w:rPr>
    </w:pPr>
  </w:p>
  <w:p w:rsidR="004817C3" w:rsidRDefault="004817C3">
    <w:pPr>
      <w:tabs>
        <w:tab w:val="center" w:pos="1800"/>
      </w:tabs>
      <w:rPr>
        <w:rFonts w:ascii="Courier" w:hAnsi="Courier"/>
      </w:rPr>
    </w:pPr>
    <w:r>
      <w:rPr>
        <w:b/>
        <w:sz w:val="16"/>
      </w:rPr>
      <w:tab/>
      <w:t xml:space="preserve">Page </w:t>
    </w:r>
    <w:r>
      <w:rPr>
        <w:b/>
        <w:sz w:val="16"/>
      </w:rP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7C3" w:rsidRPr="000F37AA" w:rsidRDefault="004817C3" w:rsidP="000F37AA">
    <w:pPr>
      <w:rPr>
        <w:sz w:val="16"/>
        <w:szCs w:val="16"/>
      </w:rPr>
    </w:pPr>
    <w:r>
      <w:rPr>
        <w:sz w:val="16"/>
        <w:szCs w:val="16"/>
      </w:rPr>
      <w:t>I</w:t>
    </w:r>
    <w:r w:rsidRPr="000F37AA">
      <w:rPr>
        <w:sz w:val="16"/>
        <w:szCs w:val="16"/>
      </w:rPr>
      <w:t>NFORMATION COLLECTION REQUEST</w:t>
    </w:r>
    <w:r>
      <w:rPr>
        <w:sz w:val="16"/>
        <w:szCs w:val="16"/>
      </w:rPr>
      <w:t xml:space="preserve"> </w:t>
    </w:r>
    <w:r w:rsidRPr="000F37AA">
      <w:rPr>
        <w:sz w:val="16"/>
        <w:szCs w:val="16"/>
      </w:rPr>
      <w:t>SUPPORTING STATEMENT FOR</w:t>
    </w:r>
    <w:r>
      <w:rPr>
        <w:sz w:val="16"/>
        <w:szCs w:val="16"/>
      </w:rPr>
      <w:t xml:space="preserve"> EPA ICR </w:t>
    </w:r>
  </w:p>
  <w:p w:rsidR="004817C3" w:rsidRDefault="004817C3">
    <w:pPr>
      <w:rPr>
        <w:sz w:val="16"/>
        <w:szCs w:val="16"/>
      </w:rPr>
    </w:pPr>
    <w:r w:rsidRPr="000F37AA">
      <w:rPr>
        <w:sz w:val="16"/>
        <w:szCs w:val="16"/>
      </w:rPr>
      <w:t xml:space="preserve">RENEWAL OF THE ICR FOR THE REGIONAL HAZE RULE </w:t>
    </w:r>
    <w:r>
      <w:rPr>
        <w:sz w:val="16"/>
        <w:szCs w:val="16"/>
      </w:rPr>
      <w:t xml:space="preserve"> </w:t>
    </w:r>
  </w:p>
  <w:p w:rsidR="004817C3" w:rsidRDefault="004817C3" w:rsidP="00FD5710">
    <w:pPr>
      <w:ind w:left="2160" w:firstLine="720"/>
    </w:pPr>
    <w:r w:rsidRPr="006525AF">
      <w:rPr>
        <w:sz w:val="16"/>
        <w:szCs w:val="16"/>
      </w:rPr>
      <w:t xml:space="preserve">Page </w:t>
    </w:r>
    <w:r w:rsidR="00AA30E0" w:rsidRPr="006525AF">
      <w:rPr>
        <w:sz w:val="16"/>
        <w:szCs w:val="16"/>
      </w:rPr>
      <w:fldChar w:fldCharType="begin"/>
    </w:r>
    <w:r w:rsidRPr="006525AF">
      <w:rPr>
        <w:sz w:val="16"/>
        <w:szCs w:val="16"/>
      </w:rPr>
      <w:instrText xml:space="preserve"> PAGE </w:instrText>
    </w:r>
    <w:r w:rsidR="00AA30E0" w:rsidRPr="006525AF">
      <w:rPr>
        <w:sz w:val="16"/>
        <w:szCs w:val="16"/>
      </w:rPr>
      <w:fldChar w:fldCharType="separate"/>
    </w:r>
    <w:r w:rsidR="00A548F2">
      <w:rPr>
        <w:noProof/>
        <w:sz w:val="16"/>
        <w:szCs w:val="16"/>
      </w:rPr>
      <w:t>24</w:t>
    </w:r>
    <w:r w:rsidR="00AA30E0" w:rsidRPr="006525AF">
      <w:rPr>
        <w:sz w:val="16"/>
        <w:szCs w:val="16"/>
      </w:rPr>
      <w:fldChar w:fldCharType="end"/>
    </w:r>
    <w:r w:rsidRPr="006525AF">
      <w:rPr>
        <w:sz w:val="16"/>
        <w:szCs w:val="16"/>
      </w:rPr>
      <w:t xml:space="preserve"> of </w:t>
    </w:r>
    <w:r w:rsidR="00AA30E0" w:rsidRPr="006525AF">
      <w:rPr>
        <w:sz w:val="16"/>
        <w:szCs w:val="16"/>
      </w:rPr>
      <w:fldChar w:fldCharType="begin"/>
    </w:r>
    <w:r w:rsidRPr="006525AF">
      <w:rPr>
        <w:sz w:val="16"/>
        <w:szCs w:val="16"/>
      </w:rPr>
      <w:instrText xml:space="preserve"> NUMPAGES  </w:instrText>
    </w:r>
    <w:r w:rsidR="00AA30E0" w:rsidRPr="006525AF">
      <w:rPr>
        <w:sz w:val="16"/>
        <w:szCs w:val="16"/>
      </w:rPr>
      <w:fldChar w:fldCharType="separate"/>
    </w:r>
    <w:r w:rsidR="00A548F2">
      <w:rPr>
        <w:noProof/>
        <w:sz w:val="16"/>
        <w:szCs w:val="16"/>
      </w:rPr>
      <w:t>25</w:t>
    </w:r>
    <w:r w:rsidR="00AA30E0" w:rsidRPr="006525AF">
      <w:rPr>
        <w:sz w:val="16"/>
        <w:szCs w:val="16"/>
      </w:rPr>
      <w:fldChar w:fldCharType="end"/>
    </w:r>
  </w:p>
  <w:p w:rsidR="004817C3" w:rsidRPr="000F37AA" w:rsidRDefault="004817C3" w:rsidP="000F37AA">
    <w:pPr>
      <w:rPr>
        <w:sz w:val="16"/>
        <w:szCs w:val="16"/>
      </w:rPr>
    </w:pPr>
  </w:p>
  <w:p w:rsidR="004817C3" w:rsidRDefault="004817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0B6" w:rsidRDefault="00BA70B6">
      <w:r>
        <w:separator/>
      </w:r>
    </w:p>
  </w:footnote>
  <w:footnote w:type="continuationSeparator" w:id="0">
    <w:p w:rsidR="00BA70B6" w:rsidRDefault="00BA70B6">
      <w:r>
        <w:continuationSeparator/>
      </w:r>
    </w:p>
  </w:footnote>
  <w:footnote w:id="1">
    <w:p w:rsidR="004817C3" w:rsidRDefault="004817C3">
      <w:pPr>
        <w:pStyle w:val="FootnoteText"/>
      </w:pPr>
      <w:r>
        <w:rPr>
          <w:rStyle w:val="FootnoteReference"/>
        </w:rPr>
        <w:footnoteRef/>
      </w:r>
      <w:r>
        <w:t xml:space="preserve"> The EPA is developing FIPs for Hawaii, Montana, and the Virgin Islands and due dates for the progress reports will be based on the dates of the FIP promulgation</w:t>
      </w:r>
    </w:p>
  </w:footnote>
  <w:footnote w:id="2">
    <w:p w:rsidR="004817C3" w:rsidRDefault="004817C3" w:rsidP="00640907">
      <w:pPr>
        <w:pStyle w:val="FootnoteText"/>
      </w:pPr>
      <w:r>
        <w:rPr>
          <w:rStyle w:val="FootnoteReference"/>
        </w:rPr>
        <w:footnoteRef/>
      </w:r>
      <w:r>
        <w:t xml:space="preserve"> </w:t>
      </w:r>
      <w:r w:rsidRPr="0026666C">
        <w:t>Albuquerque/Bernalillo County in New Mexico must also submit a regional haze SIP to completely satisfy the requirements of section 110(a)(2)(D)</w:t>
      </w:r>
      <w:r>
        <w:t>(i)(II)</w:t>
      </w:r>
      <w:r w:rsidRPr="0026666C">
        <w:t xml:space="preserve"> of the </w:t>
      </w:r>
      <w:r>
        <w:t>CAA</w:t>
      </w:r>
      <w:r w:rsidRPr="0026666C">
        <w:t xml:space="preserve"> for the entire State of New Mexico under the New Mexico Air Quality Control Act (section 74-2-4).</w:t>
      </w:r>
    </w:p>
    <w:p w:rsidR="004817C3" w:rsidRDefault="004817C3">
      <w:pPr>
        <w:pStyle w:val="FootnoteText"/>
      </w:pPr>
    </w:p>
  </w:footnote>
  <w:footnote w:id="3">
    <w:p w:rsidR="004817C3" w:rsidRPr="00B91C01" w:rsidRDefault="004817C3" w:rsidP="00206FC8">
      <w:pPr>
        <w:widowControl w:val="0"/>
        <w:spacing w:before="240"/>
      </w:pPr>
      <w:r>
        <w:rPr>
          <w:rStyle w:val="FootnoteReference"/>
        </w:rPr>
        <w:footnoteRef/>
      </w:r>
      <w:r>
        <w:t xml:space="preserve"> </w:t>
      </w:r>
      <w:r>
        <w:rPr>
          <w:sz w:val="20"/>
        </w:rPr>
        <w:t xml:space="preserve">U.S. Environmental Protection Agency, Office of Air Quality Planning and Standards, </w:t>
      </w:r>
      <w:r>
        <w:rPr>
          <w:i/>
          <w:sz w:val="20"/>
        </w:rPr>
        <w:t xml:space="preserve">INFORMATION COLLECTION REQUEST FOR CHANGES TO PREVENTION OF SIGNIFICANT DETERIORATION AND NONATTAINMENT NEW SOURCE REVIEW: EMISSIONS TEST FOR ELECTRIC GENERATING UNITS, </w:t>
      </w:r>
      <w:r>
        <w:rPr>
          <w:sz w:val="20"/>
        </w:rPr>
        <w:t>August 2006, p. 20</w:t>
      </w:r>
    </w:p>
    <w:p w:rsidR="004817C3" w:rsidRDefault="004817C3">
      <w:pPr>
        <w:pStyle w:val="FootnoteText"/>
      </w:pPr>
    </w:p>
  </w:footnote>
  <w:footnote w:id="4">
    <w:p w:rsidR="004817C3" w:rsidRDefault="004817C3">
      <w:pPr>
        <w:pStyle w:val="FootnoteText"/>
      </w:pPr>
      <w:r>
        <w:rPr>
          <w:rStyle w:val="FootnoteReference"/>
        </w:rPr>
        <w:footnoteRef/>
      </w:r>
      <w:r>
        <w:t xml:space="preserve"> 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7C3" w:rsidRDefault="004817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7C3" w:rsidRDefault="004817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00C82EB5"/>
    <w:multiLevelType w:val="hybridMultilevel"/>
    <w:tmpl w:val="D85E41A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8F5173"/>
    <w:multiLevelType w:val="hybridMultilevel"/>
    <w:tmpl w:val="E3105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322D1F"/>
    <w:multiLevelType w:val="hybridMultilevel"/>
    <w:tmpl w:val="66A8B0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23C3C"/>
    <w:multiLevelType w:val="hybridMultilevel"/>
    <w:tmpl w:val="54D26E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B85160"/>
    <w:multiLevelType w:val="hybridMultilevel"/>
    <w:tmpl w:val="523ADEDE"/>
    <w:lvl w:ilvl="0" w:tplc="39C0CE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0A29A1"/>
    <w:multiLevelType w:val="hybridMultilevel"/>
    <w:tmpl w:val="7A963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316B0D"/>
    <w:multiLevelType w:val="multilevel"/>
    <w:tmpl w:val="9F4835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4127587"/>
    <w:multiLevelType w:val="hybridMultilevel"/>
    <w:tmpl w:val="F9D62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5D15F5"/>
    <w:multiLevelType w:val="hybridMultilevel"/>
    <w:tmpl w:val="25D25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7E5234"/>
    <w:multiLevelType w:val="hybridMultilevel"/>
    <w:tmpl w:val="9F483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5C1631E"/>
    <w:multiLevelType w:val="hybridMultilevel"/>
    <w:tmpl w:val="7B0266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F4261C"/>
    <w:multiLevelType w:val="hybridMultilevel"/>
    <w:tmpl w:val="55EA8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70FF5"/>
    <w:multiLevelType w:val="hybridMultilevel"/>
    <w:tmpl w:val="D09A2D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6"/>
  </w:num>
  <w:num w:numId="6">
    <w:abstractNumId w:val="11"/>
  </w:num>
  <w:num w:numId="7">
    <w:abstractNumId w:val="16"/>
  </w:num>
  <w:num w:numId="8">
    <w:abstractNumId w:val="12"/>
  </w:num>
  <w:num w:numId="9">
    <w:abstractNumId w:val="4"/>
  </w:num>
  <w:num w:numId="10">
    <w:abstractNumId w:val="13"/>
  </w:num>
  <w:num w:numId="11">
    <w:abstractNumId w:val="15"/>
  </w:num>
  <w:num w:numId="12">
    <w:abstractNumId w:val="9"/>
  </w:num>
  <w:num w:numId="13">
    <w:abstractNumId w:val="14"/>
  </w:num>
  <w:num w:numId="14">
    <w:abstractNumId w:val="10"/>
  </w:num>
  <w:num w:numId="15">
    <w:abstractNumId w:val="5"/>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001"/>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7106">
      <o:colormru v:ext="edit" colors="#b2b2b2,#ddd"/>
    </o:shapedefaults>
  </w:hdrShapeDefaults>
  <w:footnoteP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796"/>
    <w:rsid w:val="00001815"/>
    <w:rsid w:val="000042BF"/>
    <w:rsid w:val="00004AD2"/>
    <w:rsid w:val="00007811"/>
    <w:rsid w:val="00007FB0"/>
    <w:rsid w:val="000148FB"/>
    <w:rsid w:val="00014ABB"/>
    <w:rsid w:val="00014D06"/>
    <w:rsid w:val="00017AE7"/>
    <w:rsid w:val="000274F9"/>
    <w:rsid w:val="00032F41"/>
    <w:rsid w:val="000364F2"/>
    <w:rsid w:val="00037456"/>
    <w:rsid w:val="00044C4B"/>
    <w:rsid w:val="000464CD"/>
    <w:rsid w:val="000470DB"/>
    <w:rsid w:val="00047C22"/>
    <w:rsid w:val="00050DC6"/>
    <w:rsid w:val="00052835"/>
    <w:rsid w:val="000615B3"/>
    <w:rsid w:val="000624D9"/>
    <w:rsid w:val="000737D7"/>
    <w:rsid w:val="000750F5"/>
    <w:rsid w:val="0008298C"/>
    <w:rsid w:val="00083582"/>
    <w:rsid w:val="00090513"/>
    <w:rsid w:val="00092FB1"/>
    <w:rsid w:val="000946B1"/>
    <w:rsid w:val="000A1A69"/>
    <w:rsid w:val="000A387E"/>
    <w:rsid w:val="000A7EB4"/>
    <w:rsid w:val="000B11C7"/>
    <w:rsid w:val="000C1EE9"/>
    <w:rsid w:val="000C24D4"/>
    <w:rsid w:val="000C40A9"/>
    <w:rsid w:val="000C7495"/>
    <w:rsid w:val="000D023E"/>
    <w:rsid w:val="000D154C"/>
    <w:rsid w:val="000D57FC"/>
    <w:rsid w:val="000D5D0B"/>
    <w:rsid w:val="000E0649"/>
    <w:rsid w:val="000E232E"/>
    <w:rsid w:val="000E2466"/>
    <w:rsid w:val="000E3F20"/>
    <w:rsid w:val="000E6EE7"/>
    <w:rsid w:val="000F1130"/>
    <w:rsid w:val="000F29FE"/>
    <w:rsid w:val="000F37AA"/>
    <w:rsid w:val="000F38EE"/>
    <w:rsid w:val="000F55DE"/>
    <w:rsid w:val="000F669F"/>
    <w:rsid w:val="001028B1"/>
    <w:rsid w:val="00112415"/>
    <w:rsid w:val="00114C13"/>
    <w:rsid w:val="00114F93"/>
    <w:rsid w:val="00115C21"/>
    <w:rsid w:val="00123CA7"/>
    <w:rsid w:val="001259BF"/>
    <w:rsid w:val="00127E2E"/>
    <w:rsid w:val="00130242"/>
    <w:rsid w:val="001325F3"/>
    <w:rsid w:val="00135523"/>
    <w:rsid w:val="0013684A"/>
    <w:rsid w:val="00137841"/>
    <w:rsid w:val="00140792"/>
    <w:rsid w:val="00141A71"/>
    <w:rsid w:val="001454D3"/>
    <w:rsid w:val="0014578A"/>
    <w:rsid w:val="001537AD"/>
    <w:rsid w:val="00155320"/>
    <w:rsid w:val="00155B4A"/>
    <w:rsid w:val="001636E9"/>
    <w:rsid w:val="0016736B"/>
    <w:rsid w:val="00174B38"/>
    <w:rsid w:val="00174E5E"/>
    <w:rsid w:val="00177193"/>
    <w:rsid w:val="00177485"/>
    <w:rsid w:val="00181F4C"/>
    <w:rsid w:val="00183243"/>
    <w:rsid w:val="00186F78"/>
    <w:rsid w:val="0019097C"/>
    <w:rsid w:val="00190EBF"/>
    <w:rsid w:val="00191344"/>
    <w:rsid w:val="00192038"/>
    <w:rsid w:val="00192373"/>
    <w:rsid w:val="001A1839"/>
    <w:rsid w:val="001A436B"/>
    <w:rsid w:val="001A4BB1"/>
    <w:rsid w:val="001A6D38"/>
    <w:rsid w:val="001B2882"/>
    <w:rsid w:val="001C0090"/>
    <w:rsid w:val="001C33CF"/>
    <w:rsid w:val="001C3C8A"/>
    <w:rsid w:val="001D2FB5"/>
    <w:rsid w:val="001D4636"/>
    <w:rsid w:val="001D4D24"/>
    <w:rsid w:val="001D6E6E"/>
    <w:rsid w:val="001D799E"/>
    <w:rsid w:val="001E5486"/>
    <w:rsid w:val="001E59F2"/>
    <w:rsid w:val="001E5DEF"/>
    <w:rsid w:val="001E7824"/>
    <w:rsid w:val="001E7E73"/>
    <w:rsid w:val="001F1C55"/>
    <w:rsid w:val="001F380E"/>
    <w:rsid w:val="0020124C"/>
    <w:rsid w:val="002017F3"/>
    <w:rsid w:val="00202ECE"/>
    <w:rsid w:val="00203E1B"/>
    <w:rsid w:val="00205813"/>
    <w:rsid w:val="0020664F"/>
    <w:rsid w:val="00206862"/>
    <w:rsid w:val="00206979"/>
    <w:rsid w:val="00206FC8"/>
    <w:rsid w:val="0020792E"/>
    <w:rsid w:val="002123DD"/>
    <w:rsid w:val="00220C26"/>
    <w:rsid w:val="00224C7E"/>
    <w:rsid w:val="002252C8"/>
    <w:rsid w:val="00225D83"/>
    <w:rsid w:val="00227A9F"/>
    <w:rsid w:val="00233D0A"/>
    <w:rsid w:val="0023547B"/>
    <w:rsid w:val="002355BB"/>
    <w:rsid w:val="002418A2"/>
    <w:rsid w:val="00244FA1"/>
    <w:rsid w:val="00247A8B"/>
    <w:rsid w:val="00251518"/>
    <w:rsid w:val="002561FA"/>
    <w:rsid w:val="00256F48"/>
    <w:rsid w:val="00260B50"/>
    <w:rsid w:val="002619D7"/>
    <w:rsid w:val="0026278C"/>
    <w:rsid w:val="00262973"/>
    <w:rsid w:val="002657A3"/>
    <w:rsid w:val="00272454"/>
    <w:rsid w:val="00272515"/>
    <w:rsid w:val="00273C74"/>
    <w:rsid w:val="002773B6"/>
    <w:rsid w:val="0027749D"/>
    <w:rsid w:val="002775B1"/>
    <w:rsid w:val="00287D37"/>
    <w:rsid w:val="002902A4"/>
    <w:rsid w:val="00290370"/>
    <w:rsid w:val="00293796"/>
    <w:rsid w:val="00297593"/>
    <w:rsid w:val="002A2796"/>
    <w:rsid w:val="002A570D"/>
    <w:rsid w:val="002A7618"/>
    <w:rsid w:val="002B2205"/>
    <w:rsid w:val="002B25E2"/>
    <w:rsid w:val="002B58D4"/>
    <w:rsid w:val="002B60B7"/>
    <w:rsid w:val="002C031E"/>
    <w:rsid w:val="002C2F63"/>
    <w:rsid w:val="002C46C6"/>
    <w:rsid w:val="002D06BB"/>
    <w:rsid w:val="002D0999"/>
    <w:rsid w:val="002D4681"/>
    <w:rsid w:val="002D72D8"/>
    <w:rsid w:val="002D75C5"/>
    <w:rsid w:val="002E0EE5"/>
    <w:rsid w:val="002E1A53"/>
    <w:rsid w:val="002E5793"/>
    <w:rsid w:val="002E60A6"/>
    <w:rsid w:val="002E66D1"/>
    <w:rsid w:val="002E7E2C"/>
    <w:rsid w:val="002F07A8"/>
    <w:rsid w:val="002F2C31"/>
    <w:rsid w:val="002F47C3"/>
    <w:rsid w:val="003015ED"/>
    <w:rsid w:val="00302A82"/>
    <w:rsid w:val="0030484A"/>
    <w:rsid w:val="00305651"/>
    <w:rsid w:val="00311055"/>
    <w:rsid w:val="00311C2B"/>
    <w:rsid w:val="00312E49"/>
    <w:rsid w:val="00313695"/>
    <w:rsid w:val="003160A3"/>
    <w:rsid w:val="003262A9"/>
    <w:rsid w:val="003301D1"/>
    <w:rsid w:val="003302EE"/>
    <w:rsid w:val="003306B7"/>
    <w:rsid w:val="003356B5"/>
    <w:rsid w:val="00336365"/>
    <w:rsid w:val="00336B6C"/>
    <w:rsid w:val="003379CD"/>
    <w:rsid w:val="00341D60"/>
    <w:rsid w:val="00343B14"/>
    <w:rsid w:val="00344514"/>
    <w:rsid w:val="00344BF5"/>
    <w:rsid w:val="00350D55"/>
    <w:rsid w:val="003511BB"/>
    <w:rsid w:val="00352B41"/>
    <w:rsid w:val="00352F45"/>
    <w:rsid w:val="00355042"/>
    <w:rsid w:val="00355629"/>
    <w:rsid w:val="00364BDA"/>
    <w:rsid w:val="003671D8"/>
    <w:rsid w:val="00367AF9"/>
    <w:rsid w:val="00370022"/>
    <w:rsid w:val="003732AC"/>
    <w:rsid w:val="003746A7"/>
    <w:rsid w:val="00387E24"/>
    <w:rsid w:val="003951A3"/>
    <w:rsid w:val="003964AA"/>
    <w:rsid w:val="003A4A45"/>
    <w:rsid w:val="003A5D7B"/>
    <w:rsid w:val="003A73F6"/>
    <w:rsid w:val="003A7769"/>
    <w:rsid w:val="003B37CD"/>
    <w:rsid w:val="003B7DB3"/>
    <w:rsid w:val="003C24C9"/>
    <w:rsid w:val="003C381A"/>
    <w:rsid w:val="003C42B3"/>
    <w:rsid w:val="003C71F3"/>
    <w:rsid w:val="003C7F27"/>
    <w:rsid w:val="003D6B44"/>
    <w:rsid w:val="003E0437"/>
    <w:rsid w:val="003E1135"/>
    <w:rsid w:val="003E35CB"/>
    <w:rsid w:val="003E5AD5"/>
    <w:rsid w:val="003F11B5"/>
    <w:rsid w:val="003F43F8"/>
    <w:rsid w:val="003F4916"/>
    <w:rsid w:val="003F6CBC"/>
    <w:rsid w:val="00405469"/>
    <w:rsid w:val="004073C2"/>
    <w:rsid w:val="00407434"/>
    <w:rsid w:val="00407971"/>
    <w:rsid w:val="004079BE"/>
    <w:rsid w:val="00407DF0"/>
    <w:rsid w:val="00414AD1"/>
    <w:rsid w:val="00415613"/>
    <w:rsid w:val="00416036"/>
    <w:rsid w:val="00417F09"/>
    <w:rsid w:val="00420C16"/>
    <w:rsid w:val="00422058"/>
    <w:rsid w:val="004252BC"/>
    <w:rsid w:val="00425395"/>
    <w:rsid w:val="00426403"/>
    <w:rsid w:val="00426EBF"/>
    <w:rsid w:val="00427E00"/>
    <w:rsid w:val="00432AFB"/>
    <w:rsid w:val="0043339F"/>
    <w:rsid w:val="00433435"/>
    <w:rsid w:val="00434165"/>
    <w:rsid w:val="00437F52"/>
    <w:rsid w:val="00440C98"/>
    <w:rsid w:val="00441091"/>
    <w:rsid w:val="00442693"/>
    <w:rsid w:val="00443CF7"/>
    <w:rsid w:val="0044411E"/>
    <w:rsid w:val="004449D5"/>
    <w:rsid w:val="004451BC"/>
    <w:rsid w:val="004456D6"/>
    <w:rsid w:val="004459EE"/>
    <w:rsid w:val="0044734B"/>
    <w:rsid w:val="004506A7"/>
    <w:rsid w:val="004517B0"/>
    <w:rsid w:val="00453D99"/>
    <w:rsid w:val="00454BDB"/>
    <w:rsid w:val="00454FCD"/>
    <w:rsid w:val="0045792D"/>
    <w:rsid w:val="004608D0"/>
    <w:rsid w:val="004644F8"/>
    <w:rsid w:val="004701E5"/>
    <w:rsid w:val="00475FF6"/>
    <w:rsid w:val="00477049"/>
    <w:rsid w:val="004817C3"/>
    <w:rsid w:val="00481F83"/>
    <w:rsid w:val="004845B9"/>
    <w:rsid w:val="00495455"/>
    <w:rsid w:val="004A1BD4"/>
    <w:rsid w:val="004A1C87"/>
    <w:rsid w:val="004A2A80"/>
    <w:rsid w:val="004A3002"/>
    <w:rsid w:val="004A3369"/>
    <w:rsid w:val="004A53A6"/>
    <w:rsid w:val="004A6D0D"/>
    <w:rsid w:val="004B68E8"/>
    <w:rsid w:val="004B7FCD"/>
    <w:rsid w:val="004C1010"/>
    <w:rsid w:val="004C2FEC"/>
    <w:rsid w:val="004C6E1E"/>
    <w:rsid w:val="004C7698"/>
    <w:rsid w:val="004C7B76"/>
    <w:rsid w:val="004D0A80"/>
    <w:rsid w:val="004D1D3E"/>
    <w:rsid w:val="004D24D2"/>
    <w:rsid w:val="004D5A4B"/>
    <w:rsid w:val="004E1A9B"/>
    <w:rsid w:val="004E2C4B"/>
    <w:rsid w:val="004E39BD"/>
    <w:rsid w:val="004F0252"/>
    <w:rsid w:val="004F376B"/>
    <w:rsid w:val="004F6DE3"/>
    <w:rsid w:val="00504564"/>
    <w:rsid w:val="00505326"/>
    <w:rsid w:val="0050637A"/>
    <w:rsid w:val="005101F6"/>
    <w:rsid w:val="00513074"/>
    <w:rsid w:val="005166BE"/>
    <w:rsid w:val="00516CCF"/>
    <w:rsid w:val="00516D81"/>
    <w:rsid w:val="0053034F"/>
    <w:rsid w:val="00532317"/>
    <w:rsid w:val="005450E7"/>
    <w:rsid w:val="00545E04"/>
    <w:rsid w:val="005461B7"/>
    <w:rsid w:val="00554513"/>
    <w:rsid w:val="00560DAD"/>
    <w:rsid w:val="00564CDD"/>
    <w:rsid w:val="005653E0"/>
    <w:rsid w:val="00566F46"/>
    <w:rsid w:val="00567493"/>
    <w:rsid w:val="005732CF"/>
    <w:rsid w:val="0058067D"/>
    <w:rsid w:val="00581561"/>
    <w:rsid w:val="00583FB1"/>
    <w:rsid w:val="0058437E"/>
    <w:rsid w:val="00585824"/>
    <w:rsid w:val="00590C1C"/>
    <w:rsid w:val="00592F59"/>
    <w:rsid w:val="005935D9"/>
    <w:rsid w:val="005A049F"/>
    <w:rsid w:val="005A0A3A"/>
    <w:rsid w:val="005A3639"/>
    <w:rsid w:val="005A437B"/>
    <w:rsid w:val="005B2CB8"/>
    <w:rsid w:val="005B3815"/>
    <w:rsid w:val="005C60E1"/>
    <w:rsid w:val="005C65BC"/>
    <w:rsid w:val="005C6CA0"/>
    <w:rsid w:val="005D191F"/>
    <w:rsid w:val="005D29C8"/>
    <w:rsid w:val="005D771B"/>
    <w:rsid w:val="005D7919"/>
    <w:rsid w:val="005E1AF3"/>
    <w:rsid w:val="005E1BE2"/>
    <w:rsid w:val="005E6163"/>
    <w:rsid w:val="005F0D78"/>
    <w:rsid w:val="005F4787"/>
    <w:rsid w:val="005F63C6"/>
    <w:rsid w:val="005F7239"/>
    <w:rsid w:val="00605A90"/>
    <w:rsid w:val="00610D30"/>
    <w:rsid w:val="00612014"/>
    <w:rsid w:val="006128B5"/>
    <w:rsid w:val="006160C4"/>
    <w:rsid w:val="0062001A"/>
    <w:rsid w:val="00620764"/>
    <w:rsid w:val="00626519"/>
    <w:rsid w:val="00627315"/>
    <w:rsid w:val="006341AF"/>
    <w:rsid w:val="006350B8"/>
    <w:rsid w:val="0063664F"/>
    <w:rsid w:val="00637487"/>
    <w:rsid w:val="006375CA"/>
    <w:rsid w:val="00640907"/>
    <w:rsid w:val="00642925"/>
    <w:rsid w:val="0064772A"/>
    <w:rsid w:val="006510F8"/>
    <w:rsid w:val="006525AF"/>
    <w:rsid w:val="00655D13"/>
    <w:rsid w:val="006569E6"/>
    <w:rsid w:val="006572CE"/>
    <w:rsid w:val="006575AC"/>
    <w:rsid w:val="006601C4"/>
    <w:rsid w:val="006652DF"/>
    <w:rsid w:val="00666AED"/>
    <w:rsid w:val="00672AE7"/>
    <w:rsid w:val="00673671"/>
    <w:rsid w:val="0067517B"/>
    <w:rsid w:val="006761C8"/>
    <w:rsid w:val="00676BEC"/>
    <w:rsid w:val="00684874"/>
    <w:rsid w:val="00693AA5"/>
    <w:rsid w:val="006947AF"/>
    <w:rsid w:val="006A49E7"/>
    <w:rsid w:val="006A62C2"/>
    <w:rsid w:val="006B7FF2"/>
    <w:rsid w:val="006C210C"/>
    <w:rsid w:val="006C71A6"/>
    <w:rsid w:val="006C79B2"/>
    <w:rsid w:val="006D0DCE"/>
    <w:rsid w:val="006E0FCB"/>
    <w:rsid w:val="006E10DF"/>
    <w:rsid w:val="006E3421"/>
    <w:rsid w:val="006E3DED"/>
    <w:rsid w:val="006E4D8B"/>
    <w:rsid w:val="006F3878"/>
    <w:rsid w:val="006F444F"/>
    <w:rsid w:val="006F4F55"/>
    <w:rsid w:val="0071021A"/>
    <w:rsid w:val="0071060D"/>
    <w:rsid w:val="007117B1"/>
    <w:rsid w:val="00713390"/>
    <w:rsid w:val="00715B86"/>
    <w:rsid w:val="0071695B"/>
    <w:rsid w:val="0072371E"/>
    <w:rsid w:val="0072384D"/>
    <w:rsid w:val="00726B7E"/>
    <w:rsid w:val="00726FD7"/>
    <w:rsid w:val="0072715D"/>
    <w:rsid w:val="00727838"/>
    <w:rsid w:val="007311BB"/>
    <w:rsid w:val="00732320"/>
    <w:rsid w:val="00732877"/>
    <w:rsid w:val="00732E97"/>
    <w:rsid w:val="00736382"/>
    <w:rsid w:val="00737073"/>
    <w:rsid w:val="007374F1"/>
    <w:rsid w:val="007431E6"/>
    <w:rsid w:val="0075250D"/>
    <w:rsid w:val="00753307"/>
    <w:rsid w:val="00757FC4"/>
    <w:rsid w:val="0076047E"/>
    <w:rsid w:val="0076055F"/>
    <w:rsid w:val="0076089B"/>
    <w:rsid w:val="007623CD"/>
    <w:rsid w:val="007665F0"/>
    <w:rsid w:val="00770EFC"/>
    <w:rsid w:val="00772E99"/>
    <w:rsid w:val="00774584"/>
    <w:rsid w:val="0077471F"/>
    <w:rsid w:val="00776463"/>
    <w:rsid w:val="007771DB"/>
    <w:rsid w:val="0078232F"/>
    <w:rsid w:val="00784B6D"/>
    <w:rsid w:val="00787E77"/>
    <w:rsid w:val="0079033F"/>
    <w:rsid w:val="00790777"/>
    <w:rsid w:val="00790B8B"/>
    <w:rsid w:val="00791CCA"/>
    <w:rsid w:val="00792D9D"/>
    <w:rsid w:val="007931E3"/>
    <w:rsid w:val="00794845"/>
    <w:rsid w:val="00795215"/>
    <w:rsid w:val="00795D34"/>
    <w:rsid w:val="00795F61"/>
    <w:rsid w:val="00796D45"/>
    <w:rsid w:val="00797D38"/>
    <w:rsid w:val="007A48D3"/>
    <w:rsid w:val="007B03B9"/>
    <w:rsid w:val="007B1809"/>
    <w:rsid w:val="007B29CA"/>
    <w:rsid w:val="007B52C9"/>
    <w:rsid w:val="007C254B"/>
    <w:rsid w:val="007C29DE"/>
    <w:rsid w:val="007C692D"/>
    <w:rsid w:val="007C6FF8"/>
    <w:rsid w:val="007C7DBC"/>
    <w:rsid w:val="007D2769"/>
    <w:rsid w:val="007D2A41"/>
    <w:rsid w:val="007D34BD"/>
    <w:rsid w:val="007D4D5B"/>
    <w:rsid w:val="007E064D"/>
    <w:rsid w:val="007E30C1"/>
    <w:rsid w:val="007E6A52"/>
    <w:rsid w:val="007F3497"/>
    <w:rsid w:val="007F4647"/>
    <w:rsid w:val="0080050D"/>
    <w:rsid w:val="00803DBE"/>
    <w:rsid w:val="008063E2"/>
    <w:rsid w:val="0081663A"/>
    <w:rsid w:val="008236AC"/>
    <w:rsid w:val="00831096"/>
    <w:rsid w:val="0083279B"/>
    <w:rsid w:val="00833D11"/>
    <w:rsid w:val="008416B8"/>
    <w:rsid w:val="00850378"/>
    <w:rsid w:val="008519A9"/>
    <w:rsid w:val="00851FDB"/>
    <w:rsid w:val="008568F1"/>
    <w:rsid w:val="00857EE2"/>
    <w:rsid w:val="00860D7C"/>
    <w:rsid w:val="008711CC"/>
    <w:rsid w:val="00874EF8"/>
    <w:rsid w:val="00882B39"/>
    <w:rsid w:val="008869EA"/>
    <w:rsid w:val="00887180"/>
    <w:rsid w:val="00887A63"/>
    <w:rsid w:val="00887D2E"/>
    <w:rsid w:val="0089132D"/>
    <w:rsid w:val="00891BBE"/>
    <w:rsid w:val="00896BF4"/>
    <w:rsid w:val="008A6869"/>
    <w:rsid w:val="008B111A"/>
    <w:rsid w:val="008B19A4"/>
    <w:rsid w:val="008B2ED2"/>
    <w:rsid w:val="008B536D"/>
    <w:rsid w:val="008B6D41"/>
    <w:rsid w:val="008C6205"/>
    <w:rsid w:val="008C64BD"/>
    <w:rsid w:val="008C64C9"/>
    <w:rsid w:val="008D227E"/>
    <w:rsid w:val="008D5C41"/>
    <w:rsid w:val="008D6530"/>
    <w:rsid w:val="008D65AA"/>
    <w:rsid w:val="008D7CA3"/>
    <w:rsid w:val="008D7E0A"/>
    <w:rsid w:val="008D7F86"/>
    <w:rsid w:val="008E0BF3"/>
    <w:rsid w:val="008E0EDC"/>
    <w:rsid w:val="008E13F6"/>
    <w:rsid w:val="008E1BEC"/>
    <w:rsid w:val="008E2059"/>
    <w:rsid w:val="008E40DE"/>
    <w:rsid w:val="008E548F"/>
    <w:rsid w:val="008F0296"/>
    <w:rsid w:val="008F1161"/>
    <w:rsid w:val="008F7BAF"/>
    <w:rsid w:val="00900496"/>
    <w:rsid w:val="00910723"/>
    <w:rsid w:val="00910948"/>
    <w:rsid w:val="009134D6"/>
    <w:rsid w:val="00913C20"/>
    <w:rsid w:val="009157E7"/>
    <w:rsid w:val="009162E5"/>
    <w:rsid w:val="00917C21"/>
    <w:rsid w:val="00917DFE"/>
    <w:rsid w:val="00922414"/>
    <w:rsid w:val="00923316"/>
    <w:rsid w:val="00924CD7"/>
    <w:rsid w:val="00927621"/>
    <w:rsid w:val="00933070"/>
    <w:rsid w:val="00940E29"/>
    <w:rsid w:val="00944C96"/>
    <w:rsid w:val="009461DE"/>
    <w:rsid w:val="00946F14"/>
    <w:rsid w:val="0095459D"/>
    <w:rsid w:val="009606E2"/>
    <w:rsid w:val="00960B5E"/>
    <w:rsid w:val="009632B3"/>
    <w:rsid w:val="009651B7"/>
    <w:rsid w:val="00973AC7"/>
    <w:rsid w:val="00974139"/>
    <w:rsid w:val="0097566A"/>
    <w:rsid w:val="00982372"/>
    <w:rsid w:val="00983A0F"/>
    <w:rsid w:val="00984EA9"/>
    <w:rsid w:val="009855D9"/>
    <w:rsid w:val="00986B37"/>
    <w:rsid w:val="00986D9A"/>
    <w:rsid w:val="0098767A"/>
    <w:rsid w:val="009913F4"/>
    <w:rsid w:val="0099274D"/>
    <w:rsid w:val="009942C3"/>
    <w:rsid w:val="00994BA5"/>
    <w:rsid w:val="00996B2D"/>
    <w:rsid w:val="00996F5D"/>
    <w:rsid w:val="009A2337"/>
    <w:rsid w:val="009A40AE"/>
    <w:rsid w:val="009A6412"/>
    <w:rsid w:val="009A69B0"/>
    <w:rsid w:val="009A7A4F"/>
    <w:rsid w:val="009B06B6"/>
    <w:rsid w:val="009B4422"/>
    <w:rsid w:val="009B454E"/>
    <w:rsid w:val="009B5917"/>
    <w:rsid w:val="009C06CD"/>
    <w:rsid w:val="009C1599"/>
    <w:rsid w:val="009C51B5"/>
    <w:rsid w:val="009C7A9C"/>
    <w:rsid w:val="009D051D"/>
    <w:rsid w:val="009D05A7"/>
    <w:rsid w:val="009D0D18"/>
    <w:rsid w:val="009D1098"/>
    <w:rsid w:val="009D38A2"/>
    <w:rsid w:val="009D7610"/>
    <w:rsid w:val="009D7B45"/>
    <w:rsid w:val="009E09CF"/>
    <w:rsid w:val="009E286E"/>
    <w:rsid w:val="009E5CE9"/>
    <w:rsid w:val="009E64DD"/>
    <w:rsid w:val="009E6645"/>
    <w:rsid w:val="009E6F6E"/>
    <w:rsid w:val="009F0AE8"/>
    <w:rsid w:val="009F3B2A"/>
    <w:rsid w:val="00A015B6"/>
    <w:rsid w:val="00A1358A"/>
    <w:rsid w:val="00A17FE2"/>
    <w:rsid w:val="00A25B23"/>
    <w:rsid w:val="00A27339"/>
    <w:rsid w:val="00A309B3"/>
    <w:rsid w:val="00A333D4"/>
    <w:rsid w:val="00A36F47"/>
    <w:rsid w:val="00A40417"/>
    <w:rsid w:val="00A4148E"/>
    <w:rsid w:val="00A420C3"/>
    <w:rsid w:val="00A4325A"/>
    <w:rsid w:val="00A4616E"/>
    <w:rsid w:val="00A51BAF"/>
    <w:rsid w:val="00A548F2"/>
    <w:rsid w:val="00A61B28"/>
    <w:rsid w:val="00A642DB"/>
    <w:rsid w:val="00A645E4"/>
    <w:rsid w:val="00A648F3"/>
    <w:rsid w:val="00A67029"/>
    <w:rsid w:val="00A67586"/>
    <w:rsid w:val="00A67DE8"/>
    <w:rsid w:val="00A717B4"/>
    <w:rsid w:val="00A75549"/>
    <w:rsid w:val="00A83CDC"/>
    <w:rsid w:val="00A83DDD"/>
    <w:rsid w:val="00A8530B"/>
    <w:rsid w:val="00A87EC8"/>
    <w:rsid w:val="00A90FFB"/>
    <w:rsid w:val="00A913E9"/>
    <w:rsid w:val="00AA1A66"/>
    <w:rsid w:val="00AA30E0"/>
    <w:rsid w:val="00AA476C"/>
    <w:rsid w:val="00AB1682"/>
    <w:rsid w:val="00AB7F91"/>
    <w:rsid w:val="00AC2D35"/>
    <w:rsid w:val="00AC40FB"/>
    <w:rsid w:val="00AC4859"/>
    <w:rsid w:val="00AC4B28"/>
    <w:rsid w:val="00AC6679"/>
    <w:rsid w:val="00AD6BF8"/>
    <w:rsid w:val="00AE0AC1"/>
    <w:rsid w:val="00AE1E29"/>
    <w:rsid w:val="00AF04D8"/>
    <w:rsid w:val="00AF4D60"/>
    <w:rsid w:val="00AF60F5"/>
    <w:rsid w:val="00AF75F2"/>
    <w:rsid w:val="00B003BD"/>
    <w:rsid w:val="00B02134"/>
    <w:rsid w:val="00B05269"/>
    <w:rsid w:val="00B103FA"/>
    <w:rsid w:val="00B1229D"/>
    <w:rsid w:val="00B15322"/>
    <w:rsid w:val="00B17066"/>
    <w:rsid w:val="00B2355F"/>
    <w:rsid w:val="00B24666"/>
    <w:rsid w:val="00B24DA0"/>
    <w:rsid w:val="00B26CA6"/>
    <w:rsid w:val="00B3445B"/>
    <w:rsid w:val="00B34596"/>
    <w:rsid w:val="00B402AD"/>
    <w:rsid w:val="00B42A3E"/>
    <w:rsid w:val="00B47070"/>
    <w:rsid w:val="00B513BF"/>
    <w:rsid w:val="00B57040"/>
    <w:rsid w:val="00B630EC"/>
    <w:rsid w:val="00B63CBC"/>
    <w:rsid w:val="00B67995"/>
    <w:rsid w:val="00B70B70"/>
    <w:rsid w:val="00B72A78"/>
    <w:rsid w:val="00B72F3D"/>
    <w:rsid w:val="00B74DEB"/>
    <w:rsid w:val="00B75ED6"/>
    <w:rsid w:val="00B773E4"/>
    <w:rsid w:val="00B806A6"/>
    <w:rsid w:val="00B811C0"/>
    <w:rsid w:val="00B81864"/>
    <w:rsid w:val="00B826EF"/>
    <w:rsid w:val="00B8523E"/>
    <w:rsid w:val="00B86040"/>
    <w:rsid w:val="00B86C48"/>
    <w:rsid w:val="00B91C01"/>
    <w:rsid w:val="00B92480"/>
    <w:rsid w:val="00B974F1"/>
    <w:rsid w:val="00BA1F6F"/>
    <w:rsid w:val="00BA4A60"/>
    <w:rsid w:val="00BA65D2"/>
    <w:rsid w:val="00BA70B6"/>
    <w:rsid w:val="00BA72F4"/>
    <w:rsid w:val="00BA73DB"/>
    <w:rsid w:val="00BB1810"/>
    <w:rsid w:val="00BB23E8"/>
    <w:rsid w:val="00BB69A7"/>
    <w:rsid w:val="00BC288C"/>
    <w:rsid w:val="00BC3F9B"/>
    <w:rsid w:val="00BD149D"/>
    <w:rsid w:val="00BD2BA8"/>
    <w:rsid w:val="00BD3D71"/>
    <w:rsid w:val="00BE793D"/>
    <w:rsid w:val="00BE7FDB"/>
    <w:rsid w:val="00BF0836"/>
    <w:rsid w:val="00BF2CB4"/>
    <w:rsid w:val="00BF3DE7"/>
    <w:rsid w:val="00BF4CDF"/>
    <w:rsid w:val="00BF58B3"/>
    <w:rsid w:val="00C0239F"/>
    <w:rsid w:val="00C0383B"/>
    <w:rsid w:val="00C0480A"/>
    <w:rsid w:val="00C1372E"/>
    <w:rsid w:val="00C156EB"/>
    <w:rsid w:val="00C15A7A"/>
    <w:rsid w:val="00C226C6"/>
    <w:rsid w:val="00C25E6F"/>
    <w:rsid w:val="00C357C5"/>
    <w:rsid w:val="00C428F2"/>
    <w:rsid w:val="00C45190"/>
    <w:rsid w:val="00C45A86"/>
    <w:rsid w:val="00C46D96"/>
    <w:rsid w:val="00C519D5"/>
    <w:rsid w:val="00C51C98"/>
    <w:rsid w:val="00C52589"/>
    <w:rsid w:val="00C60FBD"/>
    <w:rsid w:val="00C61288"/>
    <w:rsid w:val="00C61996"/>
    <w:rsid w:val="00C647EB"/>
    <w:rsid w:val="00C725CE"/>
    <w:rsid w:val="00C72ABB"/>
    <w:rsid w:val="00C746FE"/>
    <w:rsid w:val="00C81331"/>
    <w:rsid w:val="00C81A82"/>
    <w:rsid w:val="00C86899"/>
    <w:rsid w:val="00C87742"/>
    <w:rsid w:val="00C8779B"/>
    <w:rsid w:val="00C908BB"/>
    <w:rsid w:val="00C94B69"/>
    <w:rsid w:val="00C963B9"/>
    <w:rsid w:val="00C9689C"/>
    <w:rsid w:val="00C976DF"/>
    <w:rsid w:val="00CA137C"/>
    <w:rsid w:val="00CA4890"/>
    <w:rsid w:val="00CA75D3"/>
    <w:rsid w:val="00CA7E3E"/>
    <w:rsid w:val="00CB4140"/>
    <w:rsid w:val="00CB6B03"/>
    <w:rsid w:val="00CC278C"/>
    <w:rsid w:val="00CC2EA0"/>
    <w:rsid w:val="00CC3A14"/>
    <w:rsid w:val="00CC4524"/>
    <w:rsid w:val="00CC5D9C"/>
    <w:rsid w:val="00CC7864"/>
    <w:rsid w:val="00CD313E"/>
    <w:rsid w:val="00CD416D"/>
    <w:rsid w:val="00CD57D1"/>
    <w:rsid w:val="00CD5B33"/>
    <w:rsid w:val="00CD641D"/>
    <w:rsid w:val="00CD76C3"/>
    <w:rsid w:val="00CF14D0"/>
    <w:rsid w:val="00CF1C39"/>
    <w:rsid w:val="00D126F7"/>
    <w:rsid w:val="00D13CD1"/>
    <w:rsid w:val="00D15597"/>
    <w:rsid w:val="00D224DB"/>
    <w:rsid w:val="00D24B29"/>
    <w:rsid w:val="00D27881"/>
    <w:rsid w:val="00D32038"/>
    <w:rsid w:val="00D33228"/>
    <w:rsid w:val="00D41F09"/>
    <w:rsid w:val="00D43D6E"/>
    <w:rsid w:val="00D46625"/>
    <w:rsid w:val="00D501F1"/>
    <w:rsid w:val="00D51556"/>
    <w:rsid w:val="00D517F2"/>
    <w:rsid w:val="00D54ED8"/>
    <w:rsid w:val="00D608C4"/>
    <w:rsid w:val="00D631B2"/>
    <w:rsid w:val="00D649A7"/>
    <w:rsid w:val="00D65DAA"/>
    <w:rsid w:val="00D6721E"/>
    <w:rsid w:val="00D67FA7"/>
    <w:rsid w:val="00D72B8A"/>
    <w:rsid w:val="00D7406E"/>
    <w:rsid w:val="00D76385"/>
    <w:rsid w:val="00D77DD5"/>
    <w:rsid w:val="00D84E55"/>
    <w:rsid w:val="00D90C1F"/>
    <w:rsid w:val="00D92580"/>
    <w:rsid w:val="00D95C9B"/>
    <w:rsid w:val="00D96172"/>
    <w:rsid w:val="00DA0BDE"/>
    <w:rsid w:val="00DA70A2"/>
    <w:rsid w:val="00DB03D6"/>
    <w:rsid w:val="00DB34E2"/>
    <w:rsid w:val="00DB7371"/>
    <w:rsid w:val="00DC3064"/>
    <w:rsid w:val="00DC4668"/>
    <w:rsid w:val="00DC68F3"/>
    <w:rsid w:val="00DC6FBB"/>
    <w:rsid w:val="00DD0F2E"/>
    <w:rsid w:val="00DD182E"/>
    <w:rsid w:val="00DD21CF"/>
    <w:rsid w:val="00DD3EB8"/>
    <w:rsid w:val="00DD3F36"/>
    <w:rsid w:val="00DD47EF"/>
    <w:rsid w:val="00DD4928"/>
    <w:rsid w:val="00DD58AE"/>
    <w:rsid w:val="00DE09EE"/>
    <w:rsid w:val="00DE1262"/>
    <w:rsid w:val="00DE1C07"/>
    <w:rsid w:val="00DF2605"/>
    <w:rsid w:val="00DF4A2E"/>
    <w:rsid w:val="00E0444A"/>
    <w:rsid w:val="00E0655B"/>
    <w:rsid w:val="00E06B9C"/>
    <w:rsid w:val="00E070E0"/>
    <w:rsid w:val="00E07686"/>
    <w:rsid w:val="00E07B04"/>
    <w:rsid w:val="00E10B56"/>
    <w:rsid w:val="00E11C01"/>
    <w:rsid w:val="00E12BE3"/>
    <w:rsid w:val="00E13B72"/>
    <w:rsid w:val="00E17515"/>
    <w:rsid w:val="00E22997"/>
    <w:rsid w:val="00E23394"/>
    <w:rsid w:val="00E2394A"/>
    <w:rsid w:val="00E244AB"/>
    <w:rsid w:val="00E31BC2"/>
    <w:rsid w:val="00E34EBE"/>
    <w:rsid w:val="00E35136"/>
    <w:rsid w:val="00E37E89"/>
    <w:rsid w:val="00E41C2E"/>
    <w:rsid w:val="00E44218"/>
    <w:rsid w:val="00E45EDD"/>
    <w:rsid w:val="00E46CDA"/>
    <w:rsid w:val="00E5072C"/>
    <w:rsid w:val="00E5419F"/>
    <w:rsid w:val="00E61128"/>
    <w:rsid w:val="00E63103"/>
    <w:rsid w:val="00E6529C"/>
    <w:rsid w:val="00E65D93"/>
    <w:rsid w:val="00E72494"/>
    <w:rsid w:val="00E82522"/>
    <w:rsid w:val="00E82F08"/>
    <w:rsid w:val="00E83A67"/>
    <w:rsid w:val="00E87D9B"/>
    <w:rsid w:val="00E9042B"/>
    <w:rsid w:val="00E93B60"/>
    <w:rsid w:val="00EA28DD"/>
    <w:rsid w:val="00EA2C9B"/>
    <w:rsid w:val="00EA3E64"/>
    <w:rsid w:val="00EA66E3"/>
    <w:rsid w:val="00EA7436"/>
    <w:rsid w:val="00EB1660"/>
    <w:rsid w:val="00EB2783"/>
    <w:rsid w:val="00EB4568"/>
    <w:rsid w:val="00EB55C2"/>
    <w:rsid w:val="00EC0F2C"/>
    <w:rsid w:val="00EC2134"/>
    <w:rsid w:val="00EC72FA"/>
    <w:rsid w:val="00ED127E"/>
    <w:rsid w:val="00ED25AB"/>
    <w:rsid w:val="00ED2CEA"/>
    <w:rsid w:val="00ED6F95"/>
    <w:rsid w:val="00ED7EDB"/>
    <w:rsid w:val="00EF05E1"/>
    <w:rsid w:val="00EF41FE"/>
    <w:rsid w:val="00EF4F02"/>
    <w:rsid w:val="00EF54E1"/>
    <w:rsid w:val="00EF741D"/>
    <w:rsid w:val="00EF76B9"/>
    <w:rsid w:val="00F114AB"/>
    <w:rsid w:val="00F12753"/>
    <w:rsid w:val="00F23143"/>
    <w:rsid w:val="00F27E18"/>
    <w:rsid w:val="00F302FC"/>
    <w:rsid w:val="00F40E4C"/>
    <w:rsid w:val="00F410DE"/>
    <w:rsid w:val="00F42F84"/>
    <w:rsid w:val="00F43435"/>
    <w:rsid w:val="00F47E87"/>
    <w:rsid w:val="00F500FC"/>
    <w:rsid w:val="00F53D72"/>
    <w:rsid w:val="00F56694"/>
    <w:rsid w:val="00F57509"/>
    <w:rsid w:val="00F63104"/>
    <w:rsid w:val="00F6341B"/>
    <w:rsid w:val="00F725B1"/>
    <w:rsid w:val="00F75E39"/>
    <w:rsid w:val="00F77970"/>
    <w:rsid w:val="00F839C7"/>
    <w:rsid w:val="00F84221"/>
    <w:rsid w:val="00F8736C"/>
    <w:rsid w:val="00F90CCD"/>
    <w:rsid w:val="00F9534B"/>
    <w:rsid w:val="00F95985"/>
    <w:rsid w:val="00FA0886"/>
    <w:rsid w:val="00FA507F"/>
    <w:rsid w:val="00FA641C"/>
    <w:rsid w:val="00FA7FC7"/>
    <w:rsid w:val="00FB1EB6"/>
    <w:rsid w:val="00FB38F6"/>
    <w:rsid w:val="00FB3A66"/>
    <w:rsid w:val="00FB7BB6"/>
    <w:rsid w:val="00FC3B39"/>
    <w:rsid w:val="00FC45B5"/>
    <w:rsid w:val="00FC6A97"/>
    <w:rsid w:val="00FC6B26"/>
    <w:rsid w:val="00FC78CE"/>
    <w:rsid w:val="00FD0744"/>
    <w:rsid w:val="00FD5635"/>
    <w:rsid w:val="00FD5710"/>
    <w:rsid w:val="00FE21B4"/>
    <w:rsid w:val="00FE2D07"/>
    <w:rsid w:val="00FF02DA"/>
    <w:rsid w:val="00FF12EC"/>
    <w:rsid w:val="00FF2AAE"/>
    <w:rsid w:val="00FF41AD"/>
    <w:rsid w:val="00FF64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colormru v:ext="edit" colors="#b2b2b2,#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635"/>
    <w:rPr>
      <w:sz w:val="24"/>
    </w:rPr>
  </w:style>
  <w:style w:type="paragraph" w:styleId="Heading1">
    <w:name w:val="heading 1"/>
    <w:basedOn w:val="Normal"/>
    <w:next w:val="Normal"/>
    <w:link w:val="Heading1Char"/>
    <w:qFormat/>
    <w:rsid w:val="009A641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38A2"/>
    <w:pPr>
      <w:tabs>
        <w:tab w:val="center" w:pos="4320"/>
        <w:tab w:val="right" w:pos="8640"/>
      </w:tabs>
    </w:pPr>
  </w:style>
  <w:style w:type="paragraph" w:customStyle="1" w:styleId="Level1">
    <w:name w:val="Level 1"/>
    <w:basedOn w:val="Normal"/>
    <w:rsid w:val="00FD5635"/>
    <w:pPr>
      <w:widowControl w:val="0"/>
    </w:pPr>
  </w:style>
  <w:style w:type="paragraph" w:customStyle="1" w:styleId="Level2">
    <w:name w:val="Level 2"/>
    <w:basedOn w:val="Normal"/>
    <w:rsid w:val="00FD5635"/>
    <w:pPr>
      <w:widowControl w:val="0"/>
    </w:pPr>
  </w:style>
  <w:style w:type="paragraph" w:customStyle="1" w:styleId="Level3">
    <w:name w:val="Level 3"/>
    <w:basedOn w:val="Normal"/>
    <w:rsid w:val="00FD5635"/>
    <w:pPr>
      <w:widowControl w:val="0"/>
    </w:pPr>
  </w:style>
  <w:style w:type="paragraph" w:customStyle="1" w:styleId="Level4">
    <w:name w:val="Level 4"/>
    <w:basedOn w:val="Normal"/>
    <w:rsid w:val="00FD5635"/>
    <w:pPr>
      <w:widowControl w:val="0"/>
    </w:pPr>
  </w:style>
  <w:style w:type="paragraph" w:customStyle="1" w:styleId="Level5">
    <w:name w:val="Level 5"/>
    <w:basedOn w:val="Normal"/>
    <w:rsid w:val="00FD5635"/>
    <w:pPr>
      <w:widowControl w:val="0"/>
    </w:pPr>
  </w:style>
  <w:style w:type="paragraph" w:customStyle="1" w:styleId="Level6">
    <w:name w:val="Level 6"/>
    <w:basedOn w:val="Normal"/>
    <w:rsid w:val="00FD5635"/>
    <w:pPr>
      <w:widowControl w:val="0"/>
    </w:pPr>
  </w:style>
  <w:style w:type="paragraph" w:customStyle="1" w:styleId="Level7">
    <w:name w:val="Level 7"/>
    <w:basedOn w:val="Normal"/>
    <w:rsid w:val="00FD5635"/>
    <w:pPr>
      <w:widowControl w:val="0"/>
    </w:pPr>
  </w:style>
  <w:style w:type="paragraph" w:customStyle="1" w:styleId="Level8">
    <w:name w:val="Level 8"/>
    <w:basedOn w:val="Normal"/>
    <w:rsid w:val="00FD5635"/>
    <w:pPr>
      <w:widowControl w:val="0"/>
    </w:pPr>
  </w:style>
  <w:style w:type="paragraph" w:customStyle="1" w:styleId="Level9">
    <w:name w:val="Level 9"/>
    <w:basedOn w:val="Normal"/>
    <w:rsid w:val="00FD5635"/>
    <w:pPr>
      <w:widowControl w:val="0"/>
    </w:pPr>
  </w:style>
  <w:style w:type="character" w:customStyle="1" w:styleId="Normal1">
    <w:name w:val="Normal1"/>
    <w:basedOn w:val="DefaultParagraphFont"/>
    <w:rsid w:val="00FD5635"/>
    <w:rPr>
      <w:rFonts w:ascii="Courier" w:hAnsi="Courier"/>
      <w:sz w:val="22"/>
    </w:rPr>
  </w:style>
  <w:style w:type="paragraph" w:customStyle="1" w:styleId="a">
    <w:name w:val="آ"/>
    <w:basedOn w:val="Normal"/>
    <w:rsid w:val="00FD5635"/>
    <w:pPr>
      <w:widowControl w:val="0"/>
    </w:pPr>
  </w:style>
  <w:style w:type="paragraph" w:customStyle="1" w:styleId="level10">
    <w:name w:val="_leve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rsid w:val="00FD5635"/>
    <w:pPr>
      <w:widowControl w:val="0"/>
      <w:tabs>
        <w:tab w:val="left" w:pos="6480"/>
        <w:tab w:val="left" w:pos="7200"/>
        <w:tab w:val="left" w:pos="7920"/>
        <w:tab w:val="left" w:pos="8640"/>
      </w:tabs>
      <w:ind w:left="6480" w:hanging="720"/>
    </w:pPr>
  </w:style>
  <w:style w:type="paragraph" w:customStyle="1" w:styleId="levsl1">
    <w:name w:val="_levs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FD5635"/>
    <w:pPr>
      <w:widowControl w:val="0"/>
      <w:tabs>
        <w:tab w:val="left" w:pos="6480"/>
        <w:tab w:val="left" w:pos="7200"/>
        <w:tab w:val="left" w:pos="7920"/>
        <w:tab w:val="left" w:pos="8640"/>
      </w:tabs>
      <w:ind w:left="6480" w:hanging="720"/>
    </w:pPr>
  </w:style>
  <w:style w:type="paragraph" w:customStyle="1" w:styleId="levnl1">
    <w:name w:val="_levn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FD5635"/>
    <w:pPr>
      <w:widowControl w:val="0"/>
      <w:tabs>
        <w:tab w:val="left" w:pos="6480"/>
        <w:tab w:val="left" w:pos="7200"/>
        <w:tab w:val="left" w:pos="7920"/>
        <w:tab w:val="left" w:pos="8640"/>
      </w:tabs>
      <w:ind w:left="6480" w:hanging="720"/>
    </w:pPr>
  </w:style>
  <w:style w:type="character" w:customStyle="1" w:styleId="SYSHYPERTEXT">
    <w:name w:val="SYS_HYPERTEXT"/>
    <w:basedOn w:val="DefaultParagraphFont"/>
    <w:rsid w:val="00FD5635"/>
    <w:rPr>
      <w:color w:val="0000FF"/>
      <w:u w:val="single"/>
    </w:rPr>
  </w:style>
  <w:style w:type="paragraph" w:styleId="Footer">
    <w:name w:val="footer"/>
    <w:basedOn w:val="Normal"/>
    <w:link w:val="FooterChar"/>
    <w:uiPriority w:val="99"/>
    <w:rsid w:val="009D38A2"/>
    <w:pPr>
      <w:tabs>
        <w:tab w:val="center" w:pos="4320"/>
        <w:tab w:val="right" w:pos="8640"/>
      </w:tabs>
    </w:pPr>
  </w:style>
  <w:style w:type="paragraph" w:styleId="FootnoteText">
    <w:name w:val="footnote text"/>
    <w:basedOn w:val="Normal"/>
    <w:link w:val="FootnoteTextChar"/>
    <w:rsid w:val="0071060D"/>
    <w:rPr>
      <w:sz w:val="20"/>
    </w:rPr>
  </w:style>
  <w:style w:type="character" w:styleId="FootnoteReference">
    <w:name w:val="footnote reference"/>
    <w:basedOn w:val="DefaultParagraphFont"/>
    <w:semiHidden/>
    <w:rsid w:val="0071060D"/>
    <w:rPr>
      <w:vertAlign w:val="superscript"/>
    </w:rPr>
  </w:style>
  <w:style w:type="character" w:styleId="PageNumber">
    <w:name w:val="page number"/>
    <w:basedOn w:val="DefaultParagraphFont"/>
    <w:rsid w:val="00341D60"/>
  </w:style>
  <w:style w:type="paragraph" w:styleId="BalloonText">
    <w:name w:val="Balloon Text"/>
    <w:basedOn w:val="Normal"/>
    <w:semiHidden/>
    <w:rsid w:val="0030484A"/>
    <w:rPr>
      <w:rFonts w:ascii="Tahoma" w:hAnsi="Tahoma" w:cs="Tahoma"/>
      <w:sz w:val="16"/>
      <w:szCs w:val="16"/>
    </w:rPr>
  </w:style>
  <w:style w:type="paragraph" w:styleId="DocumentMap">
    <w:name w:val="Document Map"/>
    <w:basedOn w:val="Normal"/>
    <w:semiHidden/>
    <w:rsid w:val="00F84221"/>
    <w:pPr>
      <w:shd w:val="clear" w:color="auto" w:fill="000080"/>
    </w:pPr>
    <w:rPr>
      <w:rFonts w:ascii="Tahoma" w:hAnsi="Tahoma" w:cs="Tahoma"/>
      <w:sz w:val="20"/>
    </w:rPr>
  </w:style>
  <w:style w:type="character" w:styleId="Hyperlink">
    <w:name w:val="Hyperlink"/>
    <w:basedOn w:val="DefaultParagraphFont"/>
    <w:rsid w:val="00244FA1"/>
    <w:rPr>
      <w:color w:val="0000FF"/>
      <w:u w:val="single"/>
    </w:rPr>
  </w:style>
  <w:style w:type="table" w:styleId="TableGrid">
    <w:name w:val="Table Grid"/>
    <w:basedOn w:val="TableNormal"/>
    <w:rsid w:val="00BD2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A6412"/>
    <w:rPr>
      <w:rFonts w:ascii="Arial" w:hAnsi="Arial" w:cs="Arial"/>
      <w:b/>
      <w:bCs/>
      <w:kern w:val="32"/>
      <w:sz w:val="32"/>
      <w:szCs w:val="32"/>
      <w:lang w:val="en-US" w:eastAsia="en-US" w:bidi="ar-SA"/>
    </w:rPr>
  </w:style>
  <w:style w:type="paragraph" w:styleId="TOC1">
    <w:name w:val="toc 1"/>
    <w:basedOn w:val="Normal"/>
    <w:next w:val="Normal"/>
    <w:autoRedefine/>
    <w:semiHidden/>
    <w:rsid w:val="009A6412"/>
    <w:rPr>
      <w:rFonts w:ascii="Arial" w:hAnsi="Arial"/>
      <w:b/>
    </w:rPr>
  </w:style>
  <w:style w:type="character" w:styleId="FollowedHyperlink">
    <w:name w:val="FollowedHyperlink"/>
    <w:basedOn w:val="DefaultParagraphFont"/>
    <w:rsid w:val="003A73F6"/>
    <w:rPr>
      <w:color w:val="800080"/>
      <w:u w:val="single"/>
    </w:rPr>
  </w:style>
  <w:style w:type="paragraph" w:styleId="TOC2">
    <w:name w:val="toc 2"/>
    <w:basedOn w:val="Normal"/>
    <w:next w:val="Normal"/>
    <w:autoRedefine/>
    <w:semiHidden/>
    <w:rsid w:val="009A6412"/>
    <w:pPr>
      <w:ind w:left="240"/>
    </w:pPr>
    <w:rPr>
      <w:rFonts w:ascii="Arial" w:hAnsi="Arial"/>
      <w:b/>
    </w:rPr>
  </w:style>
  <w:style w:type="paragraph" w:styleId="TOC3">
    <w:name w:val="toc 3"/>
    <w:basedOn w:val="Normal"/>
    <w:next w:val="Normal"/>
    <w:autoRedefine/>
    <w:semiHidden/>
    <w:rsid w:val="009A6412"/>
    <w:pPr>
      <w:ind w:left="480"/>
    </w:pPr>
    <w:rPr>
      <w:rFonts w:ascii="Arial" w:hAnsi="Arial"/>
      <w:b/>
    </w:rPr>
  </w:style>
  <w:style w:type="paragraph" w:styleId="Index1">
    <w:name w:val="index 1"/>
    <w:basedOn w:val="Normal"/>
    <w:next w:val="Normal"/>
    <w:autoRedefine/>
    <w:semiHidden/>
    <w:rsid w:val="004644F8"/>
    <w:pPr>
      <w:ind w:left="240" w:hanging="240"/>
    </w:pPr>
    <w:rPr>
      <w:rFonts w:ascii="Arial" w:hAnsi="Arial"/>
      <w:b/>
    </w:rPr>
  </w:style>
  <w:style w:type="paragraph" w:styleId="Index2">
    <w:name w:val="index 2"/>
    <w:basedOn w:val="Normal"/>
    <w:next w:val="Normal"/>
    <w:autoRedefine/>
    <w:semiHidden/>
    <w:rsid w:val="004644F8"/>
    <w:pPr>
      <w:ind w:left="480" w:hanging="240"/>
    </w:pPr>
    <w:rPr>
      <w:rFonts w:ascii="Arial" w:hAnsi="Arial"/>
      <w:b/>
    </w:rPr>
  </w:style>
  <w:style w:type="paragraph" w:styleId="Index3">
    <w:name w:val="index 3"/>
    <w:basedOn w:val="Normal"/>
    <w:next w:val="Normal"/>
    <w:autoRedefine/>
    <w:semiHidden/>
    <w:rsid w:val="004644F8"/>
    <w:pPr>
      <w:ind w:left="720" w:hanging="240"/>
    </w:pPr>
    <w:rPr>
      <w:rFonts w:ascii="Arial" w:hAnsi="Arial"/>
      <w:b/>
    </w:rPr>
  </w:style>
  <w:style w:type="character" w:styleId="CommentReference">
    <w:name w:val="annotation reference"/>
    <w:basedOn w:val="DefaultParagraphFont"/>
    <w:rsid w:val="00313695"/>
    <w:rPr>
      <w:sz w:val="16"/>
      <w:szCs w:val="16"/>
    </w:rPr>
  </w:style>
  <w:style w:type="paragraph" w:styleId="CommentText">
    <w:name w:val="annotation text"/>
    <w:basedOn w:val="Normal"/>
    <w:link w:val="CommentTextChar"/>
    <w:rsid w:val="00313695"/>
    <w:rPr>
      <w:sz w:val="20"/>
    </w:rPr>
  </w:style>
  <w:style w:type="character" w:customStyle="1" w:styleId="CommentTextChar">
    <w:name w:val="Comment Text Char"/>
    <w:basedOn w:val="DefaultParagraphFont"/>
    <w:link w:val="CommentText"/>
    <w:rsid w:val="00313695"/>
  </w:style>
  <w:style w:type="paragraph" w:styleId="CommentSubject">
    <w:name w:val="annotation subject"/>
    <w:basedOn w:val="CommentText"/>
    <w:next w:val="CommentText"/>
    <w:link w:val="CommentSubjectChar"/>
    <w:rsid w:val="00313695"/>
    <w:rPr>
      <w:b/>
      <w:bCs/>
    </w:rPr>
  </w:style>
  <w:style w:type="character" w:customStyle="1" w:styleId="CommentSubjectChar">
    <w:name w:val="Comment Subject Char"/>
    <w:basedOn w:val="CommentTextChar"/>
    <w:link w:val="CommentSubject"/>
    <w:rsid w:val="00313695"/>
    <w:rPr>
      <w:b/>
      <w:bCs/>
    </w:rPr>
  </w:style>
  <w:style w:type="character" w:customStyle="1" w:styleId="FooterChar">
    <w:name w:val="Footer Char"/>
    <w:basedOn w:val="DefaultParagraphFont"/>
    <w:link w:val="Footer"/>
    <w:uiPriority w:val="99"/>
    <w:rsid w:val="00440C98"/>
    <w:rPr>
      <w:sz w:val="24"/>
    </w:rPr>
  </w:style>
  <w:style w:type="character" w:customStyle="1" w:styleId="FootnoteTextChar">
    <w:name w:val="Footnote Text Char"/>
    <w:basedOn w:val="DefaultParagraphFont"/>
    <w:link w:val="FootnoteText"/>
    <w:locked/>
    <w:rsid w:val="00640907"/>
  </w:style>
  <w:style w:type="paragraph" w:styleId="Revision">
    <w:name w:val="Revision"/>
    <w:hidden/>
    <w:uiPriority w:val="99"/>
    <w:semiHidden/>
    <w:rsid w:val="00913C20"/>
    <w:rPr>
      <w:sz w:val="24"/>
    </w:rPr>
  </w:style>
</w:styles>
</file>

<file path=word/webSettings.xml><?xml version="1.0" encoding="utf-8"?>
<w:webSettings xmlns:r="http://schemas.openxmlformats.org/officeDocument/2006/relationships" xmlns:w="http://schemas.openxmlformats.org/wordprocessingml/2006/main">
  <w:divs>
    <w:div w:id="771708985">
      <w:bodyDiv w:val="1"/>
      <w:marLeft w:val="0"/>
      <w:marRight w:val="0"/>
      <w:marTop w:val="0"/>
      <w:marBottom w:val="0"/>
      <w:divBdr>
        <w:top w:val="none" w:sz="0" w:space="0" w:color="auto"/>
        <w:left w:val="none" w:sz="0" w:space="0" w:color="auto"/>
        <w:bottom w:val="none" w:sz="0" w:space="0" w:color="auto"/>
        <w:right w:val="none" w:sz="0" w:space="0" w:color="auto"/>
      </w:divBdr>
    </w:div>
    <w:div w:id="1344625296">
      <w:bodyDiv w:val="1"/>
      <w:marLeft w:val="0"/>
      <w:marRight w:val="0"/>
      <w:marTop w:val="0"/>
      <w:marBottom w:val="0"/>
      <w:divBdr>
        <w:top w:val="none" w:sz="0" w:space="0" w:color="auto"/>
        <w:left w:val="none" w:sz="0" w:space="0" w:color="auto"/>
        <w:bottom w:val="none" w:sz="0" w:space="0" w:color="auto"/>
        <w:right w:val="none" w:sz="0" w:space="0" w:color="auto"/>
      </w:divBdr>
    </w:div>
    <w:div w:id="1833136691">
      <w:bodyDiv w:val="1"/>
      <w:marLeft w:val="0"/>
      <w:marRight w:val="0"/>
      <w:marTop w:val="0"/>
      <w:marBottom w:val="0"/>
      <w:divBdr>
        <w:top w:val="none" w:sz="0" w:space="0" w:color="auto"/>
        <w:left w:val="none" w:sz="0" w:space="0" w:color="auto"/>
        <w:bottom w:val="none" w:sz="0" w:space="0" w:color="auto"/>
        <w:right w:val="none" w:sz="0" w:space="0" w:color="auto"/>
      </w:divBdr>
    </w:div>
    <w:div w:id="184798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m.gov/oca/12tables/html/gs.asp"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B1F0A-D7C5-4CC8-BCD5-3AACAFD4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25</Pages>
  <Words>6937</Words>
  <Characters>39546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United States Environmental Protection Agency</vt:lpstr>
    </vt:vector>
  </TitlesOfParts>
  <Company>EC/R</Company>
  <LinksUpToDate>false</LinksUpToDate>
  <CharactersWithSpaces>46391</CharactersWithSpaces>
  <SharedDoc>false</SharedDoc>
  <HLinks>
    <vt:vector size="42" baseType="variant">
      <vt:variant>
        <vt:i4>7929974</vt:i4>
      </vt:variant>
      <vt:variant>
        <vt:i4>194</vt:i4>
      </vt:variant>
      <vt:variant>
        <vt:i4>0</vt:i4>
      </vt:variant>
      <vt:variant>
        <vt:i4>5</vt:i4>
      </vt:variant>
      <vt:variant>
        <vt:lpwstr>http://www.opm.gov/oca/12tables/html/gs.asp</vt:lpwstr>
      </vt:variant>
      <vt:variant>
        <vt:lpwstr/>
      </vt:variant>
      <vt:variant>
        <vt:i4>1835091</vt:i4>
      </vt:variant>
      <vt:variant>
        <vt:i4>191</vt:i4>
      </vt:variant>
      <vt:variant>
        <vt:i4>0</vt:i4>
      </vt:variant>
      <vt:variant>
        <vt:i4>5</vt:i4>
      </vt:variant>
      <vt:variant>
        <vt:lpwstr>http://www.bls.gov/oes/current/oes434021.htm</vt:lpwstr>
      </vt:variant>
      <vt:variant>
        <vt:lpwstr/>
      </vt:variant>
      <vt:variant>
        <vt:i4>1572954</vt:i4>
      </vt:variant>
      <vt:variant>
        <vt:i4>188</vt:i4>
      </vt:variant>
      <vt:variant>
        <vt:i4>0</vt:i4>
      </vt:variant>
      <vt:variant>
        <vt:i4>5</vt:i4>
      </vt:variant>
      <vt:variant>
        <vt:lpwstr>http://www.bls.gov/oes/current/oes172081.htm</vt:lpwstr>
      </vt:variant>
      <vt:variant>
        <vt:lpwstr/>
      </vt:variant>
      <vt:variant>
        <vt:i4>1966173</vt:i4>
      </vt:variant>
      <vt:variant>
        <vt:i4>185</vt:i4>
      </vt:variant>
      <vt:variant>
        <vt:i4>0</vt:i4>
      </vt:variant>
      <vt:variant>
        <vt:i4>5</vt:i4>
      </vt:variant>
      <vt:variant>
        <vt:lpwstr>http://www.bls.gov/oes/current/oes119041.htm</vt:lpwstr>
      </vt:variant>
      <vt:variant>
        <vt:lpwstr/>
      </vt:variant>
      <vt:variant>
        <vt:i4>262182</vt:i4>
      </vt:variant>
      <vt:variant>
        <vt:i4>182</vt:i4>
      </vt:variant>
      <vt:variant>
        <vt:i4>0</vt:i4>
      </vt:variant>
      <vt:variant>
        <vt:i4>5</vt:i4>
      </vt:variant>
      <vt:variant>
        <vt:lpwstr>http://www.bls.gov/news.release/archives/ecec_09082010.htm</vt:lpwstr>
      </vt:variant>
      <vt:variant>
        <vt:lpwstr/>
      </vt:variant>
      <vt:variant>
        <vt:i4>131098</vt:i4>
      </vt:variant>
      <vt:variant>
        <vt:i4>3</vt:i4>
      </vt:variant>
      <vt:variant>
        <vt:i4>0</vt:i4>
      </vt:variant>
      <vt:variant>
        <vt:i4>5</vt:i4>
      </vt:variant>
      <vt:variant>
        <vt:lpwstr>http://www.bls.gov/news.release/ecec.t03.htm</vt:lpwstr>
      </vt:variant>
      <vt:variant>
        <vt:lpwstr/>
      </vt:variant>
      <vt:variant>
        <vt:i4>262182</vt:i4>
      </vt:variant>
      <vt:variant>
        <vt:i4>0</vt:i4>
      </vt:variant>
      <vt:variant>
        <vt:i4>0</vt:i4>
      </vt:variant>
      <vt:variant>
        <vt:i4>5</vt:i4>
      </vt:variant>
      <vt:variant>
        <vt:lpwstr>http://www.bls.gov/news.release/archives/ecec_09082010.htm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Environmental Protection Agency</dc:title>
  <dc:subject/>
  <dc:creator>Robin Barrows</dc:creator>
  <cp:keywords/>
  <dc:description/>
  <cp:lastModifiedBy>Courtney Kerwin</cp:lastModifiedBy>
  <cp:revision>4</cp:revision>
  <cp:lastPrinted>2012-07-19T15:20:00Z</cp:lastPrinted>
  <dcterms:created xsi:type="dcterms:W3CDTF">2012-08-07T20:34:00Z</dcterms:created>
  <dcterms:modified xsi:type="dcterms:W3CDTF">2012-08-30T15:42:00Z</dcterms:modified>
</cp:coreProperties>
</file>