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896C67"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Default="00921F39">
      <w:pPr>
        <w:rPr>
          <w:color w:val="000000"/>
        </w:rPr>
      </w:pPr>
      <w:r>
        <w:rPr>
          <w:b/>
        </w:rPr>
        <w:t xml:space="preserve">NESHAP for Hydrochloric Acid Production </w:t>
      </w:r>
      <w:r w:rsidRPr="00844D0F">
        <w:rPr>
          <w:b/>
        </w:rPr>
        <w:t xml:space="preserve">(40 CFR </w:t>
      </w:r>
      <w:r>
        <w:rPr>
          <w:b/>
        </w:rPr>
        <w:t>P</w:t>
      </w:r>
      <w:r w:rsidRPr="00844D0F">
        <w:rPr>
          <w:b/>
        </w:rPr>
        <w:t xml:space="preserve">art 63, </w:t>
      </w:r>
      <w:r>
        <w:rPr>
          <w:b/>
        </w:rPr>
        <w:t>S</w:t>
      </w:r>
      <w:r w:rsidRPr="00844D0F">
        <w:rPr>
          <w:b/>
        </w:rPr>
        <w:t>ubpart NNNNN) (Renewal)</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921F39" w:rsidRDefault="00921F39" w:rsidP="00921F39">
      <w:r>
        <w:t xml:space="preserve">NESHAP for Hydrochloric Acid Production (40 CFR Part 63, Subpart NNNNN) (Renewal),    EPA ICR Number 2032.07, OMB Control Number 2060-0529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CA4CD6" w:rsidRDefault="00CA4CD6">
      <w:pPr>
        <w:ind w:firstLine="720"/>
        <w:rPr>
          <w:color w:val="000000"/>
        </w:rPr>
      </w:pPr>
      <w:r>
        <w:rPr>
          <w:color w:val="000000"/>
        </w:rPr>
        <w:t xml:space="preserve">The </w:t>
      </w:r>
      <w:r w:rsidR="004E3034">
        <w:t>National Emission Standards for Hazardous Air Pollutants (NESHAP)</w:t>
      </w:r>
      <w:r>
        <w:rPr>
          <w:color w:val="FF0000"/>
        </w:rPr>
        <w:t xml:space="preserve"> </w:t>
      </w:r>
      <w:r>
        <w:rPr>
          <w:color w:val="000000"/>
        </w:rPr>
        <w:t xml:space="preserve">for the regulations published at </w:t>
      </w:r>
      <w:r w:rsidR="004E3034">
        <w:rPr>
          <w:color w:val="000000"/>
        </w:rPr>
        <w:t>40 CFR part 63, subpart NNNNN</w:t>
      </w:r>
      <w:r>
        <w:rPr>
          <w:color w:val="000000"/>
        </w:rPr>
        <w:t xml:space="preserve"> were proposed on </w:t>
      </w:r>
      <w:r w:rsidR="004E3034">
        <w:t>September 18, 2001</w:t>
      </w:r>
      <w:r>
        <w:rPr>
          <w:color w:val="000000"/>
        </w:rPr>
        <w:t>,</w:t>
      </w:r>
      <w:r w:rsidR="00440C25">
        <w:rPr>
          <w:color w:val="000000"/>
        </w:rPr>
        <w:t xml:space="preserve"> </w:t>
      </w:r>
      <w:r>
        <w:rPr>
          <w:color w:val="000000"/>
        </w:rPr>
        <w:t xml:space="preserve">promulgated on </w:t>
      </w:r>
      <w:r w:rsidR="004E3034">
        <w:t>April 17, 2003</w:t>
      </w:r>
      <w:r w:rsidR="0098627A">
        <w:t xml:space="preserve">, and amended on </w:t>
      </w:r>
      <w:r w:rsidR="00B86D33">
        <w:t xml:space="preserve">April 7, 2006.  </w:t>
      </w:r>
      <w:r>
        <w:rPr>
          <w:color w:val="000000"/>
        </w:rPr>
        <w:t xml:space="preserve">These regulations apply to existing and new </w:t>
      </w:r>
      <w:r w:rsidR="00B86D33">
        <w:t>hydrochlori</w:t>
      </w:r>
      <w:r w:rsidR="00471672">
        <w:t>c acid (HCI) production facilities</w:t>
      </w:r>
      <w:r>
        <w:rPr>
          <w:color w:val="000000"/>
        </w:rPr>
        <w:t>.  New facilities include those that commenced construction</w:t>
      </w:r>
      <w:r w:rsidR="00471672">
        <w:rPr>
          <w:color w:val="000000"/>
        </w:rPr>
        <w:t xml:space="preserve"> </w:t>
      </w:r>
      <w:r>
        <w:rPr>
          <w:color w:val="000000"/>
        </w:rPr>
        <w:t xml:space="preserve">or reconstruction after the date of proposal.  This information is being collected to assure compliance with 40 CFR part 63, subpart </w:t>
      </w:r>
      <w:r w:rsidR="00471672">
        <w:rPr>
          <w:color w:val="000000"/>
        </w:rPr>
        <w:t>NNNNN</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0B190A">
        <w:rPr>
          <w:color w:val="000000"/>
        </w:rPr>
        <w:t>NESHAP</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0B190A">
        <w:rPr>
          <w:color w:val="000000"/>
        </w:rPr>
        <w:t>NESHAP</w:t>
      </w:r>
      <w:r>
        <w:rPr>
          <w:color w:val="000000"/>
        </w:rPr>
        <w:t>.</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B637A8">
        <w:rPr>
          <w:color w:val="000000"/>
        </w:rPr>
        <w:t>five</w:t>
      </w:r>
      <w:r>
        <w:rPr>
          <w:color w:val="000000"/>
        </w:rPr>
        <w:t xml:space="preserve"> years following the date of such measurements, maintenance reports, and records.  All reports are sent to the delegated state or local authority.  </w:t>
      </w:r>
      <w:r w:rsidR="00F04393">
        <w:rPr>
          <w:color w:val="000000"/>
        </w:rPr>
        <w:t xml:space="preserve"> </w:t>
      </w:r>
      <w:r>
        <w:rPr>
          <w:color w:val="000000"/>
        </w:rPr>
        <w:t>In the event that there is no such delegated authority, the reports are sent directly to the U</w:t>
      </w:r>
      <w:r w:rsidR="00F04393">
        <w:rPr>
          <w:color w:val="000000"/>
        </w:rPr>
        <w:t>.</w:t>
      </w:r>
      <w:r>
        <w:rPr>
          <w:color w:val="000000"/>
        </w:rPr>
        <w:t xml:space="preserve"> S</w:t>
      </w:r>
      <w:r w:rsidR="00F04393">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98627A">
        <w:rPr>
          <w:color w:val="000000"/>
        </w:rPr>
        <w:t>is</w:t>
      </w:r>
      <w:r>
        <w:rPr>
          <w:color w:val="000000"/>
        </w:rPr>
        <w:t xml:space="preserve"> an average of </w:t>
      </w:r>
      <w:r w:rsidR="00B637A8">
        <w:rPr>
          <w:color w:val="000000"/>
        </w:rPr>
        <w:t xml:space="preserve">one </w:t>
      </w:r>
      <w:r>
        <w:rPr>
          <w:color w:val="000000"/>
        </w:rPr>
        <w:t>affected facilit</w:t>
      </w:r>
      <w:r w:rsidR="00B637A8">
        <w:rPr>
          <w:color w:val="000000"/>
        </w:rPr>
        <w:t>y</w:t>
      </w:r>
      <w:r>
        <w:rPr>
          <w:color w:val="000000"/>
        </w:rPr>
        <w:t xml:space="preserve">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317820">
        <w:rPr>
          <w:color w:val="000000"/>
        </w:rPr>
        <w:t>81</w:t>
      </w:r>
      <w:r w:rsidR="00317820" w:rsidDel="00B637A8">
        <w:rPr>
          <w:color w:val="FF0000"/>
        </w:rPr>
        <w:t xml:space="preserve"> </w:t>
      </w:r>
      <w:r w:rsidR="00CA4CD6">
        <w:rPr>
          <w:color w:val="000000"/>
        </w:rPr>
        <w:t xml:space="preserve">respondents </w:t>
      </w:r>
      <w:r>
        <w:rPr>
          <w:color w:val="000000"/>
        </w:rPr>
        <w:t>per year will be subject to the standard</w:t>
      </w:r>
      <w:r w:rsidR="00CA4CD6">
        <w:rPr>
          <w:color w:val="000000"/>
        </w:rPr>
        <w:t xml:space="preserve">, and </w:t>
      </w:r>
      <w:r w:rsidR="00B637A8">
        <w:rPr>
          <w:color w:val="000000"/>
        </w:rPr>
        <w:t>2</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B637A8" w:rsidRDefault="00437866">
      <w:pPr>
        <w:pBdr>
          <w:top w:val="single" w:sz="6" w:space="0" w:color="FFFFFF"/>
          <w:left w:val="single" w:sz="6" w:space="0" w:color="FFFFFF"/>
          <w:bottom w:val="single" w:sz="6" w:space="0" w:color="FFFFFF"/>
          <w:right w:val="single" w:sz="6" w:space="0" w:color="FFFFFF"/>
        </w:pBdr>
        <w:ind w:firstLine="720"/>
      </w:pPr>
      <w:r w:rsidRPr="00437866">
        <w:t xml:space="preserve">OMB approved the currently active ICR without any “Terms of Clearance.”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38797C" w:rsidRDefault="0092663C" w:rsidP="002B29A5">
      <w:r>
        <w:tab/>
      </w:r>
      <w:r w:rsidR="00707AEF">
        <w:t xml:space="preserve">All of the hydrochloric acid production facilities in the United States are owned and operated by the hydrochloric acid production industry (the “Affected Public”).  None of the facilities in the United States are owned by state, local, tribal or the federal government.  They are </w:t>
      </w:r>
      <w:r w:rsidR="00F04393">
        <w:t xml:space="preserve">all </w:t>
      </w:r>
      <w:r w:rsidR="00707AEF">
        <w:t>privately</w:t>
      </w:r>
      <w:r w:rsidR="00F04393">
        <w:t>-</w:t>
      </w:r>
      <w:r w:rsidR="00707AEF">
        <w:t>owned</w:t>
      </w:r>
      <w:r w:rsidR="00F04393">
        <w:t>,</w:t>
      </w:r>
      <w:r w:rsidR="00707AEF">
        <w:t xml:space="preserve"> for-profit businesses.  The burden to the “Affected Public” is listed </w:t>
      </w:r>
      <w:r w:rsidR="00707AEF">
        <w:lastRenderedPageBreak/>
        <w:t>below in Table 1:</w:t>
      </w:r>
      <w:r w:rsidR="00437866" w:rsidRPr="00437866">
        <w:t xml:space="preserve"> Annual Respondent Burden and Cost – </w:t>
      </w:r>
      <w:r>
        <w:t>NESHAP for Hydrochloric Acid Production (40 CFR Part 63, Subpart NNNNN)</w:t>
      </w:r>
      <w:r w:rsidR="00437866" w:rsidRPr="00437866">
        <w:t xml:space="preserve"> (Renewal).  The burden to the “Federal Government” is attributed entirely to work performed by </w:t>
      </w:r>
      <w:r w:rsidR="00F04393">
        <w:t>either F</w:t>
      </w:r>
      <w:r w:rsidR="00437866" w:rsidRPr="00437866">
        <w:t>ederal employees or government contractors and may be found</w:t>
      </w:r>
      <w:r w:rsidR="00F04393">
        <w:t xml:space="preserve"> below</w:t>
      </w:r>
      <w:r w:rsidR="00437866" w:rsidRPr="00437866">
        <w:t xml:space="preserve"> in Table 2: Average Annual EPA Burden and Cost – NESHAP for Hydrochloric Acid Production (40 CFR</w:t>
      </w:r>
      <w:r w:rsidR="00707AEF">
        <w:t xml:space="preserve"> Part 63, Subpart NNNNN) </w:t>
      </w:r>
      <w:r w:rsidR="00437866" w:rsidRPr="00437866">
        <w:t xml:space="preserve">(Renewal). </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Pr="0038797C" w:rsidRDefault="00CA4CD6">
      <w:pPr>
        <w:pBdr>
          <w:top w:val="single" w:sz="6" w:space="0" w:color="FFFFFF"/>
          <w:left w:val="single" w:sz="6" w:space="0" w:color="FFFFFF"/>
          <w:bottom w:val="single" w:sz="6" w:space="0" w:color="FFFFFF"/>
          <w:right w:val="single" w:sz="6" w:space="0" w:color="FFFFFF"/>
        </w:pBdr>
      </w:pPr>
    </w:p>
    <w:p w:rsidR="00CA4CD6" w:rsidRPr="0038797C" w:rsidRDefault="00437866">
      <w:pPr>
        <w:pBdr>
          <w:top w:val="single" w:sz="6" w:space="0" w:color="FFFFFF"/>
          <w:left w:val="single" w:sz="6" w:space="0" w:color="FFFFFF"/>
          <w:bottom w:val="single" w:sz="6" w:space="0" w:color="FFFFFF"/>
          <w:right w:val="single" w:sz="6" w:space="0" w:color="FFFFFF"/>
        </w:pBdr>
        <w:ind w:firstLine="720"/>
      </w:pPr>
      <w:r w:rsidRPr="00437866">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38797C" w:rsidRDefault="00CA4CD6">
      <w:pPr>
        <w:pBdr>
          <w:top w:val="single" w:sz="6" w:space="0" w:color="FFFFFF"/>
          <w:left w:val="single" w:sz="6" w:space="0" w:color="FFFFFF"/>
          <w:bottom w:val="single" w:sz="6" w:space="0" w:color="FFFFFF"/>
          <w:right w:val="single" w:sz="6" w:space="0" w:color="FFFFFF"/>
        </w:pBdr>
      </w:pPr>
    </w:p>
    <w:p w:rsidR="00CA4CD6" w:rsidRPr="0038797C" w:rsidRDefault="00437866">
      <w:pPr>
        <w:pBdr>
          <w:top w:val="single" w:sz="6" w:space="0" w:color="FFFFFF"/>
          <w:left w:val="single" w:sz="6" w:space="0" w:color="FFFFFF"/>
          <w:bottom w:val="single" w:sz="6" w:space="0" w:color="FFFFFF"/>
          <w:right w:val="single" w:sz="6" w:space="0" w:color="FFFFFF"/>
        </w:pBdr>
        <w:ind w:left="1440" w:right="1440"/>
      </w:pPr>
      <w:r w:rsidRPr="0043786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38797C" w:rsidRDefault="00CA4CD6">
      <w:pPr>
        <w:pBdr>
          <w:top w:val="single" w:sz="6" w:space="0" w:color="FFFFFF"/>
          <w:left w:val="single" w:sz="6" w:space="0" w:color="FFFFFF"/>
          <w:bottom w:val="single" w:sz="6" w:space="0" w:color="FFFFFF"/>
          <w:right w:val="single" w:sz="6" w:space="0" w:color="FFFFFF"/>
        </w:pBdr>
      </w:pPr>
    </w:p>
    <w:p w:rsidR="00CA4CD6" w:rsidRPr="0038797C" w:rsidRDefault="00437866">
      <w:pPr>
        <w:pBdr>
          <w:top w:val="single" w:sz="6" w:space="0" w:color="FFFFFF"/>
          <w:left w:val="single" w:sz="6" w:space="0" w:color="FFFFFF"/>
          <w:bottom w:val="single" w:sz="6" w:space="0" w:color="FFFFFF"/>
          <w:right w:val="single" w:sz="6" w:space="0" w:color="FFFFFF"/>
        </w:pBdr>
        <w:ind w:firstLine="720"/>
      </w:pPr>
      <w:r w:rsidRPr="00437866">
        <w:t xml:space="preserve">In the Administrator's judgment, </w:t>
      </w:r>
      <w:r w:rsidR="00440C25">
        <w:t>hazardous air pollutant (</w:t>
      </w:r>
      <w:r w:rsidRPr="00437866">
        <w:t>HAP</w:t>
      </w:r>
      <w:r w:rsidR="00440C25">
        <w:t>)</w:t>
      </w:r>
      <w:r w:rsidRPr="00437866">
        <w:t xml:space="preserve"> emissions from hydrochloric acid production facilities </w:t>
      </w:r>
      <w:r w:rsidR="00F04393">
        <w:t xml:space="preserve">either </w:t>
      </w:r>
      <w:r w:rsidRPr="00437866">
        <w:t xml:space="preserve">cause or contribute to air pollution that may reasonably be anticipated to endanger </w:t>
      </w:r>
      <w:r w:rsidR="00F04393">
        <w:t xml:space="preserve">either </w:t>
      </w:r>
      <w:r w:rsidRPr="00437866">
        <w:t xml:space="preserve">public health or welfare.  Therefore, the </w:t>
      </w:r>
      <w:r w:rsidR="00F04393">
        <w:t xml:space="preserve">     </w:t>
      </w:r>
      <w:r w:rsidRPr="00437866">
        <w:t>NESHAP was promulgated for this source category at 40 CFR part 63,</w:t>
      </w:r>
      <w:r w:rsidRPr="00437866">
        <w:rPr>
          <w:b/>
          <w:bCs/>
          <w:i/>
          <w:iCs/>
        </w:rPr>
        <w:t xml:space="preserve"> </w:t>
      </w:r>
      <w:r w:rsidRPr="00437866">
        <w:t>subpart NNNNN.</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w:t>
      </w:r>
      <w:r w:rsidR="000F0BCF">
        <w:rPr>
          <w:color w:val="000000"/>
        </w:rPr>
        <w:t xml:space="preserve">        </w:t>
      </w:r>
      <w:r>
        <w:rPr>
          <w:color w:val="000000"/>
        </w:rPr>
        <w:t>with the applicable regulations which where promulgated in accordance with t</w:t>
      </w:r>
      <w:r w:rsidR="00087709">
        <w:rPr>
          <w:color w:val="000000"/>
        </w:rPr>
        <w:t xml:space="preserve">he Clean Air </w:t>
      </w:r>
      <w:r w:rsidR="000F0BCF">
        <w:rPr>
          <w:color w:val="000000"/>
        </w:rPr>
        <w:t xml:space="preserve">   </w:t>
      </w:r>
      <w:r w:rsidR="00087709">
        <w:rPr>
          <w:color w:val="000000"/>
        </w:rPr>
        <w:t xml:space="preserve">Act.  </w:t>
      </w:r>
      <w:r>
        <w:rPr>
          <w:color w:val="000000"/>
        </w:rPr>
        <w:t>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774CC" w:rsidRDefault="00CA4CD6" w:rsidP="00044334">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440C25">
        <w:rPr>
          <w:color w:val="000000"/>
        </w:rPr>
        <w:t>’</w:t>
      </w:r>
      <w:r>
        <w:rPr>
          <w:color w:val="000000"/>
        </w:rPr>
        <w:t xml:space="preserve">s initial capability to comply with the emission standard. Continuous emission monitors are used to ensure compliance with the standard at all times. </w:t>
      </w:r>
      <w:r w:rsidR="00437866" w:rsidRPr="00437866">
        <w:t xml:space="preserve">During the performance test a record of the </w:t>
      </w:r>
      <w:r w:rsidR="00437866" w:rsidRPr="00437866">
        <w:lastRenderedPageBreak/>
        <w:t xml:space="preserve">operating parameters under which compliance was achieved may be recorded and used to determine compliance in place of a continuous emission monitor.  </w:t>
      </w:r>
    </w:p>
    <w:p w:rsidR="00F04393" w:rsidRDefault="00F04393">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the </w:t>
      </w:r>
      <w:r w:rsidR="00437866" w:rsidRPr="00437866">
        <w:t>pollution control devices are properly installed and operated, leaks are being detected and repaired,</w:t>
      </w:r>
      <w:r w:rsidR="000774CC">
        <w:rPr>
          <w:color w:val="000000"/>
        </w:rPr>
        <w:t xml:space="preserve"> </w:t>
      </w:r>
      <w:r>
        <w:rPr>
          <w:color w:val="000000"/>
        </w:rPr>
        <w:t xml:space="preserve">and the standard </w:t>
      </w:r>
      <w:r w:rsidR="00440C25">
        <w:rPr>
          <w:color w:val="000000"/>
        </w:rPr>
        <w:t xml:space="preserve">is </w:t>
      </w:r>
      <w:r>
        <w:rPr>
          <w:color w:val="000000"/>
        </w:rPr>
        <w:t xml:space="preserve">being met.  </w:t>
      </w:r>
      <w:r w:rsidR="00F04393">
        <w:rPr>
          <w:color w:val="000000"/>
        </w:rPr>
        <w:t xml:space="preserve">  </w:t>
      </w:r>
      <w:r>
        <w:rPr>
          <w:color w:val="000000"/>
        </w:rPr>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w:t>
      </w:r>
      <w:r w:rsidR="00437866" w:rsidRPr="00437866">
        <w:t>d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F04393">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670493">
        <w:rPr>
          <w:color w:val="000000"/>
        </w:rPr>
        <w:t xml:space="preserve"> NNNNN</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F04393">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w:t>
      </w:r>
      <w:r w:rsidR="00F04393">
        <w:rPr>
          <w:color w:val="000000"/>
        </w:rPr>
        <w:t xml:space="preserve"> </w:t>
      </w:r>
      <w:r>
        <w:rPr>
          <w:color w:val="000000"/>
        </w:rPr>
        <w:t>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B081C" w:rsidRDefault="00CA4CD6" w:rsidP="00DB081C">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DB081C">
        <w:rPr>
          <w:color w:val="000000"/>
        </w:rPr>
        <w:t>(</w:t>
      </w:r>
      <w:r w:rsidR="00DB081C" w:rsidRPr="00852588">
        <w:t xml:space="preserve">76 </w:t>
      </w:r>
      <w:r w:rsidR="00DB081C" w:rsidRPr="00852588">
        <w:rPr>
          <w:u w:val="single"/>
        </w:rPr>
        <w:t>FR</w:t>
      </w:r>
      <w:r w:rsidR="00DB081C" w:rsidRPr="00852588">
        <w:t xml:space="preserve"> 26900)</w:t>
      </w:r>
      <w:r w:rsidR="00DB081C">
        <w:rPr>
          <w:color w:val="000000"/>
        </w:rPr>
        <w:t xml:space="preserve"> on </w:t>
      </w:r>
      <w:r w:rsidR="00DB081C" w:rsidRPr="00852588">
        <w:t>May 9, 2011.</w:t>
      </w:r>
      <w:r>
        <w:rPr>
          <w:color w:val="FF0000"/>
        </w:rPr>
        <w:t xml:space="preserve"> </w:t>
      </w:r>
      <w:r w:rsidR="00F04393">
        <w:rPr>
          <w:color w:val="FF0000"/>
        </w:rPr>
        <w:t xml:space="preserve"> </w:t>
      </w:r>
      <w:r w:rsidR="00DB081C" w:rsidRPr="00852588">
        <w:t xml:space="preserve">No comments were received on the burden published in the </w:t>
      </w:r>
      <w:r w:rsidR="00DB081C" w:rsidRPr="00852588">
        <w:rPr>
          <w:u w:val="single"/>
        </w:rPr>
        <w:t>Federal Register</w:t>
      </w:r>
      <w:r w:rsidR="00DB081C" w:rsidRPr="00852588">
        <w:t>.</w:t>
      </w:r>
    </w:p>
    <w:p w:rsidR="00CA4CD6" w:rsidRDefault="00CA4CD6" w:rsidP="00DB081C">
      <w:pPr>
        <w:pBdr>
          <w:top w:val="single" w:sz="6" w:space="0" w:color="FFFFFF"/>
          <w:left w:val="single" w:sz="6" w:space="0" w:color="FFFFFF"/>
          <w:bottom w:val="single" w:sz="6" w:space="0" w:color="FFFFFF"/>
          <w:right w:val="single" w:sz="6" w:space="0" w:color="FFFFFF"/>
        </w:pBdr>
        <w:ind w:firstLine="720"/>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D1446B" w:rsidRDefault="00D1446B" w:rsidP="00D1446B">
      <w:pPr>
        <w:widowControl/>
        <w:ind w:firstLine="720"/>
      </w:pPr>
      <w:r w:rsidRPr="004938ED">
        <w:t>The Agency has consulted i</w:t>
      </w:r>
      <w:r w:rsidRPr="004938ED">
        <w:rPr>
          <w:bCs/>
        </w:rPr>
        <w:t>ndustry experts and internal data sources to project the number of affected facilities and industry growth over the next three years.</w:t>
      </w:r>
      <w:r w:rsidRPr="004938ED">
        <w:rPr>
          <w:b/>
          <w:bCs/>
        </w:rPr>
        <w:t xml:space="preserve">  </w:t>
      </w:r>
      <w:r w:rsidRPr="004938ED">
        <w:t>The primary source of information as reported by industry, in compliance with the recordkeeping and reporting provisions in the standard, is the Online Tracking Information System</w:t>
      </w:r>
      <w:r>
        <w:t xml:space="preserve"> (OTIS</w:t>
      </w:r>
      <w:r w:rsidRPr="004938ED">
        <w:t xml:space="preserve">) which is operated and maintained by EPA's Office of Compliance.  OTIS is EPA’s database for the collection, maintenance, and retrieval of all compliance data.  The growth rate for the industry is based on our consultations with the Agency’s internal industry experts. </w:t>
      </w:r>
    </w:p>
    <w:p w:rsidR="00D1446B" w:rsidRPr="001C3767" w:rsidRDefault="00D1446B" w:rsidP="00440C25"/>
    <w:p w:rsidR="00D1446B" w:rsidRPr="00044334" w:rsidRDefault="00D1446B" w:rsidP="00044334">
      <w:pPr>
        <w:pStyle w:val="NormalWeb"/>
        <w:spacing w:before="0" w:after="0"/>
        <w:ind w:firstLine="720"/>
        <w:rPr>
          <w:color w:val="FF0000"/>
        </w:rPr>
      </w:pPr>
      <w:r w:rsidRPr="004938ED">
        <w:t xml:space="preserve">Industry trade associations and other interested parties were provided an opportunity to comment on the burden associated with the standard as it was being developed and the standard </w:t>
      </w:r>
      <w:r w:rsidRPr="004938ED">
        <w:lastRenderedPageBreak/>
        <w:t>has been previously reviewed to determine the minimum information needed for compliance purposes.</w:t>
      </w:r>
      <w:r>
        <w:t xml:space="preserve">  In developing this ICR</w:t>
      </w:r>
      <w:r w:rsidR="006E65CC">
        <w:t xml:space="preserve">, </w:t>
      </w:r>
      <w:r w:rsidR="006E65CC">
        <w:rPr>
          <w:bCs/>
        </w:rPr>
        <w:t>we contacted</w:t>
      </w:r>
      <w:r w:rsidR="00206FA6">
        <w:rPr>
          <w:bCs/>
        </w:rPr>
        <w:t xml:space="preserve">: 1) </w:t>
      </w:r>
      <w:r w:rsidR="006E65CC">
        <w:rPr>
          <w:bCs/>
        </w:rPr>
        <w:t xml:space="preserve">the </w:t>
      </w:r>
      <w:r w:rsidR="00437866" w:rsidRPr="00437866">
        <w:rPr>
          <w:bCs/>
        </w:rPr>
        <w:t>Chlorine Chemistry Council</w:t>
      </w:r>
      <w:r w:rsidR="00206FA6">
        <w:rPr>
          <w:bCs/>
        </w:rPr>
        <w:t>,</w:t>
      </w:r>
      <w:r w:rsidR="006E65CC">
        <w:rPr>
          <w:bCs/>
        </w:rPr>
        <w:t xml:space="preserve"> at (202) </w:t>
      </w:r>
      <w:r w:rsidR="00437866" w:rsidRPr="00437866">
        <w:rPr>
          <w:bCs/>
        </w:rPr>
        <w:t>249-7000</w:t>
      </w:r>
      <w:r w:rsidR="00206FA6">
        <w:rPr>
          <w:bCs/>
        </w:rPr>
        <w:t>;</w:t>
      </w:r>
      <w:r w:rsidR="006E65CC">
        <w:rPr>
          <w:bCs/>
        </w:rPr>
        <w:t xml:space="preserve"> and </w:t>
      </w:r>
      <w:r w:rsidR="00206FA6">
        <w:rPr>
          <w:bCs/>
        </w:rPr>
        <w:t xml:space="preserve">2) </w:t>
      </w:r>
      <w:r w:rsidR="00772BDB">
        <w:rPr>
          <w:bCs/>
        </w:rPr>
        <w:t>DuPont</w:t>
      </w:r>
      <w:r w:rsidR="00206FA6">
        <w:rPr>
          <w:bCs/>
        </w:rPr>
        <w:t>,</w:t>
      </w:r>
      <w:r w:rsidR="006E65CC">
        <w:rPr>
          <w:bCs/>
        </w:rPr>
        <w:t xml:space="preserve"> at </w:t>
      </w:r>
      <w:r w:rsidR="00437866" w:rsidRPr="00437866">
        <w:rPr>
          <w:bCs/>
        </w:rPr>
        <w:t>(</w:t>
      </w:r>
      <w:r w:rsidR="00772BDB">
        <w:rPr>
          <w:bCs/>
        </w:rPr>
        <w:t>800</w:t>
      </w:r>
      <w:r w:rsidR="006E65CC">
        <w:rPr>
          <w:bCs/>
        </w:rPr>
        <w:t xml:space="preserve">) </w:t>
      </w:r>
      <w:r w:rsidR="00772BDB">
        <w:rPr>
          <w:bCs/>
        </w:rPr>
        <w:t>441</w:t>
      </w:r>
      <w:r w:rsidR="006E65CC">
        <w:rPr>
          <w:bCs/>
        </w:rPr>
        <w:t>-</w:t>
      </w:r>
      <w:r w:rsidR="00772BDB">
        <w:rPr>
          <w:bCs/>
        </w:rPr>
        <w:t>7515</w:t>
      </w:r>
      <w:r w:rsidR="006E65CC">
        <w:rPr>
          <w:bCs/>
        </w:rPr>
        <w:t>.</w:t>
      </w:r>
      <w:r w:rsidR="00437866" w:rsidRPr="00437866">
        <w:rPr>
          <w:bCs/>
          <w:color w:val="FF0000"/>
        </w:rPr>
        <w:t xml:space="preserve">  </w:t>
      </w:r>
    </w:p>
    <w:p w:rsidR="00206FA6" w:rsidRDefault="00206FA6" w:rsidP="00440C25">
      <w:pPr>
        <w:pBdr>
          <w:top w:val="single" w:sz="6" w:space="0" w:color="FFFFFF"/>
          <w:left w:val="single" w:sz="6" w:space="0" w:color="FFFFFF"/>
          <w:bottom w:val="single" w:sz="6" w:space="0" w:color="FFFFFF"/>
          <w:right w:val="single" w:sz="6" w:space="0" w:color="FFFFFF"/>
        </w:pBdr>
        <w:ind w:firstLine="720"/>
        <w:rPr>
          <w:bCs/>
        </w:rPr>
      </w:pPr>
    </w:p>
    <w:p w:rsidR="0098627A" w:rsidRDefault="00D1446B" w:rsidP="00440C25">
      <w:pPr>
        <w:pBdr>
          <w:top w:val="single" w:sz="6" w:space="0" w:color="FFFFFF"/>
          <w:left w:val="single" w:sz="6" w:space="0" w:color="FFFFFF"/>
          <w:bottom w:val="single" w:sz="6" w:space="0" w:color="FFFFFF"/>
          <w:right w:val="single" w:sz="6" w:space="0" w:color="FFFFFF"/>
        </w:pBdr>
        <w:ind w:firstLine="720"/>
        <w:rPr>
          <w:bCs/>
        </w:rPr>
      </w:pPr>
      <w:r w:rsidRPr="004938ED">
        <w:rPr>
          <w:bCs/>
        </w:rPr>
        <w:t xml:space="preserve">It is our policy to respond after a thorough review of comments received since the </w:t>
      </w:r>
      <w:r w:rsidR="00426898">
        <w:rPr>
          <w:bCs/>
        </w:rPr>
        <w:t xml:space="preserve">       </w:t>
      </w:r>
      <w:r w:rsidRPr="004938ED">
        <w:rPr>
          <w:bCs/>
        </w:rPr>
        <w:t xml:space="preserve">last ICR renewal as well as those submitted in response to the first </w:t>
      </w:r>
      <w:r w:rsidRPr="004938ED">
        <w:rPr>
          <w:bCs/>
          <w:u w:val="single"/>
        </w:rPr>
        <w:t>Federal Register</w:t>
      </w:r>
      <w:r w:rsidRPr="004938ED">
        <w:rPr>
          <w:bCs/>
        </w:rPr>
        <w:t xml:space="preserve"> notice.</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B97866"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hese reporting or recordk</w:t>
      </w:r>
      <w:r w:rsidR="00437866" w:rsidRPr="00437866">
        <w:t>eeping requirements do not violate any of the regulations promulgated by OMB under 5 CFR part 1320, section 1320.5.</w:t>
      </w:r>
    </w:p>
    <w:p w:rsidR="00CA4CD6" w:rsidRPr="00B97866" w:rsidRDefault="00CA4CD6">
      <w:pPr>
        <w:pBdr>
          <w:top w:val="single" w:sz="6" w:space="0" w:color="FFFFFF"/>
          <w:left w:val="single" w:sz="6" w:space="0" w:color="FFFFFF"/>
          <w:bottom w:val="single" w:sz="6" w:space="0" w:color="FFFFFF"/>
          <w:right w:val="single" w:sz="6" w:space="0" w:color="FFFFFF"/>
        </w:pBdr>
      </w:pPr>
    </w:p>
    <w:p w:rsidR="0098627A" w:rsidRDefault="00437866">
      <w:pPr>
        <w:pBdr>
          <w:top w:val="single" w:sz="6" w:space="0" w:color="FFFFFF"/>
          <w:left w:val="single" w:sz="6" w:space="0" w:color="FFFFFF"/>
          <w:bottom w:val="single" w:sz="6" w:space="0" w:color="FFFFFF"/>
          <w:right w:val="single" w:sz="6" w:space="0" w:color="FFFFFF"/>
        </w:pBdr>
        <w:ind w:firstLine="720"/>
      </w:pPr>
      <w:r w:rsidRPr="00437866">
        <w:t>These standards require the respondents to maintain all records, including reports and notifications for at least five years.  This is consistent with the General Provisions as applied to the standards.  EPA believes that the five</w:t>
      </w:r>
      <w:r w:rsidR="00426898">
        <w:t>-</w:t>
      </w:r>
      <w:r w:rsidRPr="00437866">
        <w:t>year records retention requirement is consistent the Part 70 permit program and the five</w:t>
      </w:r>
      <w:r w:rsidR="00426898">
        <w:t>-</w:t>
      </w:r>
      <w:r w:rsidRPr="00437866">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426898">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26898" w:rsidRDefault="00426898">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lastRenderedPageBreak/>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440C25">
        <w:rPr>
          <w:color w:val="000000"/>
        </w:rPr>
        <w:t>hydrochloric acid production facilities</w:t>
      </w:r>
      <w:r>
        <w:rPr>
          <w:color w:val="000000"/>
        </w:rPr>
        <w:t xml:space="preserve">.  The </w:t>
      </w:r>
      <w:r w:rsidR="00440C25">
        <w:rPr>
          <w:color w:val="000000"/>
        </w:rPr>
        <w:t>United States Standard Industrial Classification (</w:t>
      </w:r>
      <w:r>
        <w:rPr>
          <w:color w:val="000000"/>
        </w:rPr>
        <w:t>SIC</w:t>
      </w:r>
      <w:r w:rsidR="00440C25">
        <w:rPr>
          <w:color w:val="000000"/>
        </w:rPr>
        <w:t>)</w:t>
      </w:r>
      <w:r>
        <w:rPr>
          <w:color w:val="000000"/>
        </w:rPr>
        <w:t xml:space="preserve"> code for the respondents affected by the standards</w:t>
      </w:r>
      <w:r w:rsidR="00440C25">
        <w:rPr>
          <w:color w:val="000000"/>
        </w:rPr>
        <w:t>, and the corresponding</w:t>
      </w:r>
      <w:r>
        <w:rPr>
          <w:color w:val="000000"/>
        </w:rPr>
        <w:t xml:space="preserve"> North American Industry Classification System</w:t>
      </w:r>
      <w:r w:rsidR="00440C25">
        <w:rPr>
          <w:color w:val="000000"/>
        </w:rPr>
        <w:t xml:space="preserve"> (NAICS</w:t>
      </w:r>
      <w:r>
        <w:rPr>
          <w:color w:val="000000"/>
        </w:rPr>
        <w:t xml:space="preserve">) </w:t>
      </w:r>
      <w:r w:rsidR="00440C25">
        <w:rPr>
          <w:color w:val="000000"/>
        </w:rPr>
        <w:t xml:space="preserve">codes are listed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tblPr>
      <w:tblGrid>
        <w:gridCol w:w="6750"/>
        <w:gridCol w:w="1260"/>
        <w:gridCol w:w="1350"/>
      </w:tblGrid>
      <w:tr w:rsidR="00CA4CD6" w:rsidTr="00FE5BAB">
        <w:tc>
          <w:tcPr>
            <w:tcW w:w="6750" w:type="dxa"/>
          </w:tcPr>
          <w:p w:rsidR="00CA4CD6" w:rsidRDefault="00CA4CD6">
            <w:pPr>
              <w:spacing w:line="120" w:lineRule="exact"/>
              <w:rPr>
                <w:color w:val="000000"/>
              </w:rPr>
            </w:pPr>
          </w:p>
          <w:p w:rsidR="00CA4CD6" w:rsidRDefault="00CA4CD6" w:rsidP="00440C25">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w:t>
            </w:r>
            <w:r w:rsidR="004C701D">
              <w:rPr>
                <w:b/>
                <w:bCs/>
                <w:color w:val="000000"/>
              </w:rPr>
              <w:t xml:space="preserve"> </w:t>
            </w:r>
            <w:r w:rsidR="007C3D8A">
              <w:rPr>
                <w:b/>
                <w:bCs/>
              </w:rPr>
              <w:t xml:space="preserve">(40 CFR </w:t>
            </w:r>
            <w:r w:rsidR="00440C25">
              <w:rPr>
                <w:b/>
                <w:bCs/>
              </w:rPr>
              <w:t>P</w:t>
            </w:r>
            <w:r w:rsidR="007C3D8A">
              <w:rPr>
                <w:b/>
                <w:bCs/>
              </w:rPr>
              <w:t xml:space="preserve">art 63, </w:t>
            </w:r>
            <w:r w:rsidR="00440C25">
              <w:rPr>
                <w:b/>
                <w:bCs/>
              </w:rPr>
              <w:t xml:space="preserve">Subpart </w:t>
            </w:r>
            <w:r w:rsidR="007C3D8A">
              <w:rPr>
                <w:b/>
                <w:bCs/>
              </w:rPr>
              <w:t>NNNNN)</w:t>
            </w:r>
          </w:p>
        </w:tc>
        <w:tc>
          <w:tcPr>
            <w:tcW w:w="1260" w:type="dxa"/>
          </w:tcPr>
          <w:p w:rsidR="00CA4CD6" w:rsidRDefault="00CA4CD6">
            <w:pPr>
              <w:spacing w:line="120" w:lineRule="exact"/>
              <w:rPr>
                <w:b/>
                <w:bCs/>
                <w:color w:val="000000"/>
              </w:rPr>
            </w:pPr>
          </w:p>
          <w:p w:rsidR="00CA4CD6" w:rsidRDefault="00CA4CD6" w:rsidP="00440C25">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350" w:type="dxa"/>
          </w:tcPr>
          <w:p w:rsidR="00CA4CD6" w:rsidRDefault="00CA4CD6">
            <w:pPr>
              <w:spacing w:line="120" w:lineRule="exact"/>
              <w:rPr>
                <w:b/>
                <w:bCs/>
                <w:color w:val="000000"/>
              </w:rPr>
            </w:pPr>
          </w:p>
          <w:p w:rsidR="00CA4CD6" w:rsidRDefault="00CA4CD6" w:rsidP="00440C25">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C907B1" w:rsidTr="00FE5BAB">
        <w:tc>
          <w:tcPr>
            <w:tcW w:w="6750" w:type="dxa"/>
            <w:vAlign w:val="center"/>
          </w:tcPr>
          <w:p w:rsidR="00C907B1" w:rsidRDefault="00C907B1" w:rsidP="004C701D">
            <w:pPr>
              <w:pBdr>
                <w:top w:val="single" w:sz="6" w:space="0" w:color="FFFFFF"/>
                <w:left w:val="single" w:sz="6" w:space="0" w:color="FFFFFF"/>
                <w:bottom w:val="single" w:sz="6" w:space="0" w:color="FFFFFF"/>
                <w:right w:val="single" w:sz="6" w:space="0" w:color="FFFFFF"/>
              </w:pBdr>
              <w:spacing w:after="54"/>
              <w:rPr>
                <w:color w:val="000000"/>
              </w:rPr>
            </w:pPr>
            <w:r>
              <w:t>Industrial Inorganic Chemicals, Nonvulcanizable Elastomer Compounds (NEC) (except activated carbon and charcoal, alumina, recovering sulfur from natural gas, and inorganic dyes).</w:t>
            </w:r>
          </w:p>
        </w:tc>
        <w:tc>
          <w:tcPr>
            <w:tcW w:w="1260" w:type="dxa"/>
            <w:vAlign w:val="center"/>
          </w:tcPr>
          <w:p w:rsidR="00C907B1" w:rsidRDefault="00C907B1" w:rsidP="00440C25">
            <w:pPr>
              <w:pBdr>
                <w:top w:val="single" w:sz="6" w:space="0" w:color="FFFFFF"/>
                <w:left w:val="single" w:sz="6" w:space="0" w:color="FFFFFF"/>
                <w:bottom w:val="single" w:sz="6" w:space="0" w:color="FFFFFF"/>
                <w:right w:val="single" w:sz="6" w:space="0" w:color="FFFFFF"/>
              </w:pBdr>
              <w:spacing w:after="54"/>
              <w:jc w:val="center"/>
              <w:rPr>
                <w:color w:val="000000"/>
              </w:rPr>
            </w:pPr>
            <w:r>
              <w:t>2819</w:t>
            </w:r>
          </w:p>
        </w:tc>
        <w:tc>
          <w:tcPr>
            <w:tcW w:w="1350" w:type="dxa"/>
            <w:vAlign w:val="center"/>
          </w:tcPr>
          <w:p w:rsidR="00C907B1" w:rsidRDefault="00C907B1" w:rsidP="00440C25">
            <w:pPr>
              <w:pBdr>
                <w:top w:val="single" w:sz="6" w:space="0" w:color="FFFFFF"/>
                <w:left w:val="single" w:sz="6" w:space="0" w:color="FFFFFF"/>
                <w:bottom w:val="single" w:sz="6" w:space="0" w:color="FFFFFF"/>
                <w:right w:val="single" w:sz="6" w:space="0" w:color="FFFFFF"/>
              </w:pBdr>
              <w:spacing w:after="54"/>
              <w:jc w:val="center"/>
              <w:rPr>
                <w:color w:val="000000"/>
              </w:rPr>
            </w:pPr>
            <w:r>
              <w:t>325188</w:t>
            </w:r>
          </w:p>
        </w:tc>
      </w:tr>
      <w:tr w:rsidR="00C907B1" w:rsidTr="00FE5BAB">
        <w:tc>
          <w:tcPr>
            <w:tcW w:w="6750" w:type="dxa"/>
            <w:vAlign w:val="center"/>
          </w:tcPr>
          <w:p w:rsidR="00C907B1" w:rsidRDefault="00C907B1">
            <w:pPr>
              <w:pBdr>
                <w:top w:val="single" w:sz="6" w:space="0" w:color="FFFFFF"/>
                <w:left w:val="single" w:sz="6" w:space="0" w:color="FFFFFF"/>
                <w:bottom w:val="single" w:sz="6" w:space="0" w:color="FFFFFF"/>
                <w:right w:val="single" w:sz="6" w:space="0" w:color="FFFFFF"/>
              </w:pBdr>
              <w:spacing w:after="54"/>
              <w:rPr>
                <w:color w:val="000000"/>
              </w:rPr>
            </w:pPr>
            <w:r>
              <w:t xml:space="preserve">Plastics Materials, Synthetic and Resins, and Nonvulcanizable Elastomers </w:t>
            </w:r>
          </w:p>
        </w:tc>
        <w:tc>
          <w:tcPr>
            <w:tcW w:w="1260" w:type="dxa"/>
            <w:vAlign w:val="center"/>
          </w:tcPr>
          <w:p w:rsidR="00C907B1" w:rsidRDefault="00C907B1" w:rsidP="00440C25">
            <w:pPr>
              <w:pBdr>
                <w:top w:val="single" w:sz="6" w:space="0" w:color="FFFFFF"/>
                <w:left w:val="single" w:sz="6" w:space="0" w:color="FFFFFF"/>
                <w:bottom w:val="single" w:sz="6" w:space="0" w:color="FFFFFF"/>
                <w:right w:val="single" w:sz="6" w:space="0" w:color="FFFFFF"/>
              </w:pBdr>
              <w:spacing w:after="54"/>
              <w:jc w:val="center"/>
              <w:rPr>
                <w:color w:val="000000"/>
              </w:rPr>
            </w:pPr>
            <w:r>
              <w:t>2821</w:t>
            </w:r>
          </w:p>
        </w:tc>
        <w:tc>
          <w:tcPr>
            <w:tcW w:w="1350" w:type="dxa"/>
            <w:vAlign w:val="center"/>
          </w:tcPr>
          <w:p w:rsidR="00C907B1" w:rsidRDefault="00C907B1" w:rsidP="00440C25">
            <w:pPr>
              <w:pBdr>
                <w:top w:val="single" w:sz="6" w:space="0" w:color="FFFFFF"/>
                <w:left w:val="single" w:sz="6" w:space="0" w:color="FFFFFF"/>
                <w:bottom w:val="single" w:sz="6" w:space="0" w:color="FFFFFF"/>
                <w:right w:val="single" w:sz="6" w:space="0" w:color="FFFFFF"/>
              </w:pBdr>
              <w:spacing w:after="54"/>
              <w:jc w:val="center"/>
              <w:rPr>
                <w:color w:val="000000"/>
              </w:rPr>
            </w:pPr>
            <w:r>
              <w:t>325211</w:t>
            </w:r>
          </w:p>
        </w:tc>
      </w:tr>
      <w:tr w:rsidR="00C907B1" w:rsidTr="00FE5BAB">
        <w:tc>
          <w:tcPr>
            <w:tcW w:w="6750" w:type="dxa"/>
            <w:vAlign w:val="center"/>
          </w:tcPr>
          <w:p w:rsidR="00C907B1" w:rsidRDefault="00C907B1">
            <w:pPr>
              <w:pBdr>
                <w:top w:val="single" w:sz="6" w:space="0" w:color="FFFFFF"/>
                <w:left w:val="single" w:sz="6" w:space="0" w:color="FFFFFF"/>
                <w:bottom w:val="single" w:sz="6" w:space="0" w:color="FFFFFF"/>
                <w:right w:val="single" w:sz="6" w:space="0" w:color="FFFFFF"/>
              </w:pBdr>
              <w:spacing w:after="54"/>
              <w:rPr>
                <w:color w:val="000000"/>
              </w:rPr>
            </w:pPr>
            <w:r>
              <w:t>Industrial Organic Chemicals, NEC (except aliphatics, carbon bisulfide, ethyl alcohol, cyclopropane, diethylcyclohexane, naphthalene sulfoni).</w:t>
            </w:r>
          </w:p>
        </w:tc>
        <w:tc>
          <w:tcPr>
            <w:tcW w:w="1260" w:type="dxa"/>
            <w:vAlign w:val="center"/>
          </w:tcPr>
          <w:p w:rsidR="00C907B1" w:rsidRDefault="00C907B1" w:rsidP="00440C25">
            <w:pPr>
              <w:pBdr>
                <w:top w:val="single" w:sz="6" w:space="0" w:color="FFFFFF"/>
                <w:left w:val="single" w:sz="6" w:space="0" w:color="FFFFFF"/>
                <w:bottom w:val="single" w:sz="6" w:space="0" w:color="FFFFFF"/>
                <w:right w:val="single" w:sz="6" w:space="0" w:color="FFFFFF"/>
              </w:pBdr>
              <w:spacing w:after="54"/>
              <w:jc w:val="center"/>
              <w:rPr>
                <w:color w:val="000000"/>
              </w:rPr>
            </w:pPr>
            <w:r>
              <w:t>2869</w:t>
            </w:r>
          </w:p>
        </w:tc>
        <w:tc>
          <w:tcPr>
            <w:tcW w:w="1350" w:type="dxa"/>
            <w:vAlign w:val="center"/>
          </w:tcPr>
          <w:p w:rsidR="00C907B1" w:rsidRDefault="00C907B1" w:rsidP="00440C25">
            <w:pPr>
              <w:pBdr>
                <w:top w:val="single" w:sz="6" w:space="0" w:color="FFFFFF"/>
                <w:left w:val="single" w:sz="6" w:space="0" w:color="FFFFFF"/>
                <w:bottom w:val="single" w:sz="6" w:space="0" w:color="FFFFFF"/>
                <w:right w:val="single" w:sz="6" w:space="0" w:color="FFFFFF"/>
              </w:pBdr>
              <w:spacing w:after="54"/>
              <w:jc w:val="center"/>
              <w:rPr>
                <w:color w:val="000000"/>
              </w:rPr>
            </w:pPr>
            <w:r>
              <w:t>325199</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C05779">
        <w:t xml:space="preserve">NESHAP for Hydrochloric Acid Production (40 CFR </w:t>
      </w:r>
      <w:r w:rsidR="00440C25">
        <w:t xml:space="preserve">Part </w:t>
      </w:r>
      <w:r w:rsidR="00C05779">
        <w:t xml:space="preserve">63, </w:t>
      </w:r>
      <w:r w:rsidR="00440C25">
        <w:t xml:space="preserve">Subpart </w:t>
      </w:r>
      <w:r w:rsidR="00C05779">
        <w:t>NNNNN).</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5940"/>
        <w:gridCol w:w="3420"/>
      </w:tblGrid>
      <w:tr w:rsidR="00A73600" w:rsidTr="00C0577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C05779"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Initial notification</w:t>
            </w:r>
          </w:p>
        </w:tc>
        <w:tc>
          <w:tcPr>
            <w:tcW w:w="3420" w:type="dxa"/>
            <w:tcBorders>
              <w:top w:val="single" w:sz="7" w:space="0" w:color="000000"/>
              <w:left w:val="single" w:sz="7" w:space="0" w:color="000000"/>
              <w:bottom w:val="single" w:sz="7" w:space="0" w:color="000000"/>
              <w:right w:val="single" w:sz="7" w:space="0" w:color="000000"/>
            </w:tcBorders>
            <w:vAlign w:val="center"/>
          </w:tcPr>
          <w:p w:rsidR="00C05779" w:rsidRDefault="00C05779" w:rsidP="00686BE2">
            <w:pPr>
              <w:pBdr>
                <w:top w:val="single" w:sz="6" w:space="0" w:color="FFFFFF"/>
                <w:left w:val="single" w:sz="6" w:space="0" w:color="FFFFFF"/>
                <w:bottom w:val="single" w:sz="6" w:space="0" w:color="FFFFFF"/>
                <w:right w:val="single" w:sz="6" w:space="0" w:color="FFFFFF"/>
              </w:pBdr>
              <w:spacing w:after="58"/>
              <w:rPr>
                <w:color w:val="000000"/>
              </w:rPr>
            </w:pPr>
            <w:r>
              <w:t>63.9(b)(2) &amp; (4), 63.9045(b)-(c)</w:t>
            </w:r>
          </w:p>
        </w:tc>
      </w:tr>
      <w:tr w:rsidR="00C05779"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Notification of intent to conduct performance test</w:t>
            </w:r>
          </w:p>
        </w:tc>
        <w:tc>
          <w:tcPr>
            <w:tcW w:w="3420" w:type="dxa"/>
            <w:tcBorders>
              <w:top w:val="single" w:sz="7" w:space="0" w:color="000000"/>
              <w:left w:val="single" w:sz="7" w:space="0" w:color="000000"/>
              <w:bottom w:val="single" w:sz="7" w:space="0" w:color="000000"/>
              <w:right w:val="single" w:sz="7" w:space="0" w:color="000000"/>
            </w:tcBorders>
            <w:vAlign w:val="center"/>
          </w:tcPr>
          <w:p w:rsidR="00C05779" w:rsidRDefault="00C05779" w:rsidP="00686BE2">
            <w:pPr>
              <w:pBdr>
                <w:top w:val="single" w:sz="6" w:space="0" w:color="FFFFFF"/>
                <w:left w:val="single" w:sz="6" w:space="0" w:color="FFFFFF"/>
                <w:bottom w:val="single" w:sz="6" w:space="0" w:color="FFFFFF"/>
                <w:right w:val="single" w:sz="6" w:space="0" w:color="FFFFFF"/>
              </w:pBdr>
              <w:spacing w:after="58"/>
              <w:rPr>
                <w:color w:val="000000"/>
              </w:rPr>
            </w:pPr>
            <w:r>
              <w:t>63.7(b)-(c), 63.8(f)(4) &amp; (6), 63.9(b)-(h), 63.9045(a)</w:t>
            </w:r>
          </w:p>
        </w:tc>
      </w:tr>
      <w:tr w:rsidR="00C05779"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Notification of compliance status</w:t>
            </w:r>
          </w:p>
        </w:tc>
        <w:tc>
          <w:tcPr>
            <w:tcW w:w="3420" w:type="dxa"/>
            <w:tcBorders>
              <w:top w:val="single" w:sz="7" w:space="0" w:color="000000"/>
              <w:left w:val="single" w:sz="7" w:space="0" w:color="000000"/>
              <w:bottom w:val="single" w:sz="7" w:space="0" w:color="000000"/>
              <w:right w:val="single" w:sz="7" w:space="0" w:color="000000"/>
            </w:tcBorders>
            <w:vAlign w:val="center"/>
          </w:tcPr>
          <w:p w:rsidR="00C05779" w:rsidRDefault="00C05779" w:rsidP="00686BE2">
            <w:pPr>
              <w:pBdr>
                <w:top w:val="single" w:sz="6" w:space="0" w:color="FFFFFF"/>
                <w:left w:val="single" w:sz="6" w:space="0" w:color="FFFFFF"/>
                <w:bottom w:val="single" w:sz="6" w:space="0" w:color="FFFFFF"/>
                <w:right w:val="single" w:sz="6" w:space="0" w:color="FFFFFF"/>
              </w:pBdr>
              <w:spacing w:after="58"/>
              <w:rPr>
                <w:color w:val="000000"/>
              </w:rPr>
            </w:pPr>
            <w:r>
              <w:t>63.9(h)(2),  63.9045(e)-(f)</w:t>
            </w:r>
          </w:p>
        </w:tc>
      </w:tr>
      <w:tr w:rsidR="00C05779"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First compliance report</w:t>
            </w:r>
          </w:p>
        </w:tc>
        <w:tc>
          <w:tcPr>
            <w:tcW w:w="3420" w:type="dxa"/>
            <w:tcBorders>
              <w:top w:val="single" w:sz="7" w:space="0" w:color="000000"/>
              <w:left w:val="single" w:sz="7" w:space="0" w:color="000000"/>
              <w:bottom w:val="single" w:sz="7" w:space="0" w:color="000000"/>
              <w:right w:val="single" w:sz="7" w:space="0" w:color="000000"/>
            </w:tcBorders>
            <w:vAlign w:val="center"/>
          </w:tcPr>
          <w:p w:rsidR="00C05779" w:rsidRDefault="00C05779" w:rsidP="00686BE2">
            <w:pPr>
              <w:pBdr>
                <w:top w:val="single" w:sz="6" w:space="0" w:color="FFFFFF"/>
                <w:left w:val="single" w:sz="6" w:space="0" w:color="FFFFFF"/>
                <w:bottom w:val="single" w:sz="6" w:space="0" w:color="FFFFFF"/>
                <w:right w:val="single" w:sz="6" w:space="0" w:color="FFFFFF"/>
              </w:pBdr>
              <w:spacing w:after="58"/>
              <w:rPr>
                <w:color w:val="000000"/>
              </w:rPr>
            </w:pPr>
            <w:r>
              <w:t>63.10(a), 63.9050(b)(2)</w:t>
            </w:r>
          </w:p>
        </w:tc>
      </w:tr>
      <w:tr w:rsidR="00C05779"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Semiannual compliance report</w:t>
            </w:r>
          </w:p>
        </w:tc>
        <w:tc>
          <w:tcPr>
            <w:tcW w:w="3420" w:type="dxa"/>
            <w:tcBorders>
              <w:top w:val="single" w:sz="7" w:space="0" w:color="000000"/>
              <w:left w:val="single" w:sz="7" w:space="0" w:color="000000"/>
              <w:bottom w:val="single" w:sz="7" w:space="0" w:color="000000"/>
              <w:right w:val="single" w:sz="7" w:space="0" w:color="000000"/>
            </w:tcBorders>
            <w:vAlign w:val="center"/>
          </w:tcPr>
          <w:p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63.9050(b)</w:t>
            </w:r>
          </w:p>
        </w:tc>
      </w:tr>
      <w:tr w:rsidR="00C05779"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Annual performance test report</w:t>
            </w:r>
          </w:p>
        </w:tc>
        <w:tc>
          <w:tcPr>
            <w:tcW w:w="3420" w:type="dxa"/>
            <w:tcBorders>
              <w:top w:val="single" w:sz="7" w:space="0" w:color="000000"/>
              <w:left w:val="single" w:sz="7" w:space="0" w:color="000000"/>
              <w:bottom w:val="single" w:sz="7" w:space="0" w:color="000000"/>
              <w:right w:val="single" w:sz="7" w:space="0" w:color="000000"/>
            </w:tcBorders>
            <w:vAlign w:val="center"/>
          </w:tcPr>
          <w:p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63.10(d)(2), 63.9050</w:t>
            </w:r>
          </w:p>
        </w:tc>
      </w:tr>
      <w:tr w:rsidR="00C05779"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Startup, shutdown, malfunction report</w:t>
            </w:r>
          </w:p>
        </w:tc>
        <w:tc>
          <w:tcPr>
            <w:tcW w:w="3420" w:type="dxa"/>
            <w:tcBorders>
              <w:top w:val="single" w:sz="7" w:space="0" w:color="000000"/>
              <w:left w:val="single" w:sz="7" w:space="0" w:color="000000"/>
              <w:bottom w:val="single" w:sz="7" w:space="0" w:color="000000"/>
              <w:right w:val="single" w:sz="7" w:space="0" w:color="000000"/>
            </w:tcBorders>
            <w:vAlign w:val="center"/>
          </w:tcPr>
          <w:p w:rsidR="00C05779" w:rsidRDefault="00C05779" w:rsidP="00686BE2">
            <w:pPr>
              <w:pBdr>
                <w:top w:val="single" w:sz="6" w:space="0" w:color="FFFFFF"/>
                <w:left w:val="single" w:sz="6" w:space="0" w:color="FFFFFF"/>
                <w:bottom w:val="single" w:sz="6" w:space="0" w:color="FFFFFF"/>
                <w:right w:val="single" w:sz="6" w:space="0" w:color="FFFFFF"/>
              </w:pBdr>
              <w:spacing w:after="58"/>
              <w:rPr>
                <w:color w:val="000000"/>
              </w:rPr>
            </w:pPr>
            <w:r>
              <w:t>63.10(d)(5), 63.9050(d)</w:t>
            </w:r>
          </w:p>
        </w:tc>
      </w:tr>
    </w:tbl>
    <w:p w:rsidR="0098627A" w:rsidRDefault="0098627A">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A source must keep the following records:</w:t>
      </w:r>
    </w:p>
    <w:p w:rsidR="00C27C17" w:rsidRDefault="00C27C17">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5940"/>
        <w:gridCol w:w="3420"/>
      </w:tblGrid>
      <w:tr w:rsidR="00A73600" w:rsidTr="00C0577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C05779"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Initial notification or notification of compliance status</w:t>
            </w:r>
          </w:p>
        </w:tc>
        <w:tc>
          <w:tcPr>
            <w:tcW w:w="3420" w:type="dxa"/>
            <w:tcBorders>
              <w:top w:val="single" w:sz="7" w:space="0" w:color="000000"/>
              <w:left w:val="single" w:sz="7" w:space="0" w:color="000000"/>
              <w:bottom w:val="single" w:sz="7" w:space="0" w:color="000000"/>
              <w:right w:val="single" w:sz="7" w:space="0" w:color="000000"/>
            </w:tcBorders>
            <w:vAlign w:val="center"/>
          </w:tcPr>
          <w:p w:rsidR="00C05779" w:rsidRDefault="00C05779" w:rsidP="00686BE2">
            <w:pPr>
              <w:pBdr>
                <w:top w:val="single" w:sz="6" w:space="0" w:color="FFFFFF"/>
                <w:left w:val="single" w:sz="6" w:space="0" w:color="FFFFFF"/>
                <w:bottom w:val="single" w:sz="6" w:space="0" w:color="FFFFFF"/>
                <w:right w:val="single" w:sz="6" w:space="0" w:color="FFFFFF"/>
              </w:pBdr>
              <w:spacing w:after="58"/>
              <w:rPr>
                <w:color w:val="000000"/>
              </w:rPr>
            </w:pPr>
            <w:r>
              <w:t>63.10(b)(2)(xiv), 63.9055(a)</w:t>
            </w:r>
          </w:p>
        </w:tc>
      </w:tr>
      <w:tr w:rsidR="00C05779"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Record of startup, shutdown, and malfunctions</w:t>
            </w:r>
          </w:p>
        </w:tc>
        <w:tc>
          <w:tcPr>
            <w:tcW w:w="3420" w:type="dxa"/>
            <w:tcBorders>
              <w:top w:val="single" w:sz="7" w:space="0" w:color="000000"/>
              <w:left w:val="single" w:sz="7" w:space="0" w:color="000000"/>
              <w:bottom w:val="single" w:sz="7" w:space="0" w:color="000000"/>
              <w:right w:val="single" w:sz="7" w:space="0" w:color="000000"/>
            </w:tcBorders>
            <w:vAlign w:val="center"/>
          </w:tcPr>
          <w:p w:rsidR="00C05779" w:rsidRDefault="00C05779" w:rsidP="00686BE2">
            <w:pPr>
              <w:pBdr>
                <w:top w:val="single" w:sz="6" w:space="0" w:color="FFFFFF"/>
                <w:left w:val="single" w:sz="6" w:space="0" w:color="FFFFFF"/>
                <w:bottom w:val="single" w:sz="6" w:space="0" w:color="FFFFFF"/>
                <w:right w:val="single" w:sz="6" w:space="0" w:color="FFFFFF"/>
              </w:pBdr>
              <w:spacing w:after="58"/>
              <w:rPr>
                <w:color w:val="000000"/>
              </w:rPr>
            </w:pPr>
            <w:r>
              <w:t>63.6(e)(3), 63.9055(b)(1)</w:t>
            </w:r>
          </w:p>
        </w:tc>
      </w:tr>
      <w:tr w:rsidR="00C05779"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 xml:space="preserve">Conduct performance tests </w:t>
            </w:r>
          </w:p>
        </w:tc>
        <w:tc>
          <w:tcPr>
            <w:tcW w:w="3420" w:type="dxa"/>
            <w:tcBorders>
              <w:top w:val="single" w:sz="7" w:space="0" w:color="000000"/>
              <w:left w:val="single" w:sz="7" w:space="0" w:color="000000"/>
              <w:bottom w:val="single" w:sz="7" w:space="0" w:color="000000"/>
              <w:right w:val="single" w:sz="7" w:space="0" w:color="000000"/>
            </w:tcBorders>
            <w:vAlign w:val="center"/>
          </w:tcPr>
          <w:p w:rsidR="00C05779" w:rsidRDefault="00C05779" w:rsidP="00686BE2">
            <w:pPr>
              <w:pBdr>
                <w:top w:val="single" w:sz="6" w:space="0" w:color="FFFFFF"/>
                <w:left w:val="single" w:sz="6" w:space="0" w:color="FFFFFF"/>
                <w:bottom w:val="single" w:sz="6" w:space="0" w:color="FFFFFF"/>
                <w:right w:val="single" w:sz="6" w:space="0" w:color="FFFFFF"/>
              </w:pBdr>
              <w:spacing w:after="58"/>
              <w:rPr>
                <w:color w:val="000000"/>
              </w:rPr>
            </w:pPr>
            <w:r>
              <w:t>63.10(b)(2)(viii), 63.9055(a)(2)</w:t>
            </w:r>
          </w:p>
        </w:tc>
      </w:tr>
      <w:tr w:rsidR="00C05779"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 xml:space="preserve">Record of continuous parameter monitoring systems (CPMS) measurements </w:t>
            </w:r>
          </w:p>
        </w:tc>
        <w:tc>
          <w:tcPr>
            <w:tcW w:w="3420" w:type="dxa"/>
            <w:tcBorders>
              <w:top w:val="single" w:sz="7" w:space="0" w:color="000000"/>
              <w:left w:val="single" w:sz="7" w:space="0" w:color="000000"/>
              <w:bottom w:val="single" w:sz="7" w:space="0" w:color="000000"/>
              <w:right w:val="single" w:sz="7" w:space="0" w:color="000000"/>
            </w:tcBorders>
            <w:vAlign w:val="center"/>
          </w:tcPr>
          <w:p w:rsidR="00C05779" w:rsidRDefault="00C05779" w:rsidP="00686BE2">
            <w:pPr>
              <w:pBdr>
                <w:top w:val="single" w:sz="6" w:space="0" w:color="FFFFFF"/>
                <w:left w:val="single" w:sz="6" w:space="0" w:color="FFFFFF"/>
                <w:bottom w:val="single" w:sz="6" w:space="0" w:color="FFFFFF"/>
                <w:right w:val="single" w:sz="6" w:space="0" w:color="FFFFFF"/>
              </w:pBdr>
              <w:spacing w:after="58"/>
              <w:rPr>
                <w:color w:val="000000"/>
              </w:rPr>
            </w:pPr>
            <w:r>
              <w:t>63.10(b), 63.9055(b)(3)</w:t>
            </w:r>
          </w:p>
        </w:tc>
      </w:tr>
      <w:tr w:rsidR="00C05779"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CMPS calibration and maintenance</w:t>
            </w:r>
          </w:p>
        </w:tc>
        <w:tc>
          <w:tcPr>
            <w:tcW w:w="3420" w:type="dxa"/>
            <w:tcBorders>
              <w:top w:val="single" w:sz="7" w:space="0" w:color="000000"/>
              <w:left w:val="single" w:sz="7" w:space="0" w:color="000000"/>
              <w:bottom w:val="single" w:sz="7" w:space="0" w:color="000000"/>
              <w:right w:val="single" w:sz="7" w:space="0" w:color="000000"/>
            </w:tcBorders>
            <w:vAlign w:val="center"/>
          </w:tcPr>
          <w:p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63.9055(b)</w:t>
            </w:r>
          </w:p>
        </w:tc>
      </w:tr>
      <w:tr w:rsidR="00C05779"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rsidR="00C05779" w:rsidDel="00C05779" w:rsidRDefault="00C05779">
            <w:pPr>
              <w:pBdr>
                <w:top w:val="single" w:sz="6" w:space="0" w:color="FFFFFF"/>
                <w:left w:val="single" w:sz="6" w:space="0" w:color="FFFFFF"/>
                <w:bottom w:val="single" w:sz="6" w:space="0" w:color="FFFFFF"/>
                <w:right w:val="single" w:sz="6" w:space="0" w:color="FFFFFF"/>
              </w:pBdr>
              <w:spacing w:after="58"/>
              <w:rPr>
                <w:color w:val="000000"/>
              </w:rPr>
            </w:pPr>
            <w:r>
              <w:t>Check for and repair leaks</w:t>
            </w:r>
          </w:p>
        </w:tc>
        <w:tc>
          <w:tcPr>
            <w:tcW w:w="3420" w:type="dxa"/>
            <w:tcBorders>
              <w:top w:val="single" w:sz="7" w:space="0" w:color="000000"/>
              <w:left w:val="single" w:sz="7" w:space="0" w:color="000000"/>
              <w:bottom w:val="single" w:sz="7" w:space="0" w:color="000000"/>
              <w:right w:val="single" w:sz="7" w:space="0" w:color="000000"/>
            </w:tcBorders>
            <w:vAlign w:val="center"/>
          </w:tcPr>
          <w:p w:rsidR="00C05779" w:rsidDel="00C05779" w:rsidRDefault="00C05779">
            <w:pPr>
              <w:pBdr>
                <w:top w:val="single" w:sz="6" w:space="0" w:color="FFFFFF"/>
                <w:left w:val="single" w:sz="6" w:space="0" w:color="FFFFFF"/>
                <w:bottom w:val="single" w:sz="6" w:space="0" w:color="FFFFFF"/>
                <w:right w:val="single" w:sz="6" w:space="0" w:color="FFFFFF"/>
              </w:pBdr>
              <w:spacing w:after="58"/>
              <w:rPr>
                <w:color w:val="000000"/>
              </w:rPr>
            </w:pPr>
            <w:r>
              <w:t>63.9055(b)(5)</w:t>
            </w:r>
          </w:p>
        </w:tc>
      </w:tr>
      <w:tr w:rsidR="00C05779"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rsidR="00C05779" w:rsidDel="00C05779" w:rsidRDefault="00C05779">
            <w:pPr>
              <w:pBdr>
                <w:top w:val="single" w:sz="6" w:space="0" w:color="FFFFFF"/>
                <w:left w:val="single" w:sz="6" w:space="0" w:color="FFFFFF"/>
                <w:bottom w:val="single" w:sz="6" w:space="0" w:color="FFFFFF"/>
                <w:right w:val="single" w:sz="6" w:space="0" w:color="FFFFFF"/>
              </w:pBdr>
              <w:spacing w:after="58"/>
              <w:rPr>
                <w:color w:val="000000"/>
              </w:rPr>
            </w:pPr>
            <w:r>
              <w:t>Records are required to be retained for five years</w:t>
            </w:r>
          </w:p>
        </w:tc>
        <w:tc>
          <w:tcPr>
            <w:tcW w:w="3420" w:type="dxa"/>
            <w:tcBorders>
              <w:top w:val="single" w:sz="7" w:space="0" w:color="000000"/>
              <w:left w:val="single" w:sz="7" w:space="0" w:color="000000"/>
              <w:bottom w:val="single" w:sz="7" w:space="0" w:color="000000"/>
              <w:right w:val="single" w:sz="7" w:space="0" w:color="000000"/>
            </w:tcBorders>
            <w:vAlign w:val="center"/>
          </w:tcPr>
          <w:p w:rsidR="00C05779" w:rsidDel="00C05779" w:rsidRDefault="00C05779">
            <w:pPr>
              <w:pBdr>
                <w:top w:val="single" w:sz="6" w:space="0" w:color="FFFFFF"/>
                <w:left w:val="single" w:sz="6" w:space="0" w:color="FFFFFF"/>
                <w:bottom w:val="single" w:sz="6" w:space="0" w:color="FFFFFF"/>
                <w:right w:val="single" w:sz="6" w:space="0" w:color="FFFFFF"/>
              </w:pBdr>
              <w:spacing w:after="58"/>
              <w:rPr>
                <w:color w:val="000000"/>
              </w:rPr>
            </w:pPr>
            <w:r>
              <w:t>63.10(b)(1)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427C6" w:rsidRDefault="00C427C6">
      <w:pPr>
        <w:pBdr>
          <w:top w:val="single" w:sz="6" w:space="0" w:color="FFFFFF"/>
          <w:left w:val="single" w:sz="6" w:space="0" w:color="FFFFFF"/>
          <w:bottom w:val="single" w:sz="6" w:space="0" w:color="FFFFFF"/>
          <w:right w:val="single" w:sz="6" w:space="0" w:color="FFFFFF"/>
        </w:pBdr>
        <w:ind w:firstLine="1440"/>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C65C92">
            <w:pPr>
              <w:keepNext/>
              <w:keepLines/>
              <w:spacing w:line="120" w:lineRule="exact"/>
              <w:rPr>
                <w:color w:val="000000"/>
              </w:rPr>
            </w:pPr>
          </w:p>
          <w:p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C85734">
        <w:trPr>
          <w:trHeight w:val="415"/>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C65C92">
            <w:pPr>
              <w:keepNext/>
              <w:keepLines/>
              <w:spacing w:line="120" w:lineRule="exact"/>
              <w:rPr>
                <w:b/>
                <w:bCs/>
                <w:color w:val="000000"/>
              </w:rPr>
            </w:pPr>
          </w:p>
          <w:p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C65C92">
            <w:pPr>
              <w:keepNext/>
              <w:keepLines/>
              <w:spacing w:line="120" w:lineRule="exact"/>
              <w:rPr>
                <w:color w:val="000000"/>
              </w:rPr>
            </w:pPr>
          </w:p>
          <w:p w:rsidR="00195222" w:rsidRDefault="00CA4CD6" w:rsidP="00C65C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w:t>
            </w:r>
            <w:r w:rsidR="00437866" w:rsidRPr="00437866">
              <w:t>pressure for control device.</w:t>
            </w:r>
            <w:r w:rsidRPr="00B16C07">
              <w:rPr>
                <w:color w:val="FF0000"/>
              </w:rPr>
              <w:t xml:space="preserve">  </w:t>
            </w:r>
          </w:p>
        </w:tc>
      </w:tr>
      <w:tr w:rsidR="00CA4CD6" w:rsidTr="00C85734">
        <w:trPr>
          <w:trHeight w:val="397"/>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C65C92">
            <w:pPr>
              <w:keepNext/>
              <w:keepLines/>
              <w:spacing w:line="120" w:lineRule="exact"/>
              <w:rPr>
                <w:color w:val="000000"/>
              </w:rPr>
            </w:pPr>
          </w:p>
          <w:p w:rsidR="00195222" w:rsidRDefault="00CA4CD6" w:rsidP="00C65C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CA4CD6" w:rsidTr="00C85734">
        <w:trPr>
          <w:trHeight w:val="433"/>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C65C92">
            <w:pPr>
              <w:keepNext/>
              <w:keepLines/>
              <w:spacing w:line="120" w:lineRule="exact"/>
              <w:rPr>
                <w:color w:val="000000"/>
              </w:rPr>
            </w:pPr>
          </w:p>
          <w:p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C65C92">
            <w:pPr>
              <w:keepNext/>
              <w:keepLines/>
              <w:spacing w:line="120" w:lineRule="exact"/>
              <w:rPr>
                <w:color w:val="000000"/>
              </w:rPr>
            </w:pPr>
          </w:p>
          <w:p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C65C92">
            <w:pPr>
              <w:keepNext/>
              <w:keepLines/>
              <w:spacing w:line="120" w:lineRule="exact"/>
              <w:rPr>
                <w:color w:val="000000"/>
              </w:rPr>
            </w:pPr>
          </w:p>
          <w:p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rsidTr="00044334">
        <w:trPr>
          <w:trHeight w:val="640"/>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C65C92">
            <w:pPr>
              <w:keepNext/>
              <w:keepLines/>
              <w:spacing w:line="120" w:lineRule="exact"/>
              <w:rPr>
                <w:color w:val="000000"/>
              </w:rPr>
            </w:pPr>
          </w:p>
          <w:p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C65C92">
            <w:pPr>
              <w:keepNext/>
              <w:keepLines/>
              <w:spacing w:line="120" w:lineRule="exact"/>
              <w:rPr>
                <w:color w:val="000000"/>
              </w:rPr>
            </w:pPr>
          </w:p>
          <w:p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C65C92">
            <w:pPr>
              <w:keepNext/>
              <w:keepLines/>
              <w:spacing w:line="120" w:lineRule="exact"/>
              <w:rPr>
                <w:color w:val="000000"/>
              </w:rPr>
            </w:pPr>
          </w:p>
          <w:p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C65C92">
            <w:pPr>
              <w:keepNext/>
              <w:keepLines/>
              <w:spacing w:line="120" w:lineRule="exact"/>
              <w:rPr>
                <w:color w:val="000000"/>
              </w:rPr>
            </w:pPr>
          </w:p>
          <w:p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8627A" w:rsidRDefault="00C05779">
      <w:pPr>
        <w:ind w:firstLine="720"/>
      </w:pPr>
      <w:r>
        <w:t>Currently, sources are using monitoring equipment that provides parameter data</w:t>
      </w:r>
      <w:r w:rsidR="00C65C92">
        <w:t xml:space="preserve"> in an automated way e.g., continuous parameter monitoring system</w:t>
      </w:r>
      <w:r>
        <w:t>.  Although personnel at the source still need to evaluate the data, this type of monitoring equipment has significantly reduced the burden associated with monitoring and recordkeeping.</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27C17" w:rsidRDefault="00C27C17">
      <w:pPr>
        <w:pBdr>
          <w:top w:val="single" w:sz="6" w:space="0" w:color="FFFFFF"/>
          <w:left w:val="single" w:sz="6" w:space="0" w:color="FFFFFF"/>
          <w:bottom w:val="single" w:sz="6" w:space="0" w:color="FFFFFF"/>
          <w:right w:val="single" w:sz="6" w:space="0" w:color="FFFFFF"/>
        </w:pBdr>
        <w:ind w:firstLine="720"/>
        <w:rPr>
          <w:color w:val="000000"/>
        </w:rPr>
      </w:pPr>
    </w:p>
    <w:p w:rsidR="00C27C17" w:rsidRDefault="00C27C17">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C65C92">
            <w:pPr>
              <w:keepNext/>
              <w:keepLines/>
              <w:spacing w:line="120" w:lineRule="exact"/>
              <w:rPr>
                <w:color w:val="000000"/>
              </w:rPr>
            </w:pPr>
          </w:p>
          <w:p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C65C92">
            <w:pPr>
              <w:keepNext/>
              <w:keepLines/>
              <w:spacing w:line="120" w:lineRule="exact"/>
              <w:rPr>
                <w:color w:val="000000"/>
              </w:rPr>
            </w:pPr>
          </w:p>
          <w:p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C65C92">
            <w:pPr>
              <w:keepNext/>
              <w:keepLines/>
              <w:spacing w:line="120" w:lineRule="exact"/>
              <w:rPr>
                <w:color w:val="000000"/>
              </w:rPr>
            </w:pPr>
          </w:p>
          <w:p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C65C92">
            <w:pPr>
              <w:keepNext/>
              <w:keepLines/>
              <w:spacing w:line="120" w:lineRule="exact"/>
              <w:rPr>
                <w:color w:val="000000"/>
              </w:rPr>
            </w:pPr>
          </w:p>
          <w:p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4D1C15" w:rsidRDefault="00CA4CD6">
      <w:pPr>
        <w:pBdr>
          <w:top w:val="single" w:sz="6" w:space="0" w:color="FFFFFF"/>
          <w:left w:val="single" w:sz="6" w:space="0" w:color="FFFFFF"/>
          <w:bottom w:val="single" w:sz="6" w:space="0" w:color="FFFFFF"/>
          <w:right w:val="single" w:sz="6" w:space="0" w:color="FFFFFF"/>
        </w:pBdr>
        <w:ind w:firstLine="720"/>
      </w:pPr>
      <w:r>
        <w:rPr>
          <w:b/>
          <w:bCs/>
          <w:color w:val="000000"/>
        </w:rPr>
        <w:t>5(b)  Co</w:t>
      </w:r>
      <w:r w:rsidR="00437866" w:rsidRPr="00437866">
        <w:rPr>
          <w:b/>
          <w:bCs/>
        </w:rPr>
        <w:t>llection Methodology and Management</w:t>
      </w:r>
    </w:p>
    <w:p w:rsidR="00CA4CD6" w:rsidRPr="004D1C15" w:rsidRDefault="00CA4CD6">
      <w:pPr>
        <w:pBdr>
          <w:top w:val="single" w:sz="6" w:space="0" w:color="FFFFFF"/>
          <w:left w:val="single" w:sz="6" w:space="0" w:color="FFFFFF"/>
          <w:bottom w:val="single" w:sz="6" w:space="0" w:color="FFFFFF"/>
          <w:right w:val="single" w:sz="6" w:space="0" w:color="FFFFFF"/>
        </w:pBdr>
      </w:pPr>
    </w:p>
    <w:p w:rsidR="00CA4CD6" w:rsidRPr="004D1C15" w:rsidRDefault="00437866">
      <w:pPr>
        <w:pBdr>
          <w:top w:val="single" w:sz="6" w:space="0" w:color="FFFFFF"/>
          <w:left w:val="single" w:sz="6" w:space="0" w:color="FFFFFF"/>
          <w:bottom w:val="single" w:sz="6" w:space="0" w:color="FFFFFF"/>
          <w:right w:val="single" w:sz="6" w:space="0" w:color="FFFFFF"/>
        </w:pBdr>
        <w:ind w:firstLine="720"/>
      </w:pPr>
      <w:r w:rsidRPr="00437866">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4D1C15">
        <w:rPr>
          <w:color w:val="000000"/>
        </w:rPr>
        <w:t>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98627A"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majority of the respondents are large entities (i.e., large businesses).  However, the impact on small entities (i.e., small businesses) was taken into consideration during the </w:t>
      </w:r>
      <w:r w:rsidR="00B95DEE">
        <w:rPr>
          <w:color w:val="000000"/>
        </w:rPr>
        <w:t xml:space="preserve"> </w:t>
      </w:r>
      <w:r>
        <w:rPr>
          <w:color w:val="000000"/>
        </w:rPr>
        <w:t>development of the regulation.</w:t>
      </w:r>
      <w:r w:rsidR="004D1C15">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D1C15">
      <w:pPr>
        <w:pBdr>
          <w:top w:val="single" w:sz="6" w:space="0" w:color="FFFFFF"/>
          <w:left w:val="single" w:sz="6" w:space="0" w:color="FFFFFF"/>
          <w:bottom w:val="single" w:sz="6" w:space="0" w:color="FFFFFF"/>
          <w:right w:val="single" w:sz="6" w:space="0" w:color="FFFFFF"/>
        </w:pBdr>
        <w:ind w:firstLine="720"/>
        <w:rPr>
          <w:b/>
          <w:bCs/>
          <w:color w:val="000000"/>
        </w:rPr>
      </w:pPr>
      <w:r>
        <w:t>According to the Economic Impact Analysis of the Hydrochloric Acid Production NESHAP</w:t>
      </w:r>
      <w:r w:rsidRPr="00893D5F">
        <w:rPr>
          <w:rStyle w:val="FootnoteReference"/>
          <w:vertAlign w:val="superscript"/>
        </w:rPr>
        <w:footnoteReference w:id="1"/>
      </w:r>
      <w:r>
        <w:t xml:space="preserve">, 13 percent of the parent companies affected by proposed action were estimated to be </w:t>
      </w:r>
      <w:r>
        <w:lastRenderedPageBreak/>
        <w:t xml:space="preserve">small entities as defined by the Small Business Administration. The Agency assumes that 13 percent of the </w:t>
      </w:r>
      <w:r w:rsidR="00F312ED">
        <w:t>81</w:t>
      </w:r>
      <w:r w:rsidRPr="00D26807">
        <w:t xml:space="preserve"> facilities affected </w:t>
      </w:r>
      <w:r>
        <w:t xml:space="preserve">by this ICR, or </w:t>
      </w:r>
      <w:r w:rsidR="00C65C92">
        <w:t>11</w:t>
      </w:r>
      <w:r w:rsidR="00C65C92" w:rsidRPr="00D26807">
        <w:t xml:space="preserve"> </w:t>
      </w:r>
      <w:r w:rsidRPr="00D26807">
        <w:t>facilities, are small entities.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C5EFD" w:rsidRDefault="00CA4CD6" w:rsidP="000C5EFD">
      <w:pPr>
        <w:pBdr>
          <w:top w:val="single" w:sz="6" w:space="0" w:color="FFFFFF"/>
          <w:left w:val="single" w:sz="6" w:space="0" w:color="FFFFFF"/>
          <w:bottom w:val="single" w:sz="6" w:space="0" w:color="FFFFFF"/>
          <w:right w:val="single" w:sz="6" w:space="0" w:color="FFFFFF"/>
        </w:pBdr>
        <w:ind w:firstLine="720"/>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0C5EFD">
        <w:t>Annual Respondent Burden and Cost - NESHAP for Hydrochloric Acid Production (40 CFR Part 63, Subpart NNNNN) (Renewal).</w:t>
      </w:r>
    </w:p>
    <w:p w:rsidR="00CA4CD6" w:rsidRDefault="00CA4CD6" w:rsidP="000C5EFD">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044334">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317820">
        <w:rPr>
          <w:color w:val="000000"/>
        </w:rPr>
        <w:t>105,03</w:t>
      </w:r>
      <w:r w:rsidR="000D3A24">
        <w:rPr>
          <w:color w:val="000000"/>
        </w:rPr>
        <w:t xml:space="preserve">3 </w:t>
      </w:r>
      <w:r w:rsidR="009B1188">
        <w:rPr>
          <w:color w:val="000000"/>
        </w:rPr>
        <w:t>(Total Labor Hours from Table 1)</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437866" w:rsidRPr="00437866">
        <w:t>NESHAP</w:t>
      </w:r>
      <w:r w:rsidR="000F1E43">
        <w:rPr>
          <w:color w:val="FF0000"/>
        </w:rPr>
        <w:t xml:space="preserve">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0F1E43">
        <w:rPr>
          <w:color w:val="000000"/>
        </w:rPr>
        <w:t>120.77</w:t>
      </w:r>
      <w:r>
        <w:rPr>
          <w:color w:val="000000"/>
        </w:rPr>
        <w:t xml:space="preserve"> ($</w:t>
      </w:r>
      <w:r w:rsidR="000F1E43">
        <w:rPr>
          <w:color w:val="000000"/>
        </w:rPr>
        <w:t>57.51</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0F1E43">
        <w:rPr>
          <w:color w:val="000000"/>
        </w:rPr>
        <w:t>99.39</w:t>
      </w:r>
      <w:r>
        <w:rPr>
          <w:color w:val="000000"/>
        </w:rPr>
        <w:t xml:space="preserve"> ($</w:t>
      </w:r>
      <w:r w:rsidR="000F1E43">
        <w:rPr>
          <w:color w:val="000000"/>
        </w:rPr>
        <w:t>47.33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0F1E43">
        <w:rPr>
          <w:color w:val="000000"/>
        </w:rPr>
        <w:t>50.04</w:t>
      </w:r>
      <w:r>
        <w:rPr>
          <w:color w:val="000000"/>
        </w:rPr>
        <w:t xml:space="preserve"> ($</w:t>
      </w:r>
      <w:r w:rsidR="000F1E43">
        <w:rPr>
          <w:color w:val="000000"/>
        </w:rPr>
        <w:t>23.83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281CAE">
        <w:rPr>
          <w:color w:val="000000"/>
        </w:rPr>
        <w:t>December</w:t>
      </w:r>
      <w:r w:rsidR="004F6FCD">
        <w:rPr>
          <w:color w:val="000000"/>
        </w:rPr>
        <w:t xml:space="preserve"> 201</w:t>
      </w:r>
      <w:r w:rsidR="000F1E43">
        <w:rPr>
          <w:color w:val="000000"/>
        </w:rPr>
        <w:t>1</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427C6" w:rsidRDefault="00C427C6">
      <w:pPr>
        <w:pBdr>
          <w:top w:val="single" w:sz="6" w:space="0" w:color="FFFFFF"/>
          <w:left w:val="single" w:sz="6" w:space="0" w:color="FFFFFF"/>
          <w:bottom w:val="single" w:sz="6" w:space="0" w:color="FFFFFF"/>
          <w:right w:val="single" w:sz="6" w:space="0" w:color="FFFFFF"/>
        </w:pBdr>
        <w:ind w:firstLine="144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lastRenderedPageBreak/>
        <w:t>(ii)  Estimating Capital/Startup and Operation and Maintenance Costs</w:t>
      </w:r>
    </w:p>
    <w:p w:rsidR="00C427C6" w:rsidRDefault="00C427C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w:t>
      </w:r>
      <w:r w:rsidR="00934A35">
        <w:rPr>
          <w:color w:val="000000"/>
        </w:rPr>
        <w:t>-</w:t>
      </w:r>
      <w:r>
        <w:rPr>
          <w:color w:val="000000"/>
        </w:rPr>
        <w:t>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630" w:type="dxa"/>
        <w:tblInd w:w="111" w:type="dxa"/>
        <w:tblLayout w:type="fixed"/>
        <w:tblCellMar>
          <w:left w:w="111" w:type="dxa"/>
          <w:right w:w="111" w:type="dxa"/>
        </w:tblCellMar>
        <w:tblLook w:val="0000"/>
      </w:tblPr>
      <w:tblGrid>
        <w:gridCol w:w="1170"/>
        <w:gridCol w:w="1440"/>
        <w:gridCol w:w="1440"/>
        <w:gridCol w:w="1440"/>
        <w:gridCol w:w="1440"/>
        <w:gridCol w:w="1350"/>
        <w:gridCol w:w="1350"/>
      </w:tblGrid>
      <w:tr w:rsidR="00A73600" w:rsidTr="00220447">
        <w:trPr>
          <w:tblHeader/>
        </w:trPr>
        <w:tc>
          <w:tcPr>
            <w:tcW w:w="963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9B1188">
        <w:tc>
          <w:tcPr>
            <w:tcW w:w="11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253856" w:rsidTr="009B1188">
        <w:trPr>
          <w:trHeight w:val="811"/>
        </w:trPr>
        <w:tc>
          <w:tcPr>
            <w:tcW w:w="1170" w:type="dxa"/>
            <w:vMerge w:val="restart"/>
            <w:tcBorders>
              <w:top w:val="single" w:sz="7" w:space="0" w:color="000000"/>
              <w:left w:val="single" w:sz="7" w:space="0" w:color="000000"/>
              <w:right w:val="single" w:sz="8" w:space="0" w:color="000000"/>
            </w:tcBorders>
            <w:vAlign w:val="center"/>
          </w:tcPr>
          <w:p w:rsidR="00195222" w:rsidRDefault="00253856" w:rsidP="009B1188">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rPr>
              <w:t>Continuous monitoring systems (CMS)</w:t>
            </w:r>
          </w:p>
        </w:tc>
        <w:tc>
          <w:tcPr>
            <w:tcW w:w="1440" w:type="dxa"/>
            <w:tcBorders>
              <w:top w:val="single" w:sz="8" w:space="0" w:color="000000"/>
              <w:left w:val="single" w:sz="8" w:space="0" w:color="000000"/>
              <w:bottom w:val="single" w:sz="6" w:space="0" w:color="000000"/>
              <w:right w:val="single" w:sz="6" w:space="0" w:color="000000"/>
            </w:tcBorders>
            <w:vAlign w:val="center"/>
          </w:tcPr>
          <w:p w:rsidR="0098627A" w:rsidRDefault="0025385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$712</w:t>
            </w:r>
          </w:p>
        </w:tc>
        <w:tc>
          <w:tcPr>
            <w:tcW w:w="1440" w:type="dxa"/>
            <w:tcBorders>
              <w:top w:val="single" w:sz="8" w:space="0" w:color="000000"/>
              <w:left w:val="single" w:sz="6" w:space="0" w:color="000000"/>
              <w:bottom w:val="single" w:sz="6" w:space="0" w:color="000000"/>
              <w:right w:val="single" w:sz="6" w:space="0" w:color="000000"/>
            </w:tcBorders>
            <w:vAlign w:val="center"/>
          </w:tcPr>
          <w:p w:rsidR="0098627A" w:rsidRDefault="0025385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2</w:t>
            </w:r>
          </w:p>
        </w:tc>
        <w:tc>
          <w:tcPr>
            <w:tcW w:w="1440" w:type="dxa"/>
            <w:tcBorders>
              <w:top w:val="single" w:sz="8" w:space="0" w:color="000000"/>
              <w:left w:val="single" w:sz="6" w:space="0" w:color="000000"/>
              <w:bottom w:val="single" w:sz="6" w:space="0" w:color="000000"/>
              <w:right w:val="single" w:sz="8" w:space="0" w:color="000000"/>
            </w:tcBorders>
            <w:vAlign w:val="center"/>
          </w:tcPr>
          <w:p w:rsidR="0098627A" w:rsidRDefault="0025385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$1,424</w:t>
            </w:r>
          </w:p>
        </w:tc>
        <w:tc>
          <w:tcPr>
            <w:tcW w:w="1440" w:type="dxa"/>
            <w:tcBorders>
              <w:top w:val="single" w:sz="7" w:space="0" w:color="000000"/>
              <w:left w:val="single" w:sz="8" w:space="0" w:color="000000"/>
              <w:bottom w:val="single" w:sz="6" w:space="0" w:color="FFFFFF"/>
              <w:right w:val="single" w:sz="6" w:space="0" w:color="FFFFFF"/>
            </w:tcBorders>
            <w:vAlign w:val="center"/>
          </w:tcPr>
          <w:p w:rsidR="0098627A" w:rsidRDefault="0025385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$8,473</w:t>
            </w:r>
          </w:p>
        </w:tc>
        <w:tc>
          <w:tcPr>
            <w:tcW w:w="1350" w:type="dxa"/>
            <w:tcBorders>
              <w:top w:val="single" w:sz="7" w:space="0" w:color="000000"/>
              <w:left w:val="single" w:sz="7" w:space="0" w:color="000000"/>
              <w:bottom w:val="single" w:sz="6" w:space="0" w:color="FFFFFF"/>
              <w:right w:val="single" w:sz="8" w:space="0" w:color="000000"/>
            </w:tcBorders>
            <w:vAlign w:val="center"/>
          </w:tcPr>
          <w:p w:rsidR="0098627A" w:rsidRDefault="009B1B34" w:rsidP="009B1B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 xml:space="preserve">79 </w:t>
            </w:r>
            <w:r w:rsidR="00253856">
              <w:rPr>
                <w:sz w:val="20"/>
              </w:rPr>
              <w:t>(existing)</w:t>
            </w:r>
          </w:p>
        </w:tc>
        <w:tc>
          <w:tcPr>
            <w:tcW w:w="1350" w:type="dxa"/>
            <w:tcBorders>
              <w:top w:val="single" w:sz="8" w:space="0" w:color="000000"/>
              <w:left w:val="single" w:sz="8" w:space="0" w:color="000000"/>
              <w:bottom w:val="single" w:sz="8" w:space="0" w:color="000000"/>
              <w:right w:val="single" w:sz="8" w:space="0" w:color="000000"/>
            </w:tcBorders>
            <w:vAlign w:val="center"/>
          </w:tcPr>
          <w:p w:rsidR="0098627A" w:rsidRDefault="00253856" w:rsidP="009B1B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w:t>
            </w:r>
            <w:r w:rsidR="009B1B34">
              <w:rPr>
                <w:sz w:val="20"/>
              </w:rPr>
              <w:t>669</w:t>
            </w:r>
            <w:r w:rsidR="00097927">
              <w:rPr>
                <w:sz w:val="20"/>
              </w:rPr>
              <w:t>,</w:t>
            </w:r>
            <w:r w:rsidR="009B1B34">
              <w:rPr>
                <w:sz w:val="20"/>
              </w:rPr>
              <w:t>367</w:t>
            </w:r>
          </w:p>
        </w:tc>
      </w:tr>
      <w:tr w:rsidR="00220447" w:rsidTr="009B1188">
        <w:trPr>
          <w:trHeight w:val="622"/>
        </w:trPr>
        <w:tc>
          <w:tcPr>
            <w:tcW w:w="1170" w:type="dxa"/>
            <w:vMerge/>
            <w:tcBorders>
              <w:left w:val="single" w:sz="7" w:space="0" w:color="000000"/>
              <w:bottom w:val="single" w:sz="6" w:space="0" w:color="FFFFFF"/>
              <w:right w:val="single" w:sz="8" w:space="0" w:color="000000"/>
            </w:tcBorders>
            <w:vAlign w:val="center"/>
          </w:tcPr>
          <w:p w:rsidR="0098627A" w:rsidRDefault="0098627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440" w:type="dxa"/>
            <w:tcBorders>
              <w:top w:val="single" w:sz="6" w:space="0" w:color="000000"/>
              <w:left w:val="single" w:sz="8" w:space="0" w:color="000000"/>
              <w:bottom w:val="single" w:sz="8" w:space="0" w:color="000000"/>
              <w:right w:val="single" w:sz="6" w:space="0" w:color="000000"/>
            </w:tcBorders>
            <w:vAlign w:val="center"/>
          </w:tcPr>
          <w:p w:rsidR="0098627A" w:rsidRDefault="0022044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440" w:type="dxa"/>
            <w:tcBorders>
              <w:top w:val="single" w:sz="6" w:space="0" w:color="000000"/>
              <w:left w:val="single" w:sz="6" w:space="0" w:color="000000"/>
              <w:bottom w:val="single" w:sz="8" w:space="0" w:color="000000"/>
              <w:right w:val="single" w:sz="6" w:space="0" w:color="000000"/>
            </w:tcBorders>
            <w:vAlign w:val="center"/>
          </w:tcPr>
          <w:p w:rsidR="00220447" w:rsidRDefault="00220447" w:rsidP="0009792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440" w:type="dxa"/>
            <w:tcBorders>
              <w:top w:val="single" w:sz="6" w:space="0" w:color="000000"/>
              <w:left w:val="single" w:sz="6" w:space="0" w:color="000000"/>
              <w:bottom w:val="single" w:sz="8" w:space="0" w:color="000000"/>
              <w:right w:val="single" w:sz="8" w:space="0" w:color="000000"/>
            </w:tcBorders>
            <w:vAlign w:val="center"/>
          </w:tcPr>
          <w:p w:rsidR="0098627A" w:rsidRDefault="0022044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440" w:type="dxa"/>
            <w:tcBorders>
              <w:top w:val="single" w:sz="7" w:space="0" w:color="000000"/>
              <w:left w:val="single" w:sz="8" w:space="0" w:color="000000"/>
              <w:bottom w:val="single" w:sz="6" w:space="0" w:color="FFFFFF"/>
              <w:right w:val="single" w:sz="6" w:space="0" w:color="FFFFFF"/>
            </w:tcBorders>
            <w:vAlign w:val="center"/>
          </w:tcPr>
          <w:p w:rsidR="0098627A" w:rsidRDefault="009B1B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$16,385</w:t>
            </w:r>
          </w:p>
        </w:tc>
        <w:tc>
          <w:tcPr>
            <w:tcW w:w="1350" w:type="dxa"/>
            <w:tcBorders>
              <w:top w:val="single" w:sz="7" w:space="0" w:color="000000"/>
              <w:left w:val="single" w:sz="7" w:space="0" w:color="000000"/>
              <w:bottom w:val="single" w:sz="6" w:space="0" w:color="FFFFFF"/>
              <w:right w:val="single" w:sz="8" w:space="0" w:color="000000"/>
            </w:tcBorders>
            <w:vAlign w:val="center"/>
          </w:tcPr>
          <w:p w:rsidR="0098627A" w:rsidRDefault="009B1B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2 (new)</w:t>
            </w:r>
          </w:p>
        </w:tc>
        <w:tc>
          <w:tcPr>
            <w:tcW w:w="1350" w:type="dxa"/>
            <w:tcBorders>
              <w:top w:val="single" w:sz="8" w:space="0" w:color="000000"/>
              <w:left w:val="single" w:sz="8" w:space="0" w:color="000000"/>
              <w:bottom w:val="single" w:sz="8" w:space="0" w:color="000000"/>
              <w:right w:val="single" w:sz="8" w:space="0" w:color="000000"/>
            </w:tcBorders>
            <w:vAlign w:val="center"/>
          </w:tcPr>
          <w:p w:rsidR="0098627A" w:rsidRDefault="009B1B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$32,770</w:t>
            </w:r>
          </w:p>
        </w:tc>
      </w:tr>
      <w:tr w:rsidR="00253856" w:rsidTr="009B1188">
        <w:tc>
          <w:tcPr>
            <w:tcW w:w="1170" w:type="dxa"/>
            <w:tcBorders>
              <w:top w:val="single" w:sz="7" w:space="0" w:color="000000"/>
              <w:left w:val="single" w:sz="7" w:space="0" w:color="000000"/>
              <w:bottom w:val="single" w:sz="7" w:space="0" w:color="000000"/>
              <w:right w:val="single" w:sz="6" w:space="0" w:color="FFFFFF"/>
            </w:tcBorders>
            <w:vAlign w:val="center"/>
          </w:tcPr>
          <w:p w:rsidR="0098627A" w:rsidRDefault="00097927">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Total</w:t>
            </w:r>
          </w:p>
        </w:tc>
        <w:tc>
          <w:tcPr>
            <w:tcW w:w="1440" w:type="dxa"/>
            <w:tcBorders>
              <w:top w:val="single" w:sz="8" w:space="0" w:color="000000"/>
              <w:left w:val="single" w:sz="7" w:space="0" w:color="000000"/>
              <w:bottom w:val="single" w:sz="7" w:space="0" w:color="000000"/>
              <w:right w:val="single" w:sz="6" w:space="0" w:color="FFFFFF"/>
            </w:tcBorders>
            <w:vAlign w:val="center"/>
          </w:tcPr>
          <w:p w:rsidR="0098627A" w:rsidRDefault="0098627A">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8" w:space="0" w:color="000000"/>
              <w:left w:val="single" w:sz="7" w:space="0" w:color="000000"/>
              <w:bottom w:val="single" w:sz="7" w:space="0" w:color="000000"/>
              <w:right w:val="single" w:sz="6" w:space="0" w:color="FFFFFF"/>
            </w:tcBorders>
            <w:vAlign w:val="center"/>
          </w:tcPr>
          <w:p w:rsidR="0098627A" w:rsidRDefault="0098627A">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8" w:space="0" w:color="000000"/>
              <w:left w:val="single" w:sz="7" w:space="0" w:color="000000"/>
              <w:bottom w:val="single" w:sz="7" w:space="0" w:color="000000"/>
              <w:right w:val="single" w:sz="6" w:space="0" w:color="FFFFFF"/>
            </w:tcBorders>
            <w:vAlign w:val="center"/>
          </w:tcPr>
          <w:p w:rsidR="0098627A" w:rsidRDefault="00253856">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$1,424</w:t>
            </w:r>
          </w:p>
        </w:tc>
        <w:tc>
          <w:tcPr>
            <w:tcW w:w="1440" w:type="dxa"/>
            <w:tcBorders>
              <w:top w:val="single" w:sz="7" w:space="0" w:color="000000"/>
              <w:left w:val="single" w:sz="7" w:space="0" w:color="000000"/>
              <w:bottom w:val="single" w:sz="7" w:space="0" w:color="000000"/>
              <w:right w:val="single" w:sz="6" w:space="0" w:color="FFFFFF"/>
            </w:tcBorders>
            <w:vAlign w:val="center"/>
          </w:tcPr>
          <w:p w:rsidR="0098627A" w:rsidRDefault="0098627A">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98627A" w:rsidRDefault="0098627A">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8" w:space="0" w:color="000000"/>
              <w:left w:val="single" w:sz="7" w:space="0" w:color="000000"/>
              <w:bottom w:val="single" w:sz="7" w:space="0" w:color="000000"/>
              <w:right w:val="single" w:sz="7" w:space="0" w:color="000000"/>
            </w:tcBorders>
            <w:vAlign w:val="center"/>
          </w:tcPr>
          <w:p w:rsidR="0098627A" w:rsidRDefault="00097927" w:rsidP="009B1B34">
            <w:pPr>
              <w:pBdr>
                <w:top w:val="single" w:sz="6" w:space="0" w:color="FFFFFF"/>
                <w:left w:val="single" w:sz="6" w:space="0" w:color="FFFFFF"/>
                <w:bottom w:val="single" w:sz="6" w:space="0" w:color="FFFFFF"/>
                <w:right w:val="single" w:sz="6" w:space="0" w:color="FFFFFF"/>
              </w:pBdr>
              <w:spacing w:after="72"/>
              <w:jc w:val="center"/>
              <w:rPr>
                <w:color w:val="000000"/>
              </w:rPr>
            </w:pPr>
            <w:r>
              <w:rPr>
                <w:color w:val="000000"/>
                <w:sz w:val="20"/>
                <w:szCs w:val="20"/>
              </w:rPr>
              <w:t>$</w:t>
            </w:r>
            <w:r w:rsidR="009B1B34">
              <w:rPr>
                <w:color w:val="000000"/>
                <w:sz w:val="20"/>
                <w:szCs w:val="20"/>
              </w:rPr>
              <w:t>702</w:t>
            </w:r>
            <w:r>
              <w:rPr>
                <w:color w:val="000000"/>
                <w:sz w:val="20"/>
                <w:szCs w:val="20"/>
              </w:rPr>
              <w:t>,</w:t>
            </w:r>
            <w:r w:rsidR="009B1B34">
              <w:rPr>
                <w:color w:val="000000"/>
                <w:sz w:val="20"/>
                <w:szCs w:val="20"/>
              </w:rPr>
              <w:t>137</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253856">
        <w:rPr>
          <w:color w:val="000000"/>
        </w:rPr>
        <w:t xml:space="preserve">$1,424.  </w:t>
      </w:r>
      <w:r>
        <w:rPr>
          <w:color w:val="000000"/>
        </w:rPr>
        <w:t>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253856">
        <w:rPr>
          <w:color w:val="000000"/>
        </w:rPr>
        <w:t>$</w:t>
      </w:r>
      <w:r w:rsidR="009B1B34">
        <w:rPr>
          <w:color w:val="000000"/>
        </w:rPr>
        <w:t>702</w:t>
      </w:r>
      <w:r w:rsidR="00097927">
        <w:rPr>
          <w:color w:val="000000"/>
        </w:rPr>
        <w:t>,</w:t>
      </w:r>
      <w:r w:rsidR="009B1B34">
        <w:rPr>
          <w:color w:val="000000"/>
        </w:rPr>
        <w:t>137</w:t>
      </w:r>
      <w:r w:rsidR="00253856">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A038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 xml:space="preserve">The average annual cost for capital/startup and operation and maintenance costs to industry over the next three years of the ICR is estimated to be </w:t>
      </w:r>
      <w:r w:rsidR="00253856">
        <w:rPr>
          <w:color w:val="000000"/>
        </w:rPr>
        <w:t>$</w:t>
      </w:r>
      <w:r w:rsidR="009B1B34">
        <w:rPr>
          <w:color w:val="000000"/>
        </w:rPr>
        <w:t>703</w:t>
      </w:r>
      <w:r w:rsidR="00097927">
        <w:rPr>
          <w:color w:val="000000"/>
        </w:rPr>
        <w:t>,</w:t>
      </w:r>
      <w:r w:rsidR="009B1B34">
        <w:rPr>
          <w:color w:val="000000"/>
        </w:rPr>
        <w:t>561</w:t>
      </w:r>
      <w:r w:rsidR="00CA4CD6">
        <w:rPr>
          <w:color w:val="000000"/>
        </w:rPr>
        <w:t>.</w:t>
      </w:r>
      <w:r w:rsidR="001C5991">
        <w:rPr>
          <w:color w:val="000000"/>
        </w:rPr>
        <w:t xml:space="preserve">  These are</w:t>
      </w:r>
      <w:r w:rsidR="00911CC1">
        <w:rPr>
          <w:color w:val="000000"/>
        </w:rPr>
        <w:t xml:space="preserve"> the total</w:t>
      </w:r>
      <w:r w:rsidR="001C5991">
        <w:rPr>
          <w:color w:val="000000"/>
        </w:rPr>
        <w:t xml:space="preserv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w:t>
      </w:r>
      <w:r w:rsidR="00097927">
        <w:rPr>
          <w:color w:val="000000"/>
        </w:rPr>
        <w:t>the examination</w:t>
      </w:r>
      <w:r>
        <w:rPr>
          <w:color w:val="000000"/>
        </w:rPr>
        <w:t xml:space="preserve"> of records maintained by the respondents</w:t>
      </w:r>
      <w:r w:rsidR="00097927">
        <w:rPr>
          <w:color w:val="000000"/>
        </w:rPr>
        <w:t>, periodic</w:t>
      </w:r>
      <w:r>
        <w:rPr>
          <w:color w:val="000000"/>
        </w:rPr>
        <w:t xml:space="preserve">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6E65CC">
        <w:rPr>
          <w:color w:val="000000"/>
        </w:rPr>
        <w:t>$</w:t>
      </w:r>
      <w:r w:rsidR="00437866" w:rsidRPr="00437866">
        <w:rPr>
          <w:color w:val="000000"/>
        </w:rPr>
        <w:t>17,413</w:t>
      </w:r>
      <w:r w:rsidR="006E65CC">
        <w:rPr>
          <w:color w:val="000000"/>
        </w:rPr>
        <w:t>.</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CA4CD6" w:rsidRPr="00D2273E" w:rsidRDefault="00D2273E" w:rsidP="00D2273E">
      <w:r>
        <w:lastRenderedPageBreak/>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81CAE">
        <w:rPr>
          <w:color w:val="000000"/>
        </w:rPr>
        <w:t>1</w:t>
      </w:r>
      <w:r>
        <w:rPr>
          <w:color w:val="000000"/>
        </w:rPr>
        <w:t xml:space="preserve"> General Schedule</w:t>
      </w:r>
      <w:r w:rsidR="007A458D">
        <w:rPr>
          <w:color w:val="000000"/>
        </w:rPr>
        <w:t>,</w:t>
      </w:r>
      <w:r>
        <w:rPr>
          <w:color w:val="000000"/>
        </w:rPr>
        <w:t xml:space="preserve"> which excludes </w:t>
      </w:r>
      <w:r w:rsidR="00CB2710">
        <w:rPr>
          <w:color w:val="000000"/>
        </w:rPr>
        <w:t xml:space="preserve">the </w:t>
      </w:r>
      <w:r>
        <w:rPr>
          <w:color w:val="000000"/>
        </w:rPr>
        <w:t>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w:t>
      </w:r>
      <w:r w:rsidR="009B1B34">
        <w:rPr>
          <w:color w:val="000000"/>
        </w:rPr>
        <w:t xml:space="preserve">Cost </w:t>
      </w:r>
      <w:r w:rsidR="00253856" w:rsidRPr="0092663C">
        <w:t>– NESHAP for Hydrochloric Acid Production (40 CFR Part 63, Subpart NNNNN)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9B1B34">
        <w:rPr>
          <w:color w:val="000000"/>
        </w:rPr>
        <w:t xml:space="preserve">79 </w:t>
      </w:r>
      <w:r>
        <w:rPr>
          <w:color w:val="000000"/>
        </w:rPr>
        <w:t xml:space="preserve">existing respondents will be subject to the standard.  It is estimated that an additional </w:t>
      </w:r>
      <w:r w:rsidR="00EC3393">
        <w:rPr>
          <w:color w:val="000000"/>
        </w:rPr>
        <w:t>2</w:t>
      </w:r>
      <w:r>
        <w:rPr>
          <w:color w:val="000000"/>
        </w:rPr>
        <w:t xml:space="preserve"> respondents per year will become subject.  The overall average number of respondents, as shown in the table below is </w:t>
      </w:r>
      <w:r w:rsidR="00EC3393">
        <w:rPr>
          <w:color w:val="000000"/>
        </w:rPr>
        <w:t>81</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195222"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F312ED">
        <w:tc>
          <w:tcPr>
            <w:tcW w:w="900" w:type="dxa"/>
            <w:tcBorders>
              <w:top w:val="single" w:sz="7" w:space="0" w:color="000000"/>
              <w:left w:val="single" w:sz="7" w:space="0" w:color="000000"/>
              <w:bottom w:val="single" w:sz="6" w:space="0" w:color="FFFFFF"/>
              <w:right w:val="single" w:sz="6" w:space="0" w:color="FFFFFF"/>
            </w:tcBorders>
          </w:tcPr>
          <w:p w:rsidR="0098627A" w:rsidRDefault="0098627A">
            <w:pPr>
              <w:spacing w:line="120" w:lineRule="exact"/>
              <w:jc w:val="center"/>
              <w:rPr>
                <w:b/>
                <w:bCs/>
                <w:color w:val="000000"/>
              </w:rPr>
            </w:pPr>
          </w:p>
          <w:p w:rsidR="0098627A" w:rsidRDefault="0098627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98627A"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98627A"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8" w:space="0" w:color="000000"/>
              <w:right w:val="single" w:sz="7" w:space="0" w:color="000000"/>
            </w:tcBorders>
          </w:tcPr>
          <w:p w:rsidR="0098627A" w:rsidRDefault="0098627A">
            <w:pPr>
              <w:spacing w:line="120" w:lineRule="exact"/>
              <w:jc w:val="center"/>
              <w:rPr>
                <w:color w:val="000000"/>
                <w:sz w:val="18"/>
                <w:szCs w:val="18"/>
              </w:rPr>
            </w:pPr>
          </w:p>
          <w:p w:rsidR="0098627A" w:rsidRDefault="0098627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CA4CD6" w:rsidTr="00F312ED">
        <w:tc>
          <w:tcPr>
            <w:tcW w:w="900" w:type="dxa"/>
            <w:tcBorders>
              <w:top w:val="single" w:sz="7" w:space="0" w:color="000000"/>
              <w:left w:val="single" w:sz="7" w:space="0" w:color="000000"/>
              <w:bottom w:val="single" w:sz="8" w:space="0" w:color="000000"/>
              <w:right w:val="single" w:sz="6" w:space="0" w:color="FFFFFF"/>
            </w:tcBorders>
          </w:tcPr>
          <w:p w:rsidR="0098627A" w:rsidRDefault="0098627A">
            <w:pPr>
              <w:spacing w:line="120" w:lineRule="exact"/>
              <w:jc w:val="center"/>
              <w:rPr>
                <w:color w:val="000000"/>
                <w:sz w:val="18"/>
                <w:szCs w:val="18"/>
              </w:rPr>
            </w:pPr>
          </w:p>
          <w:p w:rsidR="00195222"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195222"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98627A"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195222"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98627A"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195222"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98627A"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8" w:space="0" w:color="000000"/>
            </w:tcBorders>
          </w:tcPr>
          <w:p w:rsidR="00195222"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98627A"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tcPr>
          <w:p w:rsidR="00195222"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98627A"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98627A"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Tr="00097927">
        <w:tc>
          <w:tcPr>
            <w:tcW w:w="900" w:type="dxa"/>
            <w:tcBorders>
              <w:top w:val="single" w:sz="8" w:space="0" w:color="000000"/>
              <w:left w:val="single" w:sz="8" w:space="0" w:color="000000"/>
              <w:bottom w:val="single" w:sz="6" w:space="0" w:color="000000"/>
              <w:right w:val="single" w:sz="6" w:space="0" w:color="000000"/>
            </w:tcBorders>
            <w:vAlign w:val="center"/>
          </w:tcPr>
          <w:p w:rsidR="00195222"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195222" w:rsidRDefault="0025385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82" w:type="dxa"/>
            <w:tcBorders>
              <w:top w:val="single" w:sz="8" w:space="0" w:color="000000"/>
              <w:left w:val="single" w:sz="6" w:space="0" w:color="000000"/>
              <w:bottom w:val="single" w:sz="6" w:space="0" w:color="000000"/>
              <w:right w:val="single" w:sz="6" w:space="0" w:color="000000"/>
            </w:tcBorders>
            <w:vAlign w:val="center"/>
          </w:tcPr>
          <w:p w:rsidR="00195222" w:rsidRDefault="0025385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w:t>
            </w:r>
            <w:r w:rsidR="00097927">
              <w:rPr>
                <w:color w:val="000000"/>
                <w:sz w:val="18"/>
                <w:szCs w:val="18"/>
              </w:rPr>
              <w:t>7</w:t>
            </w:r>
          </w:p>
        </w:tc>
        <w:tc>
          <w:tcPr>
            <w:tcW w:w="2070" w:type="dxa"/>
            <w:tcBorders>
              <w:top w:val="single" w:sz="8" w:space="0" w:color="000000"/>
              <w:left w:val="single" w:sz="6" w:space="0" w:color="000000"/>
              <w:bottom w:val="single" w:sz="6" w:space="0" w:color="000000"/>
              <w:right w:val="single" w:sz="6" w:space="0" w:color="000000"/>
            </w:tcBorders>
            <w:vAlign w:val="center"/>
          </w:tcPr>
          <w:p w:rsidR="00195222" w:rsidRDefault="000979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195222" w:rsidRDefault="000979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195222" w:rsidRDefault="0025385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w:t>
            </w:r>
            <w:r w:rsidR="00097927">
              <w:rPr>
                <w:color w:val="000000"/>
                <w:sz w:val="18"/>
                <w:szCs w:val="18"/>
              </w:rPr>
              <w:t>9</w:t>
            </w:r>
          </w:p>
        </w:tc>
      </w:tr>
      <w:tr w:rsidR="00CA4CD6" w:rsidTr="00097927">
        <w:tc>
          <w:tcPr>
            <w:tcW w:w="900" w:type="dxa"/>
            <w:tcBorders>
              <w:top w:val="single" w:sz="6" w:space="0" w:color="000000"/>
              <w:left w:val="single" w:sz="8" w:space="0" w:color="000000"/>
              <w:bottom w:val="single" w:sz="6" w:space="0" w:color="000000"/>
              <w:right w:val="single" w:sz="6" w:space="0" w:color="000000"/>
            </w:tcBorders>
            <w:vAlign w:val="center"/>
          </w:tcPr>
          <w:p w:rsidR="00195222"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195222" w:rsidRDefault="0025385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rsidR="00195222" w:rsidRDefault="000979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79</w:t>
            </w:r>
          </w:p>
        </w:tc>
        <w:tc>
          <w:tcPr>
            <w:tcW w:w="2070" w:type="dxa"/>
            <w:tcBorders>
              <w:top w:val="single" w:sz="6" w:space="0" w:color="000000"/>
              <w:left w:val="single" w:sz="6" w:space="0" w:color="000000"/>
              <w:bottom w:val="single" w:sz="6" w:space="0" w:color="000000"/>
              <w:right w:val="single" w:sz="6" w:space="0" w:color="000000"/>
            </w:tcBorders>
            <w:vAlign w:val="center"/>
          </w:tcPr>
          <w:p w:rsidR="00195222" w:rsidRDefault="000979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195222" w:rsidRDefault="000979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195222" w:rsidRDefault="000979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81</w:t>
            </w:r>
          </w:p>
        </w:tc>
      </w:tr>
      <w:tr w:rsidR="00CA4CD6" w:rsidTr="00097927">
        <w:tc>
          <w:tcPr>
            <w:tcW w:w="900" w:type="dxa"/>
            <w:tcBorders>
              <w:top w:val="single" w:sz="6" w:space="0" w:color="000000"/>
              <w:left w:val="single" w:sz="8" w:space="0" w:color="000000"/>
              <w:bottom w:val="single" w:sz="6" w:space="0" w:color="000000"/>
              <w:right w:val="single" w:sz="6" w:space="0" w:color="000000"/>
            </w:tcBorders>
            <w:vAlign w:val="center"/>
          </w:tcPr>
          <w:p w:rsidR="00195222"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195222" w:rsidRDefault="0025385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rsidR="00195222" w:rsidRDefault="0009792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81</w:t>
            </w:r>
          </w:p>
        </w:tc>
        <w:tc>
          <w:tcPr>
            <w:tcW w:w="2070" w:type="dxa"/>
            <w:tcBorders>
              <w:top w:val="single" w:sz="6" w:space="0" w:color="000000"/>
              <w:left w:val="single" w:sz="6" w:space="0" w:color="000000"/>
              <w:bottom w:val="single" w:sz="6" w:space="0" w:color="000000"/>
              <w:right w:val="single" w:sz="6" w:space="0" w:color="000000"/>
            </w:tcBorders>
            <w:vAlign w:val="center"/>
          </w:tcPr>
          <w:p w:rsidR="00195222" w:rsidRDefault="0009792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195222" w:rsidRDefault="0009792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195222" w:rsidRDefault="0009792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83</w:t>
            </w:r>
          </w:p>
        </w:tc>
      </w:tr>
      <w:tr w:rsidR="00CA4CD6" w:rsidTr="00097927">
        <w:tc>
          <w:tcPr>
            <w:tcW w:w="900" w:type="dxa"/>
            <w:tcBorders>
              <w:top w:val="single" w:sz="6" w:space="0" w:color="000000"/>
              <w:left w:val="single" w:sz="8" w:space="0" w:color="000000"/>
              <w:bottom w:val="single" w:sz="8" w:space="0" w:color="000000"/>
              <w:right w:val="single" w:sz="6" w:space="0" w:color="000000"/>
            </w:tcBorders>
            <w:vAlign w:val="center"/>
          </w:tcPr>
          <w:p w:rsidR="00195222"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195222" w:rsidRDefault="0025385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8" w:space="0" w:color="000000"/>
              <w:right w:val="single" w:sz="6" w:space="0" w:color="000000"/>
            </w:tcBorders>
            <w:vAlign w:val="center"/>
          </w:tcPr>
          <w:p w:rsidR="00195222" w:rsidRDefault="0009792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79</w:t>
            </w:r>
          </w:p>
        </w:tc>
        <w:tc>
          <w:tcPr>
            <w:tcW w:w="2070" w:type="dxa"/>
            <w:tcBorders>
              <w:top w:val="single" w:sz="6" w:space="0" w:color="000000"/>
              <w:left w:val="single" w:sz="6" w:space="0" w:color="000000"/>
              <w:bottom w:val="single" w:sz="8" w:space="0" w:color="000000"/>
              <w:right w:val="single" w:sz="6" w:space="0" w:color="000000"/>
            </w:tcBorders>
            <w:vAlign w:val="center"/>
          </w:tcPr>
          <w:p w:rsidR="00195222" w:rsidRDefault="0009792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195222" w:rsidRDefault="0009792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195222" w:rsidRDefault="00437866">
            <w:pPr>
              <w:pBdr>
                <w:top w:val="single" w:sz="6" w:space="0" w:color="FFFFFF"/>
                <w:left w:val="single" w:sz="6" w:space="0" w:color="FFFFFF"/>
                <w:bottom w:val="single" w:sz="6" w:space="0" w:color="FFFFFF"/>
                <w:right w:val="single" w:sz="6" w:space="0" w:color="FFFFFF"/>
              </w:pBdr>
              <w:spacing w:after="72"/>
              <w:jc w:val="center"/>
              <w:rPr>
                <w:sz w:val="18"/>
                <w:szCs w:val="18"/>
              </w:rPr>
            </w:pPr>
            <w:r w:rsidRPr="00437866">
              <w:rPr>
                <w:sz w:val="18"/>
                <w:szCs w:val="18"/>
              </w:rPr>
              <w:t>81</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98627A"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097927">
        <w:rPr>
          <w:color w:val="000000"/>
        </w:rPr>
        <w:t>81</w:t>
      </w:r>
      <w:r w:rsidR="00507EC5">
        <w:rPr>
          <w:color w:val="000000"/>
        </w:rPr>
        <w:t xml:space="preserve">. </w:t>
      </w:r>
    </w:p>
    <w:p w:rsidR="0098627A" w:rsidRDefault="0098627A">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F312ED">
        <w:trPr>
          <w:tblHeader/>
        </w:trPr>
        <w:tc>
          <w:tcPr>
            <w:tcW w:w="9180" w:type="dxa"/>
            <w:gridSpan w:val="5"/>
          </w:tcPr>
          <w:p w:rsidR="00CA4CD6" w:rsidRDefault="00CA4CD6" w:rsidP="009B1B34">
            <w:pPr>
              <w:keepNext/>
              <w:keepLines/>
              <w:spacing w:line="120" w:lineRule="exact"/>
              <w:rPr>
                <w:color w:val="000000"/>
              </w:rPr>
            </w:pPr>
          </w:p>
          <w:p w:rsidR="00CA4CD6" w:rsidRDefault="00CA4CD6" w:rsidP="009B1B34">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9B1B34">
            <w:pPr>
              <w:keepNext/>
              <w:keepLines/>
              <w:spacing w:line="120" w:lineRule="exact"/>
              <w:rPr>
                <w:b/>
                <w:bCs/>
                <w:color w:val="000000"/>
                <w:sz w:val="18"/>
                <w:szCs w:val="18"/>
              </w:rPr>
            </w:pPr>
          </w:p>
          <w:p w:rsidR="00CA4CD6" w:rsidRDefault="00CA4CD6" w:rsidP="009B1B3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9B1B3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9B1B34">
            <w:pPr>
              <w:keepNext/>
              <w:keepLines/>
              <w:spacing w:line="120" w:lineRule="exact"/>
              <w:rPr>
                <w:color w:val="000000"/>
                <w:sz w:val="18"/>
                <w:szCs w:val="18"/>
              </w:rPr>
            </w:pPr>
          </w:p>
          <w:p w:rsidR="00CA4CD6" w:rsidRDefault="00CA4CD6" w:rsidP="009B1B3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9B1B3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rsidP="009B1B34">
            <w:pPr>
              <w:keepNext/>
              <w:keepLines/>
              <w:spacing w:line="120" w:lineRule="exact"/>
              <w:rPr>
                <w:color w:val="000000"/>
                <w:sz w:val="18"/>
                <w:szCs w:val="18"/>
              </w:rPr>
            </w:pPr>
          </w:p>
          <w:p w:rsidR="00CA4CD6" w:rsidRDefault="00CA4CD6" w:rsidP="009B1B3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9B1B3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9B1B34">
            <w:pPr>
              <w:keepNext/>
              <w:keepLines/>
              <w:spacing w:line="120" w:lineRule="exact"/>
              <w:rPr>
                <w:color w:val="000000"/>
                <w:sz w:val="18"/>
                <w:szCs w:val="18"/>
              </w:rPr>
            </w:pPr>
          </w:p>
          <w:p w:rsidR="00CA4CD6" w:rsidRDefault="00CA4CD6" w:rsidP="009B1B3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9B1B34">
            <w:pPr>
              <w:keepNext/>
              <w:keepLines/>
              <w:spacing w:line="120" w:lineRule="exact"/>
              <w:rPr>
                <w:color w:val="000000"/>
                <w:sz w:val="18"/>
                <w:szCs w:val="18"/>
              </w:rPr>
            </w:pPr>
          </w:p>
          <w:p w:rsidR="00CA4CD6" w:rsidRDefault="00CA4CD6" w:rsidP="009B1B3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9B1B3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F312ED" w:rsidTr="00F312ED">
        <w:tc>
          <w:tcPr>
            <w:tcW w:w="2700" w:type="dxa"/>
            <w:vAlign w:val="center"/>
          </w:tcPr>
          <w:p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Initial notification</w:t>
            </w:r>
          </w:p>
        </w:tc>
        <w:tc>
          <w:tcPr>
            <w:tcW w:w="126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26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r>
      <w:tr w:rsidR="00F312ED" w:rsidTr="00F312ED">
        <w:tc>
          <w:tcPr>
            <w:tcW w:w="2700" w:type="dxa"/>
            <w:vAlign w:val="center"/>
          </w:tcPr>
          <w:p w:rsidR="00F312ED" w:rsidDel="00F312ED" w:rsidRDefault="00F312ED"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Application for construction</w:t>
            </w:r>
          </w:p>
        </w:tc>
        <w:tc>
          <w:tcPr>
            <w:tcW w:w="1260" w:type="dxa"/>
            <w:vAlign w:val="center"/>
          </w:tcPr>
          <w:p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c>
          <w:tcPr>
            <w:tcW w:w="1260" w:type="dxa"/>
            <w:vAlign w:val="center"/>
          </w:tcPr>
          <w:p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r>
      <w:tr w:rsidR="00F312ED" w:rsidTr="00F312ED">
        <w:tc>
          <w:tcPr>
            <w:tcW w:w="2700" w:type="dxa"/>
          </w:tcPr>
          <w:p w:rsidR="00F312ED" w:rsidDel="00F312ED" w:rsidRDefault="00F312ED"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Notification of intent to conduct performance test</w:t>
            </w:r>
          </w:p>
        </w:tc>
        <w:tc>
          <w:tcPr>
            <w:tcW w:w="1260" w:type="dxa"/>
            <w:vAlign w:val="center"/>
          </w:tcPr>
          <w:p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c>
          <w:tcPr>
            <w:tcW w:w="1260" w:type="dxa"/>
            <w:vAlign w:val="center"/>
          </w:tcPr>
          <w:p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r>
      <w:tr w:rsidR="00F312ED" w:rsidTr="00F312ED">
        <w:tc>
          <w:tcPr>
            <w:tcW w:w="2700" w:type="dxa"/>
          </w:tcPr>
          <w:p w:rsidR="00F312ED" w:rsidDel="00F312ED" w:rsidRDefault="00F312ED"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Notification of compliance status</w:t>
            </w:r>
          </w:p>
        </w:tc>
        <w:tc>
          <w:tcPr>
            <w:tcW w:w="1260" w:type="dxa"/>
            <w:vAlign w:val="center"/>
          </w:tcPr>
          <w:p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c>
          <w:tcPr>
            <w:tcW w:w="1260" w:type="dxa"/>
            <w:vAlign w:val="center"/>
          </w:tcPr>
          <w:p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r>
      <w:tr w:rsidR="00F312ED" w:rsidTr="00F312ED">
        <w:tc>
          <w:tcPr>
            <w:tcW w:w="2700" w:type="dxa"/>
          </w:tcPr>
          <w:p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First compliance report</w:t>
            </w:r>
          </w:p>
        </w:tc>
        <w:tc>
          <w:tcPr>
            <w:tcW w:w="126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c>
          <w:tcPr>
            <w:tcW w:w="126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r>
      <w:tr w:rsidR="00F312ED" w:rsidTr="00F312ED">
        <w:tc>
          <w:tcPr>
            <w:tcW w:w="2700" w:type="dxa"/>
          </w:tcPr>
          <w:p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Semiannual compliance report</w:t>
            </w:r>
          </w:p>
        </w:tc>
        <w:tc>
          <w:tcPr>
            <w:tcW w:w="126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79</w:t>
            </w:r>
          </w:p>
        </w:tc>
        <w:tc>
          <w:tcPr>
            <w:tcW w:w="126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c>
          <w:tcPr>
            <w:tcW w:w="189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158</w:t>
            </w:r>
          </w:p>
        </w:tc>
      </w:tr>
      <w:tr w:rsidR="00F312ED" w:rsidTr="00F312ED">
        <w:tc>
          <w:tcPr>
            <w:tcW w:w="2700" w:type="dxa"/>
          </w:tcPr>
          <w:p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Subsequent performance test report</w:t>
            </w:r>
          </w:p>
        </w:tc>
        <w:tc>
          <w:tcPr>
            <w:tcW w:w="126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26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r>
      <w:tr w:rsidR="00F312ED" w:rsidTr="00F312ED">
        <w:tc>
          <w:tcPr>
            <w:tcW w:w="2700" w:type="dxa"/>
          </w:tcPr>
          <w:p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Startup, shutdown, malfunction report</w:t>
            </w:r>
          </w:p>
        </w:tc>
        <w:tc>
          <w:tcPr>
            <w:tcW w:w="126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c>
          <w:tcPr>
            <w:tcW w:w="126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10</w:t>
            </w:r>
          </w:p>
        </w:tc>
        <w:tc>
          <w:tcPr>
            <w:tcW w:w="189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20</w:t>
            </w:r>
          </w:p>
        </w:tc>
      </w:tr>
      <w:tr w:rsidR="00F312ED" w:rsidTr="00F312ED">
        <w:tc>
          <w:tcPr>
            <w:tcW w:w="2700" w:type="dxa"/>
          </w:tcPr>
          <w:p w:rsidR="0098627A" w:rsidRDefault="0098627A"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260" w:type="dxa"/>
            <w:vAlign w:val="center"/>
          </w:tcPr>
          <w:p w:rsidR="00195222" w:rsidRDefault="00195222"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195222" w:rsidRDefault="00195222"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vAlign w:val="center"/>
          </w:tcPr>
          <w:p w:rsidR="00195222" w:rsidRDefault="00437866" w:rsidP="009B1B34">
            <w:pPr>
              <w:keepNext/>
              <w:keepLines/>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sidRPr="00437866">
              <w:rPr>
                <w:sz w:val="18"/>
                <w:szCs w:val="18"/>
              </w:rPr>
              <w:t>186</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8627A"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F312ED">
        <w:rPr>
          <w:color w:val="000000"/>
        </w:rPr>
        <w:t xml:space="preserve"> 186.</w:t>
      </w:r>
      <w:r>
        <w:rPr>
          <w:color w:val="000000"/>
        </w:rPr>
        <w:t xml:space="preserve"> </w:t>
      </w:r>
    </w:p>
    <w:p w:rsidR="009B1B34" w:rsidRDefault="009B1B34">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9B1B3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460988">
        <w:rPr>
          <w:color w:val="000000"/>
        </w:rPr>
        <w:t>$10,086,076</w:t>
      </w:r>
      <w:r w:rsidR="006E65CC">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w:t>
      </w:r>
      <w:r w:rsidR="00F312ED">
        <w:rPr>
          <w:color w:val="000000"/>
        </w:rPr>
        <w:t xml:space="preserve">: </w:t>
      </w:r>
      <w:r>
        <w:rPr>
          <w:color w:val="000000"/>
        </w:rPr>
        <w:t>Annual Respondent Burden and Cost</w:t>
      </w:r>
      <w:r w:rsidR="00F312ED">
        <w:rPr>
          <w:color w:val="000000"/>
        </w:rPr>
        <w:t xml:space="preserve"> </w:t>
      </w:r>
      <w:r w:rsidR="00F312ED">
        <w:t>- NESHAP for Hydrochloric Acid Production (40 CFR Part 63, Subpart NNNNN)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460988">
        <w:rPr>
          <w:color w:val="000000"/>
        </w:rPr>
        <w:t>105,03</w:t>
      </w:r>
      <w:r w:rsidR="00845301">
        <w:rPr>
          <w:color w:val="000000"/>
        </w:rPr>
        <w:t>3</w:t>
      </w:r>
      <w:r w:rsidR="006E65CC">
        <w:rPr>
          <w:color w:val="000000"/>
        </w:rPr>
        <w:t>.</w:t>
      </w:r>
      <w:r w:rsidR="00507EC5">
        <w:rPr>
          <w:color w:val="000000"/>
        </w:rPr>
        <w:t xml:space="preserve">  </w:t>
      </w:r>
      <w:r>
        <w:rPr>
          <w:color w:val="000000"/>
        </w:rPr>
        <w:t xml:space="preserve">Details regarding these estimates may be found </w:t>
      </w:r>
      <w:r w:rsidR="00CB2710">
        <w:rPr>
          <w:color w:val="000000"/>
        </w:rPr>
        <w:t xml:space="preserve">below </w:t>
      </w:r>
      <w:r>
        <w:rPr>
          <w:color w:val="000000"/>
        </w:rPr>
        <w:t xml:space="preserve">in </w:t>
      </w:r>
      <w:r w:rsidR="00F312ED">
        <w:rPr>
          <w:color w:val="000000"/>
        </w:rPr>
        <w:t xml:space="preserve">Table 1: Annual Respondent Burden and Cost </w:t>
      </w:r>
      <w:r w:rsidR="00F312ED">
        <w:t>- NESHAP for Hydrochloric Acid Production (40 CFR Part 63, Subpart NNNNN)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460988">
        <w:rPr>
          <w:color w:val="000000"/>
        </w:rPr>
        <w:t>565</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312ED">
        <w:rPr>
          <w:color w:val="000000"/>
        </w:rPr>
        <w:t>$</w:t>
      </w:r>
      <w:r w:rsidR="009B1B34">
        <w:rPr>
          <w:color w:val="000000"/>
        </w:rPr>
        <w:t>703,561</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lastRenderedPageBreak/>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460988">
        <w:rPr>
          <w:color w:val="000000"/>
        </w:rPr>
        <w:t>386</w:t>
      </w:r>
      <w:r>
        <w:rPr>
          <w:color w:val="000000"/>
        </w:rPr>
        <w:t xml:space="preserve"> labor hours at a cost of </w:t>
      </w:r>
      <w:r w:rsidR="004E5FFC">
        <w:rPr>
          <w:color w:val="000000"/>
        </w:rPr>
        <w:t>$17,413</w:t>
      </w:r>
      <w:r w:rsidR="00144F35">
        <w:rPr>
          <w:color w:val="000000"/>
        </w:rPr>
        <w:t xml:space="preserve">.  See </w:t>
      </w:r>
      <w:r w:rsidR="00CB2710">
        <w:rPr>
          <w:color w:val="000000"/>
        </w:rPr>
        <w:t xml:space="preserve">below </w:t>
      </w:r>
      <w:r w:rsidR="00144F35">
        <w:rPr>
          <w:color w:val="000000"/>
        </w:rPr>
        <w:t xml:space="preserve">Table 2: Average </w:t>
      </w:r>
      <w:r w:rsidRPr="00A007F5">
        <w:rPr>
          <w:color w:val="000000"/>
        </w:rPr>
        <w:t xml:space="preserve">Annual </w:t>
      </w:r>
      <w:r w:rsidR="00144F35">
        <w:rPr>
          <w:color w:val="000000"/>
        </w:rPr>
        <w:t xml:space="preserve">EPA </w:t>
      </w:r>
      <w:r w:rsidRPr="00A007F5">
        <w:rPr>
          <w:color w:val="000000"/>
        </w:rPr>
        <w:t>Burden and Cost</w:t>
      </w:r>
      <w:r w:rsidR="00F312ED">
        <w:rPr>
          <w:color w:val="000000"/>
        </w:rPr>
        <w:t xml:space="preserve"> </w:t>
      </w:r>
      <w:r w:rsidR="00F312ED">
        <w:t>- NESHAP for Hydrochloric Acid Production (40 CFR Part 63, Subpart NNNNN) (Renewal).</w:t>
      </w:r>
      <w:r w:rsidR="00F312ED">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4E5FFC" w:rsidRDefault="004E5FFC" w:rsidP="004E5FFC">
      <w:pPr>
        <w:pStyle w:val="BodyTextIndent"/>
      </w:pPr>
      <w:r w:rsidRPr="00832325">
        <w:t>There is an</w:t>
      </w:r>
      <w:r w:rsidR="00A65210">
        <w:t xml:space="preserve"> increase in burden hours to </w:t>
      </w:r>
      <w:r w:rsidR="009B1B34">
        <w:t xml:space="preserve">the respondent </w:t>
      </w:r>
      <w:r w:rsidRPr="00832325">
        <w:t xml:space="preserve">as compared to the most </w:t>
      </w:r>
      <w:r w:rsidR="00CB2710">
        <w:t xml:space="preserve">    </w:t>
      </w:r>
      <w:r w:rsidRPr="00832325">
        <w:t xml:space="preserve">recently approved ICR.  The increase is due to industry growth in the past three years, </w:t>
      </w:r>
      <w:r w:rsidR="00CB2710">
        <w:t xml:space="preserve">    </w:t>
      </w:r>
      <w:r w:rsidRPr="00832325">
        <w:t>resulting in additional number of respondents that are subject to this standard</w:t>
      </w:r>
      <w:r w:rsidR="00195222">
        <w:t xml:space="preserve">, and corrections </w:t>
      </w:r>
      <w:r w:rsidR="00CB2710">
        <w:t xml:space="preserve">  </w:t>
      </w:r>
      <w:r w:rsidR="00195222">
        <w:t>to mathematical errors found in the previous ICR</w:t>
      </w:r>
      <w:r w:rsidRPr="00832325">
        <w:t xml:space="preserve">.  </w:t>
      </w:r>
      <w:r>
        <w:t xml:space="preserve">The growth in respondent universe also results in an increase in the total O&amp;M costs. </w:t>
      </w:r>
      <w:r w:rsidR="00A65210">
        <w:t xml:space="preserve"> </w:t>
      </w:r>
    </w:p>
    <w:p w:rsidR="00A65210" w:rsidRDefault="00A65210" w:rsidP="004E5FFC">
      <w:pPr>
        <w:pStyle w:val="BodyTextIndent"/>
      </w:pPr>
    </w:p>
    <w:p w:rsidR="004E5FFC" w:rsidRDefault="004E5FFC" w:rsidP="004E5FFC">
      <w:pPr>
        <w:pStyle w:val="BodyTextIndent"/>
      </w:pPr>
      <w:r w:rsidRPr="00832325">
        <w:t xml:space="preserve">In addition, there is an increase in burden costs to both the respondent and the Agency due to an adjustment in labor rates.  This ICR uses the most recent labor rates from the Bureau of Labor Statistics in calculating the labor costs. </w:t>
      </w:r>
    </w:p>
    <w:p w:rsidR="009B1B34" w:rsidRDefault="009B1B34" w:rsidP="004E5FFC">
      <w:pPr>
        <w:pStyle w:val="BodyTextIndent"/>
      </w:pPr>
    </w:p>
    <w:p w:rsidR="009B1B34" w:rsidRPr="006414AE" w:rsidRDefault="009B1B34" w:rsidP="004E5FFC">
      <w:pPr>
        <w:pStyle w:val="BodyTextIndent"/>
      </w:pPr>
      <w:r>
        <w:t xml:space="preserve">There is a decrease in capital/startup costs in this ICR as compared to the most recently approved ICR. The previous ICR includes startup costs </w:t>
      </w:r>
      <w:r w:rsidR="008519C3">
        <w:t xml:space="preserve">for all existing and new respondents. This ICR was updated to correctly reflect capital/startup costs associated with new sources only.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851DEB">
        <w:rPr>
          <w:color w:val="000000"/>
        </w:rPr>
        <w:t xml:space="preserve"> 565</w:t>
      </w:r>
      <w:r>
        <w:rPr>
          <w:color w:val="000000"/>
        </w:rPr>
        <w:t xml:space="preserve"> hours per response.  </w:t>
      </w:r>
      <w:r w:rsidR="00CB2710">
        <w:rPr>
          <w:color w:val="000000"/>
        </w:rPr>
        <w:t>“</w:t>
      </w:r>
      <w:r>
        <w:rPr>
          <w:color w:val="000000"/>
        </w:rPr>
        <w:t>Burden</w:t>
      </w:r>
      <w:r w:rsidR="00CB2710">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432849">
        <w:t>EPA-HQ-OECA-2011-0275</w:t>
      </w:r>
      <w:r w:rsidR="00437866" w:rsidRPr="00437866">
        <w:t>.</w:t>
      </w:r>
      <w:r w:rsidR="00354C15">
        <w:rPr>
          <w:color w:val="FF0000"/>
        </w:rPr>
        <w:t xml:space="preserve">  </w:t>
      </w:r>
      <w:r w:rsidR="00354C15" w:rsidRPr="00354C15">
        <w:t xml:space="preserve">An electronic version of the public docket is available at </w:t>
      </w:r>
      <w:r w:rsidR="00354C15" w:rsidRPr="00CB2710">
        <w:rPr>
          <w:u w:val="single"/>
        </w:rPr>
        <w:t>http://www.regulations.gov/</w:t>
      </w:r>
      <w:r w:rsidR="00354C15">
        <w:t xml:space="preserve"> which may be used </w:t>
      </w:r>
      <w:r w:rsidR="00354C15" w:rsidRPr="00354C15">
        <w:t xml:space="preserve">to obtain a copy of the draft collection of information, submit or view public comments, access the index listing of the </w:t>
      </w:r>
      <w:r w:rsidR="00354C15" w:rsidRPr="00354C15">
        <w:lastRenderedPageBreak/>
        <w:t>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CB2710">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432849">
        <w:t xml:space="preserve">EPA-HQ-OECA-2011-0275 </w:t>
      </w:r>
      <w:r w:rsidR="00CA4CD6">
        <w:t>and OMB Control Number</w:t>
      </w:r>
      <w:r w:rsidR="00432849">
        <w:t xml:space="preserve"> 2060-0529</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2A1F18">
          <w:headerReference w:type="default" r:id="rId8"/>
          <w:type w:val="continuous"/>
          <w:pgSz w:w="12240" w:h="15840"/>
          <w:pgMar w:top="1350" w:right="1440" w:bottom="1440" w:left="1440" w:header="1350" w:footer="1440" w:gutter="0"/>
          <w:cols w:space="720"/>
          <w:noEndnote/>
          <w:titlePg/>
          <w:docGrid w:linePitch="326"/>
        </w:sectPr>
      </w:pPr>
    </w:p>
    <w:p w:rsidR="00956048" w:rsidRDefault="00144F35" w:rsidP="008519C3">
      <w:pPr>
        <w:jc w:val="center"/>
        <w:rPr>
          <w:b/>
        </w:rPr>
      </w:pPr>
      <w:r w:rsidRPr="00C4183F">
        <w:rPr>
          <w:b/>
          <w:bCs/>
          <w:color w:val="000000"/>
        </w:rPr>
        <w:lastRenderedPageBreak/>
        <w:t>Table 1: Annual Respondent Burden and Cost</w:t>
      </w:r>
      <w:r>
        <w:rPr>
          <w:b/>
          <w:bCs/>
          <w:color w:val="000000"/>
        </w:rPr>
        <w:t xml:space="preserve"> – </w:t>
      </w:r>
      <w:r w:rsidR="007A772C">
        <w:rPr>
          <w:b/>
        </w:rPr>
        <w:t xml:space="preserve">NESHAP for Hydrochloric Acid Production </w:t>
      </w:r>
      <w:r w:rsidR="007A772C" w:rsidRPr="00844D0F">
        <w:rPr>
          <w:b/>
        </w:rPr>
        <w:t xml:space="preserve">(40 CFR </w:t>
      </w:r>
      <w:r w:rsidR="007A772C">
        <w:rPr>
          <w:b/>
        </w:rPr>
        <w:t>P</w:t>
      </w:r>
      <w:r w:rsidR="007A772C" w:rsidRPr="00844D0F">
        <w:rPr>
          <w:b/>
        </w:rPr>
        <w:t xml:space="preserve">art 63, </w:t>
      </w:r>
      <w:r w:rsidR="007A772C">
        <w:rPr>
          <w:b/>
        </w:rPr>
        <w:t>S</w:t>
      </w:r>
      <w:r w:rsidR="007A772C" w:rsidRPr="00844D0F">
        <w:rPr>
          <w:b/>
        </w:rPr>
        <w:t>ubpart</w:t>
      </w:r>
    </w:p>
    <w:p w:rsidR="00144F35" w:rsidRDefault="00956048" w:rsidP="00956048">
      <w:pPr>
        <w:rPr>
          <w:b/>
          <w:bCs/>
          <w:color w:val="000000"/>
        </w:rPr>
      </w:pPr>
      <w:r>
        <w:rPr>
          <w:b/>
        </w:rPr>
        <w:t xml:space="preserve">       </w:t>
      </w:r>
      <w:r w:rsidR="007A772C" w:rsidRPr="00844D0F">
        <w:rPr>
          <w:b/>
        </w:rPr>
        <w:t xml:space="preserve"> NNNNN) (Renewal)</w:t>
      </w:r>
    </w:p>
    <w:tbl>
      <w:tblPr>
        <w:tblW w:w="12640" w:type="dxa"/>
        <w:jc w:val="center"/>
        <w:tblCellMar>
          <w:left w:w="0" w:type="dxa"/>
          <w:right w:w="0" w:type="dxa"/>
        </w:tblCellMar>
        <w:tblLook w:val="04A0"/>
      </w:tblPr>
      <w:tblGrid>
        <w:gridCol w:w="3665"/>
        <w:gridCol w:w="990"/>
        <w:gridCol w:w="1125"/>
        <w:gridCol w:w="1000"/>
        <w:gridCol w:w="1140"/>
        <w:gridCol w:w="965"/>
        <w:gridCol w:w="1260"/>
        <w:gridCol w:w="1195"/>
        <w:gridCol w:w="1300"/>
      </w:tblGrid>
      <w:tr w:rsidR="002A1F18" w:rsidTr="00956048">
        <w:trPr>
          <w:trHeight w:val="1530"/>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A1F18" w:rsidRDefault="002A1F18">
            <w:pPr>
              <w:jc w:val="center"/>
              <w:rPr>
                <w:b/>
                <w:bCs/>
                <w:color w:val="000000"/>
                <w:sz w:val="20"/>
                <w:szCs w:val="20"/>
              </w:rPr>
            </w:pPr>
            <w:r>
              <w:rPr>
                <w:b/>
                <w:bCs/>
                <w:color w:val="000000"/>
                <w:sz w:val="20"/>
                <w:szCs w:val="20"/>
              </w:rPr>
              <w:t>Burden item</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56048" w:rsidRDefault="002A1F18">
            <w:pPr>
              <w:jc w:val="center"/>
              <w:rPr>
                <w:b/>
                <w:bCs/>
                <w:color w:val="000000"/>
                <w:sz w:val="20"/>
                <w:szCs w:val="20"/>
              </w:rPr>
            </w:pPr>
            <w:r>
              <w:rPr>
                <w:b/>
                <w:bCs/>
                <w:color w:val="000000"/>
                <w:sz w:val="20"/>
                <w:szCs w:val="20"/>
              </w:rPr>
              <w:t xml:space="preserve">(A) </w:t>
            </w:r>
          </w:p>
          <w:p w:rsidR="002A1F18" w:rsidRDefault="002A1F18">
            <w:pPr>
              <w:jc w:val="center"/>
              <w:rPr>
                <w:b/>
                <w:bCs/>
                <w:color w:val="000000"/>
                <w:sz w:val="20"/>
                <w:szCs w:val="20"/>
              </w:rPr>
            </w:pPr>
            <w:r>
              <w:rPr>
                <w:b/>
                <w:bCs/>
                <w:color w:val="000000"/>
                <w:sz w:val="20"/>
                <w:szCs w:val="20"/>
              </w:rPr>
              <w:t>Person-hours per occurrence</w:t>
            </w:r>
          </w:p>
        </w:tc>
        <w:tc>
          <w:tcPr>
            <w:tcW w:w="11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544D6" w:rsidRDefault="002A1F18">
            <w:pPr>
              <w:jc w:val="center"/>
              <w:rPr>
                <w:b/>
                <w:bCs/>
                <w:color w:val="000000"/>
                <w:sz w:val="20"/>
                <w:szCs w:val="20"/>
              </w:rPr>
            </w:pPr>
            <w:r>
              <w:rPr>
                <w:b/>
                <w:bCs/>
                <w:color w:val="000000"/>
                <w:sz w:val="20"/>
                <w:szCs w:val="20"/>
              </w:rPr>
              <w:t xml:space="preserve">(B) </w:t>
            </w:r>
          </w:p>
          <w:p w:rsidR="002A1F18" w:rsidRDefault="002A1F18">
            <w:pPr>
              <w:jc w:val="center"/>
              <w:rPr>
                <w:b/>
                <w:bCs/>
                <w:color w:val="000000"/>
                <w:sz w:val="20"/>
                <w:szCs w:val="20"/>
              </w:rPr>
            </w:pPr>
            <w:r>
              <w:rPr>
                <w:b/>
                <w:bCs/>
                <w:color w:val="000000"/>
                <w:sz w:val="20"/>
                <w:szCs w:val="20"/>
              </w:rPr>
              <w:t>No. of occurrences per respondent per year</w:t>
            </w:r>
          </w:p>
        </w:tc>
        <w:tc>
          <w:tcPr>
            <w:tcW w:w="10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2A1F18" w:rsidRDefault="002A1F18">
            <w:pPr>
              <w:jc w:val="center"/>
              <w:rPr>
                <w:b/>
                <w:bCs/>
                <w:color w:val="000000"/>
                <w:sz w:val="20"/>
                <w:szCs w:val="20"/>
              </w:rPr>
            </w:pPr>
            <w:r>
              <w:rPr>
                <w:b/>
                <w:bCs/>
                <w:color w:val="000000"/>
                <w:sz w:val="20"/>
                <w:szCs w:val="20"/>
              </w:rPr>
              <w:t>(C) Person-hours per respondent per year (C=AxB)</w:t>
            </w:r>
          </w:p>
        </w:tc>
        <w:tc>
          <w:tcPr>
            <w:tcW w:w="11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A1F18" w:rsidRDefault="002A1F18">
            <w:pPr>
              <w:jc w:val="center"/>
              <w:rPr>
                <w:b/>
                <w:bCs/>
                <w:color w:val="000000"/>
                <w:sz w:val="20"/>
                <w:szCs w:val="20"/>
              </w:rPr>
            </w:pPr>
            <w:r>
              <w:rPr>
                <w:b/>
                <w:bCs/>
                <w:color w:val="000000"/>
                <w:sz w:val="20"/>
                <w:szCs w:val="20"/>
              </w:rPr>
              <w:t xml:space="preserve">(D) Respondents per year </w:t>
            </w:r>
            <w:r>
              <w:rPr>
                <w:b/>
                <w:bCs/>
                <w:color w:val="000000"/>
                <w:sz w:val="20"/>
                <w:szCs w:val="20"/>
                <w:vertAlign w:val="superscript"/>
              </w:rPr>
              <w:t>a</w:t>
            </w:r>
          </w:p>
        </w:tc>
        <w:tc>
          <w:tcPr>
            <w:tcW w:w="96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A1F18" w:rsidRDefault="002A1F18">
            <w:pPr>
              <w:jc w:val="center"/>
              <w:rPr>
                <w:b/>
                <w:bCs/>
                <w:color w:val="000000"/>
                <w:sz w:val="20"/>
                <w:szCs w:val="20"/>
              </w:rPr>
            </w:pPr>
            <w:r>
              <w:rPr>
                <w:b/>
                <w:bCs/>
                <w:color w:val="000000"/>
                <w:sz w:val="20"/>
                <w:szCs w:val="20"/>
              </w:rPr>
              <w:t>(E) Technical Person-hours per year (E=CxD)</w:t>
            </w:r>
          </w:p>
        </w:tc>
        <w:tc>
          <w:tcPr>
            <w:tcW w:w="12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A1F18" w:rsidRDefault="002A1F18">
            <w:pPr>
              <w:jc w:val="center"/>
              <w:rPr>
                <w:b/>
                <w:bCs/>
                <w:color w:val="000000"/>
                <w:sz w:val="20"/>
                <w:szCs w:val="20"/>
              </w:rPr>
            </w:pPr>
            <w:r>
              <w:rPr>
                <w:b/>
                <w:bCs/>
                <w:color w:val="000000"/>
                <w:sz w:val="20"/>
                <w:szCs w:val="20"/>
              </w:rPr>
              <w:t>(F) Management person-hours per year (Ex0.05)</w:t>
            </w:r>
          </w:p>
        </w:tc>
        <w:tc>
          <w:tcPr>
            <w:tcW w:w="119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544D6" w:rsidRDefault="002A1F18">
            <w:pPr>
              <w:jc w:val="center"/>
              <w:rPr>
                <w:b/>
                <w:bCs/>
                <w:color w:val="000000"/>
                <w:sz w:val="20"/>
                <w:szCs w:val="20"/>
              </w:rPr>
            </w:pPr>
            <w:r>
              <w:rPr>
                <w:b/>
                <w:bCs/>
                <w:color w:val="000000"/>
                <w:sz w:val="20"/>
                <w:szCs w:val="20"/>
              </w:rPr>
              <w:t xml:space="preserve">(G) </w:t>
            </w:r>
          </w:p>
          <w:p w:rsidR="002A1F18" w:rsidRDefault="002A1F18">
            <w:pPr>
              <w:jc w:val="center"/>
              <w:rPr>
                <w:b/>
                <w:bCs/>
                <w:color w:val="000000"/>
                <w:sz w:val="20"/>
                <w:szCs w:val="20"/>
              </w:rPr>
            </w:pPr>
            <w:r>
              <w:rPr>
                <w:b/>
                <w:bCs/>
                <w:color w:val="000000"/>
                <w:sz w:val="20"/>
                <w:szCs w:val="20"/>
              </w:rPr>
              <w:t>Clerical person-hours per year (Ex0.1)</w:t>
            </w:r>
          </w:p>
        </w:tc>
        <w:tc>
          <w:tcPr>
            <w:tcW w:w="13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544D6" w:rsidRDefault="002A1F18">
            <w:pPr>
              <w:jc w:val="center"/>
              <w:rPr>
                <w:b/>
                <w:bCs/>
                <w:color w:val="000000"/>
                <w:sz w:val="20"/>
                <w:szCs w:val="20"/>
              </w:rPr>
            </w:pPr>
            <w:r>
              <w:rPr>
                <w:b/>
                <w:bCs/>
                <w:color w:val="000000"/>
                <w:sz w:val="20"/>
                <w:szCs w:val="20"/>
              </w:rPr>
              <w:t xml:space="preserve">(H) </w:t>
            </w:r>
          </w:p>
          <w:p w:rsidR="002A1F18" w:rsidRDefault="002A1F18">
            <w:pPr>
              <w:jc w:val="center"/>
              <w:rPr>
                <w:b/>
                <w:bCs/>
                <w:color w:val="000000"/>
                <w:sz w:val="20"/>
                <w:szCs w:val="20"/>
              </w:rPr>
            </w:pPr>
            <w:r>
              <w:rPr>
                <w:b/>
                <w:bCs/>
                <w:color w:val="000000"/>
                <w:sz w:val="20"/>
                <w:szCs w:val="20"/>
              </w:rPr>
              <w:t xml:space="preserve">Cost, $ </w:t>
            </w:r>
            <w:r>
              <w:rPr>
                <w:b/>
                <w:bCs/>
                <w:color w:val="000000"/>
                <w:sz w:val="20"/>
                <w:szCs w:val="20"/>
                <w:vertAlign w:val="superscript"/>
              </w:rPr>
              <w:t>b</w:t>
            </w:r>
          </w:p>
        </w:tc>
      </w:tr>
      <w:tr w:rsidR="002A1F18" w:rsidTr="00956048">
        <w:trPr>
          <w:trHeight w:val="236"/>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1.  Applications</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N/A</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right"/>
              <w:rPr>
                <w:color w:val="000000"/>
                <w:sz w:val="20"/>
                <w:szCs w:val="20"/>
              </w:rPr>
            </w:pPr>
            <w:r>
              <w:rPr>
                <w:color w:val="000000"/>
                <w:sz w:val="20"/>
                <w:szCs w:val="20"/>
              </w:rPr>
              <w:t> </w:t>
            </w:r>
          </w:p>
        </w:tc>
      </w:tr>
      <w:tr w:rsidR="002A1F18" w:rsidTr="00956048">
        <w:trPr>
          <w:trHeight w:val="236"/>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2.  Survey and Studies</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N/A</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right"/>
              <w:rPr>
                <w:color w:val="000000"/>
                <w:sz w:val="20"/>
                <w:szCs w:val="20"/>
              </w:rPr>
            </w:pPr>
            <w:r>
              <w:rPr>
                <w:color w:val="000000"/>
                <w:sz w:val="20"/>
                <w:szCs w:val="20"/>
              </w:rPr>
              <w:t> </w:t>
            </w:r>
          </w:p>
        </w:tc>
      </w:tr>
      <w:tr w:rsidR="002A1F18" w:rsidTr="00956048">
        <w:trPr>
          <w:trHeight w:val="254"/>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3.  Reporting Requirements</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right"/>
              <w:rPr>
                <w:color w:val="000000"/>
                <w:sz w:val="20"/>
                <w:szCs w:val="20"/>
              </w:rPr>
            </w:pPr>
            <w:r>
              <w:rPr>
                <w:color w:val="000000"/>
                <w:sz w:val="20"/>
                <w:szCs w:val="20"/>
              </w:rPr>
              <w:t> </w:t>
            </w:r>
          </w:p>
        </w:tc>
      </w:tr>
      <w:tr w:rsidR="002A1F18" w:rsidTr="00956048">
        <w:trPr>
          <w:trHeight w:val="326"/>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A.  Read instructions </w:t>
            </w:r>
            <w:r>
              <w:rPr>
                <w:color w:val="000000"/>
                <w:vertAlign w:val="superscript"/>
              </w:rPr>
              <w:t>c</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0.4</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0.8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$883.46</w:t>
            </w:r>
          </w:p>
        </w:tc>
      </w:tr>
      <w:tr w:rsidR="002A1F18" w:rsidTr="00956048">
        <w:trPr>
          <w:trHeight w:val="263"/>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B.  Gather information </w:t>
            </w:r>
            <w:r>
              <w:rPr>
                <w:color w:val="000000"/>
                <w:vertAlign w:val="superscript"/>
              </w:rPr>
              <w:t>c</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0.4</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0.8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$883.46</w:t>
            </w:r>
          </w:p>
        </w:tc>
      </w:tr>
      <w:tr w:rsidR="002A1F18" w:rsidTr="00956048">
        <w:trPr>
          <w:trHeight w:val="236"/>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C.  Write reports</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 </w:t>
            </w:r>
          </w:p>
        </w:tc>
      </w:tr>
      <w:tr w:rsidR="002A1F18" w:rsidTr="00956048">
        <w:trPr>
          <w:trHeight w:val="245"/>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Initial notification </w:t>
            </w:r>
            <w:r>
              <w:rPr>
                <w:color w:val="000000"/>
                <w:vertAlign w:val="superscript"/>
              </w:rPr>
              <w:t>c</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0</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0</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0</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934A35">
            <w:pPr>
              <w:jc w:val="right"/>
              <w:rPr>
                <w:color w:val="000000"/>
                <w:sz w:val="20"/>
                <w:szCs w:val="20"/>
              </w:rPr>
            </w:pPr>
            <w:r>
              <w:rPr>
                <w:color w:val="000000"/>
                <w:sz w:val="20"/>
                <w:szCs w:val="20"/>
              </w:rPr>
              <w:t>$0</w:t>
            </w:r>
          </w:p>
        </w:tc>
      </w:tr>
      <w:tr w:rsidR="002A1F18" w:rsidTr="00956048">
        <w:trPr>
          <w:trHeight w:val="317"/>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Application for construction </w:t>
            </w:r>
            <w:r>
              <w:rPr>
                <w:color w:val="000000"/>
                <w:vertAlign w:val="superscript"/>
              </w:rPr>
              <w:t>c</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0.2</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0.4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$441.73</w:t>
            </w:r>
          </w:p>
        </w:tc>
      </w:tr>
      <w:tr w:rsidR="002A1F18" w:rsidTr="00956048">
        <w:trPr>
          <w:trHeight w:val="510"/>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Notification of intent to conduct               performance test </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0.2</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0.4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$441.73</w:t>
            </w:r>
          </w:p>
        </w:tc>
      </w:tr>
      <w:tr w:rsidR="002A1F18" w:rsidTr="00956048">
        <w:trPr>
          <w:trHeight w:val="254"/>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Notification of compliance status </w:t>
            </w:r>
            <w:r>
              <w:rPr>
                <w:color w:val="000000"/>
                <w:vertAlign w:val="superscript"/>
              </w:rPr>
              <w:t>c</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19.5</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19.5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39</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1.95</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3.9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$4,306.87</w:t>
            </w:r>
          </w:p>
        </w:tc>
      </w:tr>
      <w:tr w:rsidR="002A1F18" w:rsidTr="00956048">
        <w:trPr>
          <w:trHeight w:val="227"/>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First compliance report </w:t>
            </w:r>
            <w:r>
              <w:rPr>
                <w:color w:val="000000"/>
                <w:vertAlign w:val="superscript"/>
              </w:rPr>
              <w:t>c, d</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8.5</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17</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0.85</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$1,877.35</w:t>
            </w:r>
          </w:p>
        </w:tc>
      </w:tr>
      <w:tr w:rsidR="002A1F18" w:rsidTr="00956048">
        <w:trPr>
          <w:trHeight w:val="281"/>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Semiannual compliance report </w:t>
            </w:r>
            <w:r>
              <w:rPr>
                <w:color w:val="000000"/>
                <w:vertAlign w:val="superscript"/>
              </w:rPr>
              <w:t>e</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4.5</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79</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711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35.55</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71.1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$78,517.51</w:t>
            </w:r>
          </w:p>
        </w:tc>
      </w:tr>
      <w:tr w:rsidR="002A1F18" w:rsidTr="00956048">
        <w:trPr>
          <w:trHeight w:val="254"/>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Subsequent performance test reports </w:t>
            </w:r>
            <w:r>
              <w:rPr>
                <w:color w:val="000000"/>
                <w:vertAlign w:val="superscript"/>
              </w:rPr>
              <w:t>f</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0</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0</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0</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934A35">
            <w:pPr>
              <w:jc w:val="right"/>
              <w:rPr>
                <w:color w:val="000000"/>
                <w:sz w:val="20"/>
                <w:szCs w:val="20"/>
              </w:rPr>
            </w:pPr>
            <w:r>
              <w:rPr>
                <w:color w:val="000000"/>
                <w:sz w:val="20"/>
                <w:szCs w:val="20"/>
              </w:rPr>
              <w:t>$0</w:t>
            </w:r>
          </w:p>
        </w:tc>
      </w:tr>
      <w:tr w:rsidR="002A1F18" w:rsidTr="00956048">
        <w:trPr>
          <w:trHeight w:val="488"/>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Startup, shutdown, malfunction                report </w:t>
            </w:r>
            <w:r>
              <w:rPr>
                <w:color w:val="000000"/>
                <w:vertAlign w:val="superscript"/>
              </w:rPr>
              <w:t>g</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40</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$4,417.30</w:t>
            </w:r>
          </w:p>
        </w:tc>
      </w:tr>
      <w:tr w:rsidR="002A1F18" w:rsidTr="00956048">
        <w:trPr>
          <w:trHeight w:val="300"/>
          <w:jc w:val="center"/>
        </w:trPr>
        <w:tc>
          <w:tcPr>
            <w:tcW w:w="366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A1F18" w:rsidRDefault="00934A35" w:rsidP="00C05282">
            <w:pPr>
              <w:rPr>
                <w:b/>
                <w:bCs/>
                <w:color w:val="000000"/>
                <w:sz w:val="20"/>
                <w:szCs w:val="20"/>
              </w:rPr>
            </w:pPr>
            <w:r>
              <w:rPr>
                <w:b/>
                <w:bCs/>
                <w:color w:val="000000"/>
                <w:sz w:val="20"/>
                <w:szCs w:val="20"/>
              </w:rPr>
              <w:t xml:space="preserve">Subtotal for </w:t>
            </w:r>
            <w:r w:rsidR="002A1F18">
              <w:rPr>
                <w:b/>
                <w:bCs/>
                <w:color w:val="000000"/>
                <w:sz w:val="20"/>
                <w:szCs w:val="20"/>
              </w:rPr>
              <w:t xml:space="preserve">Reporting </w:t>
            </w:r>
            <w:r>
              <w:rPr>
                <w:b/>
                <w:bCs/>
                <w:color w:val="000000"/>
                <w:sz w:val="20"/>
                <w:szCs w:val="20"/>
              </w:rPr>
              <w:t>Requirements</w:t>
            </w:r>
          </w:p>
        </w:tc>
        <w:tc>
          <w:tcPr>
            <w:tcW w:w="9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Pr="00934A35" w:rsidRDefault="002A1F18" w:rsidP="00DC526A">
            <w:pPr>
              <w:jc w:val="center"/>
              <w:rPr>
                <w:b/>
                <w:color w:val="000000"/>
                <w:sz w:val="20"/>
                <w:szCs w:val="20"/>
              </w:rPr>
            </w:pPr>
            <w:r w:rsidRPr="00934A35">
              <w:rPr>
                <w:b/>
                <w:color w:val="000000"/>
                <w:sz w:val="20"/>
                <w:szCs w:val="20"/>
              </w:rPr>
              <w:t>95</w:t>
            </w:r>
            <w:r w:rsidR="008519C3" w:rsidRPr="00934A35">
              <w:rPr>
                <w:b/>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p>
        </w:tc>
      </w:tr>
      <w:tr w:rsidR="002A1F18" w:rsidTr="00956048">
        <w:trPr>
          <w:trHeight w:val="227"/>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4.  Recordkeeping Requirements</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A1F18" w:rsidRDefault="002A1F18">
            <w:pPr>
              <w:jc w:val="right"/>
              <w:rPr>
                <w:color w:val="000000"/>
                <w:sz w:val="20"/>
                <w:szCs w:val="20"/>
              </w:rPr>
            </w:pPr>
            <w:r>
              <w:rPr>
                <w:color w:val="000000"/>
                <w:sz w:val="20"/>
                <w:szCs w:val="20"/>
              </w:rPr>
              <w:t> </w:t>
            </w:r>
          </w:p>
        </w:tc>
      </w:tr>
      <w:tr w:rsidR="002A1F18" w:rsidTr="00956048">
        <w:trPr>
          <w:trHeight w:val="290"/>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A.  Plan activities </w:t>
            </w:r>
            <w:r>
              <w:rPr>
                <w:color w:val="000000"/>
                <w:vertAlign w:val="superscript"/>
              </w:rPr>
              <w:t>c, h</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10</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20</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$2,208.65</w:t>
            </w:r>
          </w:p>
        </w:tc>
      </w:tr>
      <w:tr w:rsidR="002A1F18" w:rsidTr="00956048">
        <w:trPr>
          <w:trHeight w:val="300"/>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B.  Implement activities </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 </w:t>
            </w:r>
          </w:p>
        </w:tc>
      </w:tr>
      <w:tr w:rsidR="002A1F18" w:rsidTr="00956048">
        <w:trPr>
          <w:trHeight w:val="551"/>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Record startups, shutdown,                       malfunctions </w:t>
            </w:r>
            <w:r>
              <w:rPr>
                <w:color w:val="000000"/>
                <w:vertAlign w:val="superscript"/>
              </w:rPr>
              <w:t>i</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100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81</w:t>
            </w:r>
          </w:p>
        </w:tc>
        <w:tc>
          <w:tcPr>
            <w:tcW w:w="96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8,100</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405</w:t>
            </w:r>
          </w:p>
        </w:tc>
        <w:tc>
          <w:tcPr>
            <w:tcW w:w="11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810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$894,503.25</w:t>
            </w:r>
          </w:p>
        </w:tc>
      </w:tr>
      <w:tr w:rsidR="002A1F18" w:rsidTr="00956048">
        <w:trPr>
          <w:trHeight w:val="300"/>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Conduct performance test</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48.5</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48.5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81</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3,928.5</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196.43</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392.85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$433,834.08</w:t>
            </w:r>
          </w:p>
        </w:tc>
      </w:tr>
      <w:tr w:rsidR="002A1F18" w:rsidTr="00956048">
        <w:trPr>
          <w:trHeight w:val="272"/>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lastRenderedPageBreak/>
              <w:t xml:space="preserve">      Record CPMS measurements </w:t>
            </w:r>
            <w:r>
              <w:rPr>
                <w:color w:val="000000"/>
                <w:vertAlign w:val="superscript"/>
              </w:rPr>
              <w:t>j</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365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365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81</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29,565</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1,478.25</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2,956.5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$3,264,936.86</w:t>
            </w:r>
          </w:p>
        </w:tc>
      </w:tr>
      <w:tr w:rsidR="002A1F18" w:rsidTr="00956048">
        <w:trPr>
          <w:trHeight w:val="245"/>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CMPS calibration and maintenance </w:t>
            </w:r>
            <w:r>
              <w:rPr>
                <w:color w:val="000000"/>
                <w:vertAlign w:val="superscript"/>
              </w:rPr>
              <w:t>k</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3.9</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50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195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81</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15,795</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789.75</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1,579.5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$1,744,281.34</w:t>
            </w:r>
          </w:p>
        </w:tc>
      </w:tr>
      <w:tr w:rsidR="002A1F18" w:rsidTr="00956048">
        <w:trPr>
          <w:trHeight w:val="308"/>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Check for and repair leaks </w:t>
            </w:r>
            <w:r>
              <w:rPr>
                <w:color w:val="000000"/>
                <w:vertAlign w:val="superscript"/>
              </w:rPr>
              <w:t>l</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365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365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81</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29,565</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1,478.25</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2,956.5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$3,264,936.86</w:t>
            </w:r>
          </w:p>
        </w:tc>
      </w:tr>
      <w:tr w:rsidR="002A1F18" w:rsidTr="00956048">
        <w:trPr>
          <w:trHeight w:val="236"/>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C.  Develop record system</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 </w:t>
            </w:r>
          </w:p>
        </w:tc>
      </w:tr>
      <w:tr w:rsidR="002A1F18" w:rsidTr="00956048">
        <w:trPr>
          <w:trHeight w:val="245"/>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Startup, shutdown, malfunction plan </w:t>
            </w:r>
            <w:r>
              <w:rPr>
                <w:color w:val="000000"/>
                <w:vertAlign w:val="superscript"/>
              </w:rPr>
              <w:t xml:space="preserve">c </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40</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96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80</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w:t>
            </w:r>
          </w:p>
        </w:tc>
        <w:tc>
          <w:tcPr>
            <w:tcW w:w="11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$8,834.60</w:t>
            </w:r>
          </w:p>
        </w:tc>
      </w:tr>
      <w:tr w:rsidR="002A1F18" w:rsidTr="00956048">
        <w:trPr>
          <w:trHeight w:val="299"/>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Site-specific monitoring plan </w:t>
            </w:r>
            <w:r>
              <w:rPr>
                <w:color w:val="000000"/>
                <w:vertAlign w:val="superscript"/>
              </w:rPr>
              <w:t>c</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20</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40</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$4,417.30</w:t>
            </w:r>
          </w:p>
        </w:tc>
      </w:tr>
      <w:tr w:rsidR="002A1F18" w:rsidTr="00956048">
        <w:trPr>
          <w:trHeight w:val="254"/>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Site-specific test plan </w:t>
            </w:r>
            <w:r>
              <w:rPr>
                <w:color w:val="000000"/>
                <w:vertAlign w:val="superscript"/>
              </w:rPr>
              <w:t>c</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20</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40</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$4,417.30</w:t>
            </w:r>
          </w:p>
        </w:tc>
      </w:tr>
      <w:tr w:rsidR="002A1F18" w:rsidTr="00956048">
        <w:trPr>
          <w:trHeight w:val="308"/>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Leak detection and repair plan </w:t>
            </w:r>
            <w:r>
              <w:rPr>
                <w:color w:val="000000"/>
                <w:vertAlign w:val="superscript"/>
              </w:rPr>
              <w:t xml:space="preserve">c </w:t>
            </w:r>
            <w:r>
              <w:rPr>
                <w:color w:val="000000"/>
                <w:sz w:val="20"/>
                <w:szCs w:val="20"/>
              </w:rPr>
              <w:t xml:space="preserve">    </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40</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96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80</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w:t>
            </w:r>
          </w:p>
        </w:tc>
        <w:tc>
          <w:tcPr>
            <w:tcW w:w="11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$8,834.60</w:t>
            </w:r>
          </w:p>
        </w:tc>
      </w:tr>
      <w:tr w:rsidR="002A1F18" w:rsidTr="00956048">
        <w:trPr>
          <w:trHeight w:val="245"/>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D.  Time to train personnel</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 </w:t>
            </w:r>
          </w:p>
        </w:tc>
      </w:tr>
      <w:tr w:rsidR="002A1F18" w:rsidTr="00956048">
        <w:trPr>
          <w:trHeight w:val="245"/>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CPMS acquisition and installation </w:t>
            </w:r>
            <w:r>
              <w:rPr>
                <w:color w:val="000000"/>
                <w:vertAlign w:val="superscript"/>
              </w:rPr>
              <w:t>c</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20</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9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40</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11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$4,417.30</w:t>
            </w:r>
          </w:p>
        </w:tc>
      </w:tr>
      <w:tr w:rsidR="002A1F18" w:rsidTr="00956048">
        <w:trPr>
          <w:trHeight w:val="308"/>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CPMS inspection and monitoring </w:t>
            </w:r>
            <w:r>
              <w:rPr>
                <w:color w:val="000000"/>
                <w:vertAlign w:val="superscript"/>
              </w:rPr>
              <w:t>c</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w:t>
            </w:r>
          </w:p>
        </w:tc>
        <w:tc>
          <w:tcPr>
            <w:tcW w:w="96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0.4</w:t>
            </w:r>
          </w:p>
        </w:tc>
        <w:tc>
          <w:tcPr>
            <w:tcW w:w="11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0.8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$883.46</w:t>
            </w:r>
          </w:p>
        </w:tc>
      </w:tr>
      <w:tr w:rsidR="002A1F18" w:rsidTr="00956048">
        <w:trPr>
          <w:trHeight w:val="245"/>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E. Store, file, and maintain records </w:t>
            </w:r>
            <w:r>
              <w:rPr>
                <w:color w:val="000000"/>
                <w:vertAlign w:val="superscript"/>
              </w:rPr>
              <w:t>m</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20</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81</w:t>
            </w:r>
          </w:p>
        </w:tc>
        <w:tc>
          <w:tcPr>
            <w:tcW w:w="96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1,620</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81</w:t>
            </w:r>
          </w:p>
        </w:tc>
        <w:tc>
          <w:tcPr>
            <w:tcW w:w="11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162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$178,900.65</w:t>
            </w:r>
          </w:p>
        </w:tc>
      </w:tr>
      <w:tr w:rsidR="002A1F18" w:rsidTr="00956048">
        <w:trPr>
          <w:trHeight w:val="299"/>
          <w:jc w:val="center"/>
        </w:trPr>
        <w:tc>
          <w:tcPr>
            <w:tcW w:w="3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A1F18" w:rsidRDefault="002A1F18">
            <w:pPr>
              <w:rPr>
                <w:color w:val="000000"/>
                <w:sz w:val="20"/>
                <w:szCs w:val="20"/>
              </w:rPr>
            </w:pPr>
            <w:r>
              <w:rPr>
                <w:color w:val="000000"/>
                <w:sz w:val="20"/>
                <w:szCs w:val="20"/>
              </w:rPr>
              <w:t xml:space="preserve">    F. Retrieve records/reports </w:t>
            </w:r>
            <w:r>
              <w:rPr>
                <w:color w:val="000000"/>
                <w:vertAlign w:val="superscript"/>
              </w:rPr>
              <w:t>n</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20</w:t>
            </w:r>
          </w:p>
        </w:tc>
        <w:tc>
          <w:tcPr>
            <w:tcW w:w="11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81</w:t>
            </w:r>
          </w:p>
        </w:tc>
        <w:tc>
          <w:tcPr>
            <w:tcW w:w="96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1,620</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81</w:t>
            </w:r>
          </w:p>
        </w:tc>
        <w:tc>
          <w:tcPr>
            <w:tcW w:w="11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2A1F18" w:rsidRDefault="002A1F18" w:rsidP="00DC526A">
            <w:pPr>
              <w:jc w:val="center"/>
              <w:rPr>
                <w:color w:val="000000"/>
                <w:sz w:val="20"/>
                <w:szCs w:val="20"/>
              </w:rPr>
            </w:pPr>
            <w:r>
              <w:rPr>
                <w:color w:val="000000"/>
                <w:sz w:val="20"/>
                <w:szCs w:val="20"/>
              </w:rPr>
              <w:t>162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r>
              <w:rPr>
                <w:color w:val="000000"/>
                <w:sz w:val="20"/>
                <w:szCs w:val="20"/>
              </w:rPr>
              <w:t>$178,900.65</w:t>
            </w:r>
          </w:p>
        </w:tc>
      </w:tr>
      <w:tr w:rsidR="002A1F18" w:rsidTr="00956048">
        <w:trPr>
          <w:trHeight w:val="254"/>
          <w:jc w:val="center"/>
        </w:trPr>
        <w:tc>
          <w:tcPr>
            <w:tcW w:w="366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A1F18" w:rsidRDefault="00C05282" w:rsidP="00C05282">
            <w:pPr>
              <w:rPr>
                <w:b/>
                <w:bCs/>
                <w:color w:val="000000"/>
                <w:sz w:val="20"/>
                <w:szCs w:val="20"/>
              </w:rPr>
            </w:pPr>
            <w:r>
              <w:rPr>
                <w:b/>
                <w:bCs/>
                <w:color w:val="000000"/>
                <w:sz w:val="20"/>
                <w:szCs w:val="20"/>
              </w:rPr>
              <w:t xml:space="preserve">Subtotal for </w:t>
            </w:r>
            <w:r w:rsidR="002A1F18">
              <w:rPr>
                <w:b/>
                <w:bCs/>
                <w:color w:val="000000"/>
                <w:sz w:val="20"/>
                <w:szCs w:val="20"/>
              </w:rPr>
              <w:t xml:space="preserve">Recordkeeping </w:t>
            </w:r>
            <w:r>
              <w:rPr>
                <w:b/>
                <w:bCs/>
                <w:color w:val="000000"/>
                <w:sz w:val="20"/>
                <w:szCs w:val="20"/>
              </w:rPr>
              <w:t>Requirements</w:t>
            </w:r>
          </w:p>
        </w:tc>
        <w:tc>
          <w:tcPr>
            <w:tcW w:w="9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Pr="00C05282" w:rsidRDefault="002A1F18" w:rsidP="00DC526A">
            <w:pPr>
              <w:jc w:val="center"/>
              <w:rPr>
                <w:b/>
                <w:color w:val="000000"/>
                <w:sz w:val="20"/>
                <w:szCs w:val="20"/>
              </w:rPr>
            </w:pPr>
            <w:r w:rsidRPr="00C05282">
              <w:rPr>
                <w:b/>
                <w:color w:val="000000"/>
                <w:sz w:val="20"/>
                <w:szCs w:val="20"/>
              </w:rPr>
              <w:t>104,07</w:t>
            </w:r>
            <w:r w:rsidR="008519C3" w:rsidRPr="00C05282">
              <w:rPr>
                <w:b/>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right"/>
              <w:rPr>
                <w:color w:val="000000"/>
                <w:sz w:val="20"/>
                <w:szCs w:val="20"/>
              </w:rPr>
            </w:pPr>
          </w:p>
        </w:tc>
      </w:tr>
      <w:tr w:rsidR="002A1F18" w:rsidTr="00956048">
        <w:trPr>
          <w:trHeight w:val="300"/>
          <w:jc w:val="center"/>
        </w:trPr>
        <w:tc>
          <w:tcPr>
            <w:tcW w:w="366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A1F18" w:rsidRDefault="002A1F18">
            <w:pPr>
              <w:rPr>
                <w:b/>
                <w:bCs/>
                <w:color w:val="000000"/>
                <w:sz w:val="20"/>
                <w:szCs w:val="20"/>
              </w:rPr>
            </w:pPr>
            <w:r>
              <w:rPr>
                <w:b/>
                <w:bCs/>
                <w:color w:val="000000"/>
                <w:sz w:val="20"/>
                <w:szCs w:val="20"/>
              </w:rPr>
              <w:t>TOTAL LABOR BURDEN AND COST</w:t>
            </w:r>
          </w:p>
          <w:p w:rsidR="00DE282D" w:rsidRDefault="00DE282D">
            <w:pPr>
              <w:rPr>
                <w:b/>
                <w:bCs/>
                <w:color w:val="000000"/>
                <w:sz w:val="20"/>
                <w:szCs w:val="20"/>
              </w:rPr>
            </w:pPr>
            <w:r>
              <w:rPr>
                <w:b/>
                <w:bCs/>
                <w:color w:val="000000"/>
                <w:sz w:val="20"/>
                <w:szCs w:val="20"/>
              </w:rPr>
              <w:t>(rounded)</w:t>
            </w:r>
          </w:p>
        </w:tc>
        <w:tc>
          <w:tcPr>
            <w:tcW w:w="9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Default="002A1F18" w:rsidP="00DC526A">
            <w:pPr>
              <w:jc w:val="center"/>
              <w:rPr>
                <w:color w:val="000000"/>
                <w:sz w:val="20"/>
                <w:szCs w:val="20"/>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Pr="00DE282D" w:rsidRDefault="002A1F18" w:rsidP="00D30C36">
            <w:pPr>
              <w:jc w:val="center"/>
              <w:rPr>
                <w:b/>
                <w:color w:val="000000"/>
                <w:sz w:val="20"/>
                <w:szCs w:val="20"/>
              </w:rPr>
            </w:pPr>
            <w:r w:rsidRPr="00DE282D">
              <w:rPr>
                <w:b/>
                <w:color w:val="000000"/>
                <w:sz w:val="20"/>
                <w:szCs w:val="20"/>
              </w:rPr>
              <w:t>105,03</w:t>
            </w:r>
            <w:r w:rsidR="00D30C36">
              <w:rPr>
                <w:b/>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A1F18" w:rsidRPr="00DE282D" w:rsidRDefault="002A1F18" w:rsidP="00DE282D">
            <w:pPr>
              <w:jc w:val="right"/>
              <w:rPr>
                <w:b/>
                <w:color w:val="000000"/>
                <w:sz w:val="20"/>
                <w:szCs w:val="20"/>
              </w:rPr>
            </w:pPr>
            <w:r w:rsidRPr="00DE282D">
              <w:rPr>
                <w:b/>
                <w:color w:val="000000"/>
                <w:sz w:val="20"/>
                <w:szCs w:val="20"/>
              </w:rPr>
              <w:t xml:space="preserve">$10,086,076 </w:t>
            </w:r>
          </w:p>
        </w:tc>
      </w:tr>
    </w:tbl>
    <w:p w:rsidR="00C05282" w:rsidRDefault="00C05282" w:rsidP="00E458A4">
      <w:pPr>
        <w:ind w:right="-270"/>
        <w:rPr>
          <w:bCs/>
          <w:color w:val="FF0000"/>
        </w:rPr>
      </w:pPr>
      <w:r>
        <w:rPr>
          <w:bCs/>
          <w:color w:val="FF0000"/>
        </w:rPr>
        <w:t xml:space="preserve"> </w:t>
      </w:r>
      <w:r w:rsidR="002A1F18" w:rsidRPr="00144F35" w:rsidDel="002A1F18">
        <w:rPr>
          <w:bCs/>
          <w:color w:val="FF0000"/>
        </w:rPr>
        <w:t xml:space="preserve"> </w:t>
      </w:r>
    </w:p>
    <w:p w:rsidR="00E458A4" w:rsidRDefault="00C05282" w:rsidP="00E458A4">
      <w:pPr>
        <w:ind w:right="-270"/>
        <w:rPr>
          <w:sz w:val="20"/>
        </w:rPr>
      </w:pPr>
      <w:r>
        <w:rPr>
          <w:bCs/>
          <w:color w:val="FF0000"/>
        </w:rPr>
        <w:t xml:space="preserve">  </w:t>
      </w:r>
      <w:r w:rsidR="00E458A4">
        <w:rPr>
          <w:b/>
          <w:bCs/>
          <w:sz w:val="20"/>
        </w:rPr>
        <w:t>Assumptions:</w:t>
      </w:r>
    </w:p>
    <w:p w:rsidR="00C05282" w:rsidRDefault="00C05282" w:rsidP="00E458A4">
      <w:pPr>
        <w:ind w:left="-180" w:right="-270"/>
        <w:rPr>
          <w:sz w:val="20"/>
        </w:rPr>
      </w:pPr>
      <w:r>
        <w:rPr>
          <w:vertAlign w:val="superscript"/>
        </w:rPr>
        <w:t xml:space="preserve">       </w:t>
      </w:r>
      <w:r w:rsidR="00E458A4">
        <w:rPr>
          <w:vertAlign w:val="superscript"/>
        </w:rPr>
        <w:t>a</w:t>
      </w:r>
      <w:r w:rsidR="00E458A4">
        <w:rPr>
          <w:sz w:val="20"/>
        </w:rPr>
        <w:t xml:space="preserve">  We have assumed that the average number of respondents that will be subject to the rule will be 81.  There will be two additional new sources per year that </w:t>
      </w:r>
    </w:p>
    <w:p w:rsidR="00E458A4" w:rsidRDefault="00C05282" w:rsidP="00E458A4">
      <w:pPr>
        <w:ind w:left="-180" w:right="-270"/>
        <w:rPr>
          <w:sz w:val="20"/>
        </w:rPr>
      </w:pPr>
      <w:r>
        <w:rPr>
          <w:sz w:val="20"/>
        </w:rPr>
        <w:t xml:space="preserve">      will </w:t>
      </w:r>
      <w:r w:rsidR="00E458A4">
        <w:rPr>
          <w:sz w:val="20"/>
        </w:rPr>
        <w:t xml:space="preserve">become subject to the rule over the three-year period of this ICR. </w:t>
      </w:r>
    </w:p>
    <w:p w:rsidR="00C05282" w:rsidRDefault="00C05282">
      <w:pPr>
        <w:ind w:left="-180" w:right="-270"/>
        <w:rPr>
          <w:sz w:val="20"/>
        </w:rPr>
      </w:pPr>
      <w:r>
        <w:rPr>
          <w:vertAlign w:val="superscript"/>
        </w:rPr>
        <w:t xml:space="preserve">       </w:t>
      </w:r>
      <w:r w:rsidR="00E458A4">
        <w:rPr>
          <w:vertAlign w:val="superscript"/>
        </w:rPr>
        <w:t>b</w:t>
      </w:r>
      <w:r w:rsidR="00E458A4">
        <w:rPr>
          <w:sz w:val="20"/>
        </w:rPr>
        <w:t xml:space="preserve">  This ICR uses the following labor rates: $120.77 per hour for Executive, Administrative, and Managerial labor; $99.39 per hour for Technical labor, and </w:t>
      </w:r>
    </w:p>
    <w:p w:rsidR="00C05282" w:rsidRDefault="00C05282">
      <w:pPr>
        <w:ind w:left="-180" w:right="-270"/>
        <w:rPr>
          <w:sz w:val="20"/>
        </w:rPr>
      </w:pPr>
      <w:r>
        <w:rPr>
          <w:sz w:val="20"/>
        </w:rPr>
        <w:t xml:space="preserve">      $50.04 </w:t>
      </w:r>
      <w:r w:rsidR="00E458A4">
        <w:rPr>
          <w:sz w:val="20"/>
        </w:rPr>
        <w:t xml:space="preserve">per hour for Clerical labor.  These rates are from the United States Department of Labor, Bureau of Labor Statistics, December 2011, “Table 2. </w:t>
      </w:r>
    </w:p>
    <w:p w:rsidR="00C05282" w:rsidRDefault="00C05282">
      <w:pPr>
        <w:ind w:left="-180" w:right="-270"/>
        <w:rPr>
          <w:sz w:val="20"/>
        </w:rPr>
      </w:pPr>
      <w:r>
        <w:rPr>
          <w:sz w:val="20"/>
        </w:rPr>
        <w:t xml:space="preserve">      </w:t>
      </w:r>
      <w:r w:rsidR="00E458A4">
        <w:rPr>
          <w:sz w:val="20"/>
        </w:rPr>
        <w:t xml:space="preserve">Civilian Workers, by Occupational and Industry group.”  The rates are from column 1, “Total Compensation.”  The rates have been increased by 110% to </w:t>
      </w:r>
    </w:p>
    <w:p w:rsidR="00195222" w:rsidRDefault="00C05282">
      <w:pPr>
        <w:ind w:left="-180" w:right="-270"/>
        <w:rPr>
          <w:sz w:val="20"/>
        </w:rPr>
      </w:pPr>
      <w:r>
        <w:rPr>
          <w:sz w:val="20"/>
        </w:rPr>
        <w:t xml:space="preserve">      Account </w:t>
      </w:r>
      <w:r w:rsidR="00E458A4">
        <w:rPr>
          <w:sz w:val="20"/>
        </w:rPr>
        <w:t>for the benefit packages available to those employed by private industry.</w:t>
      </w:r>
    </w:p>
    <w:p w:rsidR="00E458A4" w:rsidRDefault="00332DAB" w:rsidP="00E458A4">
      <w:pPr>
        <w:ind w:left="-180" w:right="-270"/>
        <w:rPr>
          <w:sz w:val="20"/>
        </w:rPr>
      </w:pPr>
      <w:r>
        <w:rPr>
          <w:vertAlign w:val="superscript"/>
        </w:rPr>
        <w:t xml:space="preserve">       </w:t>
      </w:r>
      <w:r w:rsidR="00E458A4" w:rsidRPr="005D6F8A">
        <w:rPr>
          <w:vertAlign w:val="superscript"/>
        </w:rPr>
        <w:t>c</w:t>
      </w:r>
      <w:r w:rsidR="00E458A4">
        <w:rPr>
          <w:sz w:val="20"/>
        </w:rPr>
        <w:t xml:space="preserve">  This is a one-time only activity for each facility.</w:t>
      </w:r>
    </w:p>
    <w:p w:rsidR="00E458A4" w:rsidRDefault="00332DAB" w:rsidP="00E458A4">
      <w:pPr>
        <w:ind w:left="-180" w:right="-270"/>
        <w:rPr>
          <w:sz w:val="20"/>
        </w:rPr>
      </w:pPr>
      <w:r>
        <w:rPr>
          <w:vertAlign w:val="superscript"/>
        </w:rPr>
        <w:t xml:space="preserve">       </w:t>
      </w:r>
      <w:r w:rsidR="00E458A4" w:rsidRPr="005D6F8A">
        <w:rPr>
          <w:vertAlign w:val="superscript"/>
        </w:rPr>
        <w:t>d</w:t>
      </w:r>
      <w:r w:rsidR="00E458A4">
        <w:rPr>
          <w:sz w:val="20"/>
        </w:rPr>
        <w:t xml:space="preserve">  We have assumed that two new respondents will prepare the first compliance report.</w:t>
      </w:r>
    </w:p>
    <w:p w:rsidR="00E458A4" w:rsidRDefault="00332DAB" w:rsidP="00E458A4">
      <w:pPr>
        <w:ind w:left="-180" w:right="-270"/>
        <w:rPr>
          <w:sz w:val="20"/>
        </w:rPr>
      </w:pPr>
      <w:r>
        <w:rPr>
          <w:vertAlign w:val="superscript"/>
        </w:rPr>
        <w:t xml:space="preserve">       </w:t>
      </w:r>
      <w:r w:rsidR="00E458A4" w:rsidRPr="005D6F8A">
        <w:rPr>
          <w:vertAlign w:val="superscript"/>
        </w:rPr>
        <w:t>e</w:t>
      </w:r>
      <w:r w:rsidR="00E458A4">
        <w:rPr>
          <w:sz w:val="20"/>
        </w:rPr>
        <w:t xml:space="preserve">  We have assumed that it will take each respondent 4.5 hours two times per-year to prepare the semiannual compliance report.</w:t>
      </w:r>
    </w:p>
    <w:p w:rsidR="00332DAB" w:rsidRDefault="00332DAB" w:rsidP="00E458A4">
      <w:pPr>
        <w:ind w:left="-180" w:right="-270"/>
        <w:rPr>
          <w:sz w:val="20"/>
        </w:rPr>
      </w:pPr>
      <w:r>
        <w:rPr>
          <w:vertAlign w:val="superscript"/>
        </w:rPr>
        <w:t xml:space="preserve">       </w:t>
      </w:r>
      <w:r w:rsidR="00E458A4" w:rsidRPr="005D6F8A">
        <w:rPr>
          <w:vertAlign w:val="superscript"/>
        </w:rPr>
        <w:t>f</w:t>
      </w:r>
      <w:r w:rsidR="00E458A4">
        <w:rPr>
          <w:sz w:val="20"/>
        </w:rPr>
        <w:t xml:space="preserve">  We have assumed that some facilities will take 4 hours to perform tests after the initial compliance determination , by either brining a new product on line or</w:t>
      </w:r>
    </w:p>
    <w:p w:rsidR="00E458A4" w:rsidRDefault="00332DAB" w:rsidP="00E458A4">
      <w:pPr>
        <w:ind w:left="-180" w:right="-270"/>
        <w:rPr>
          <w:sz w:val="20"/>
        </w:rPr>
      </w:pPr>
      <w:r>
        <w:rPr>
          <w:sz w:val="20"/>
        </w:rPr>
        <w:t xml:space="preserve">     </w:t>
      </w:r>
      <w:r w:rsidR="00E458A4">
        <w:rPr>
          <w:sz w:val="20"/>
        </w:rPr>
        <w:t xml:space="preserve"> </w:t>
      </w:r>
      <w:r>
        <w:rPr>
          <w:sz w:val="20"/>
        </w:rPr>
        <w:t xml:space="preserve"> </w:t>
      </w:r>
      <w:r w:rsidR="00E458A4">
        <w:rPr>
          <w:sz w:val="20"/>
        </w:rPr>
        <w:t>by significantly increasing its production.</w:t>
      </w:r>
    </w:p>
    <w:p w:rsidR="00E458A4" w:rsidRDefault="00332DAB" w:rsidP="00E458A4">
      <w:pPr>
        <w:ind w:left="-180" w:right="-270"/>
        <w:rPr>
          <w:sz w:val="20"/>
        </w:rPr>
      </w:pPr>
      <w:r>
        <w:rPr>
          <w:vertAlign w:val="superscript"/>
        </w:rPr>
        <w:t xml:space="preserve">       </w:t>
      </w:r>
      <w:r w:rsidR="00E458A4" w:rsidRPr="00734C49">
        <w:rPr>
          <w:vertAlign w:val="superscript"/>
        </w:rPr>
        <w:t xml:space="preserve">g </w:t>
      </w:r>
      <w:r w:rsidR="00E458A4">
        <w:rPr>
          <w:sz w:val="20"/>
        </w:rPr>
        <w:t xml:space="preserve"> We have assumed that it will take each new respondents two hours ten times a year to prepare a SSM report.</w:t>
      </w:r>
    </w:p>
    <w:p w:rsidR="00E458A4" w:rsidRDefault="00332DAB" w:rsidP="00E458A4">
      <w:pPr>
        <w:ind w:left="-180" w:right="-270"/>
        <w:rPr>
          <w:sz w:val="20"/>
        </w:rPr>
      </w:pPr>
      <w:r>
        <w:rPr>
          <w:vertAlign w:val="superscript"/>
        </w:rPr>
        <w:t xml:space="preserve">       </w:t>
      </w:r>
      <w:r w:rsidR="00E458A4" w:rsidRPr="00BE71C5">
        <w:rPr>
          <w:vertAlign w:val="superscript"/>
        </w:rPr>
        <w:t>h</w:t>
      </w:r>
      <w:r w:rsidR="00E458A4">
        <w:rPr>
          <w:sz w:val="20"/>
        </w:rPr>
        <w:t xml:space="preserve">  We have assumed that it will take each respondent 10 hours to record plan activities.</w:t>
      </w:r>
    </w:p>
    <w:p w:rsidR="00E458A4" w:rsidRDefault="00332DAB" w:rsidP="00E458A4">
      <w:pPr>
        <w:ind w:left="-180" w:right="-270"/>
        <w:rPr>
          <w:sz w:val="20"/>
        </w:rPr>
      </w:pPr>
      <w:r>
        <w:rPr>
          <w:vertAlign w:val="superscript"/>
        </w:rPr>
        <w:t xml:space="preserve">       </w:t>
      </w:r>
      <w:r w:rsidR="00E458A4" w:rsidRPr="004338A8">
        <w:rPr>
          <w:vertAlign w:val="superscript"/>
        </w:rPr>
        <w:t>i</w:t>
      </w:r>
      <w:r w:rsidR="00E458A4">
        <w:rPr>
          <w:sz w:val="20"/>
        </w:rPr>
        <w:t xml:space="preserve">  We have assumed that each respondent will have to implement SSM activities 100 times per-year.</w:t>
      </w:r>
    </w:p>
    <w:p w:rsidR="00E458A4" w:rsidRDefault="00486619" w:rsidP="00E458A4">
      <w:pPr>
        <w:ind w:left="-180" w:right="-270"/>
        <w:rPr>
          <w:sz w:val="20"/>
        </w:rPr>
      </w:pPr>
      <w:r>
        <w:rPr>
          <w:vertAlign w:val="superscript"/>
        </w:rPr>
        <w:lastRenderedPageBreak/>
        <w:t xml:space="preserve">       </w:t>
      </w:r>
      <w:r w:rsidR="00E458A4" w:rsidRPr="004338A8">
        <w:rPr>
          <w:vertAlign w:val="superscript"/>
        </w:rPr>
        <w:t>j</w:t>
      </w:r>
      <w:r w:rsidR="00E458A4">
        <w:rPr>
          <w:sz w:val="20"/>
        </w:rPr>
        <w:t xml:space="preserve">  We have assumed that respondents will  have to record CPMS measurements 365 time per year.</w:t>
      </w:r>
    </w:p>
    <w:p w:rsidR="00E458A4" w:rsidRDefault="00486619" w:rsidP="00E458A4">
      <w:pPr>
        <w:ind w:left="-180" w:right="-270"/>
        <w:rPr>
          <w:sz w:val="20"/>
        </w:rPr>
      </w:pPr>
      <w:r>
        <w:rPr>
          <w:vertAlign w:val="superscript"/>
        </w:rPr>
        <w:t xml:space="preserve">      </w:t>
      </w:r>
      <w:r w:rsidR="00E458A4" w:rsidRPr="00C61FEB">
        <w:rPr>
          <w:vertAlign w:val="superscript"/>
        </w:rPr>
        <w:t>k</w:t>
      </w:r>
      <w:r w:rsidR="00E458A4">
        <w:rPr>
          <w:sz w:val="20"/>
        </w:rPr>
        <w:t xml:space="preserve">  We have assumed that respondents will have to implement CMPS calibration and maintenance activities 50 times per year.</w:t>
      </w:r>
    </w:p>
    <w:p w:rsidR="00E458A4" w:rsidRDefault="00486619" w:rsidP="00E458A4">
      <w:pPr>
        <w:ind w:left="-180" w:right="-270"/>
        <w:rPr>
          <w:sz w:val="20"/>
        </w:rPr>
      </w:pPr>
      <w:r>
        <w:rPr>
          <w:vertAlign w:val="superscript"/>
        </w:rPr>
        <w:t xml:space="preserve">       </w:t>
      </w:r>
      <w:r w:rsidR="00E458A4" w:rsidRPr="00C61FEB">
        <w:rPr>
          <w:vertAlign w:val="superscript"/>
        </w:rPr>
        <w:t>l</w:t>
      </w:r>
      <w:r w:rsidR="00E458A4">
        <w:rPr>
          <w:sz w:val="20"/>
        </w:rPr>
        <w:t xml:space="preserve">  We have assumed that respondent are required to check for and repair leaks 365 times per-year.</w:t>
      </w:r>
    </w:p>
    <w:p w:rsidR="00E458A4" w:rsidRDefault="00486619" w:rsidP="00E458A4">
      <w:pPr>
        <w:ind w:left="-180" w:right="-270"/>
        <w:rPr>
          <w:sz w:val="20"/>
        </w:rPr>
      </w:pPr>
      <w:r>
        <w:rPr>
          <w:vertAlign w:val="superscript"/>
        </w:rPr>
        <w:t xml:space="preserve">      </w:t>
      </w:r>
      <w:r w:rsidR="00E458A4" w:rsidRPr="00C61FEB">
        <w:rPr>
          <w:vertAlign w:val="superscript"/>
        </w:rPr>
        <w:t>m</w:t>
      </w:r>
      <w:r w:rsidR="00E458A4">
        <w:rPr>
          <w:sz w:val="20"/>
        </w:rPr>
        <w:t xml:space="preserve">  We have assumed that each respondent will take 20 hours once per-year to store, file and maintain records. </w:t>
      </w:r>
    </w:p>
    <w:p w:rsidR="00E458A4" w:rsidRDefault="00486619" w:rsidP="00E458A4">
      <w:pPr>
        <w:ind w:left="-180" w:right="-270"/>
        <w:rPr>
          <w:sz w:val="20"/>
        </w:rPr>
      </w:pPr>
      <w:r>
        <w:rPr>
          <w:vertAlign w:val="superscript"/>
        </w:rPr>
        <w:t xml:space="preserve">      </w:t>
      </w:r>
      <w:r w:rsidR="00E458A4" w:rsidRPr="00C61FEB">
        <w:rPr>
          <w:vertAlign w:val="superscript"/>
        </w:rPr>
        <w:t>n</w:t>
      </w:r>
      <w:r w:rsidR="00E458A4">
        <w:rPr>
          <w:sz w:val="20"/>
        </w:rPr>
        <w:t xml:space="preserve">  We have assumed that it will take respondent 20 hours to retrieve records/reports once per-year.</w:t>
      </w:r>
    </w:p>
    <w:p w:rsidR="00E458A4" w:rsidRDefault="00E458A4" w:rsidP="00E458A4">
      <w:pPr>
        <w:ind w:left="-180" w:right="-270"/>
        <w:rPr>
          <w:sz w:val="20"/>
        </w:rPr>
      </w:pPr>
    </w:p>
    <w:p w:rsidR="00E458A4" w:rsidRDefault="00E458A4" w:rsidP="00E458A4">
      <w:pPr>
        <w:rPr>
          <w:vertAlign w:val="superscript"/>
        </w:rPr>
      </w:pPr>
    </w:p>
    <w:p w:rsidR="00845301" w:rsidRDefault="00144F35" w:rsidP="00DC526A">
      <w:pPr>
        <w:jc w:val="center"/>
        <w:rPr>
          <w:b/>
        </w:rPr>
      </w:pPr>
      <w:r>
        <w:rPr>
          <w:b/>
          <w:bCs/>
          <w:color w:val="000000"/>
        </w:rPr>
        <w:br w:type="page"/>
      </w:r>
      <w:r w:rsidRPr="00C4183F">
        <w:rPr>
          <w:b/>
          <w:bCs/>
          <w:color w:val="000000"/>
        </w:rPr>
        <w:lastRenderedPageBreak/>
        <w:t>Table 2:</w:t>
      </w:r>
      <w:r>
        <w:rPr>
          <w:b/>
          <w:bCs/>
          <w:color w:val="000000"/>
        </w:rPr>
        <w:t xml:space="preserve"> Average Annual EPA Burden and Cost – </w:t>
      </w:r>
      <w:r w:rsidR="007A772C">
        <w:rPr>
          <w:b/>
        </w:rPr>
        <w:t xml:space="preserve">NESHAP for Hydrochloric Acid Production </w:t>
      </w:r>
      <w:r w:rsidR="007A772C" w:rsidRPr="00844D0F">
        <w:rPr>
          <w:b/>
        </w:rPr>
        <w:t xml:space="preserve">(40 CFR </w:t>
      </w:r>
      <w:r w:rsidR="007A772C">
        <w:rPr>
          <w:b/>
        </w:rPr>
        <w:t>P</w:t>
      </w:r>
      <w:r w:rsidR="007A772C" w:rsidRPr="00844D0F">
        <w:rPr>
          <w:b/>
        </w:rPr>
        <w:t xml:space="preserve">art 63, </w:t>
      </w:r>
      <w:r w:rsidR="007A772C">
        <w:rPr>
          <w:b/>
        </w:rPr>
        <w:t>S</w:t>
      </w:r>
      <w:r w:rsidR="007A772C" w:rsidRPr="00844D0F">
        <w:rPr>
          <w:b/>
        </w:rPr>
        <w:t>ubpart</w:t>
      </w:r>
    </w:p>
    <w:p w:rsidR="00144F35" w:rsidRDefault="00845301" w:rsidP="00845301">
      <w:pPr>
        <w:rPr>
          <w:b/>
          <w:bCs/>
          <w:color w:val="000000"/>
        </w:rPr>
      </w:pPr>
      <w:r>
        <w:rPr>
          <w:b/>
        </w:rPr>
        <w:t xml:space="preserve">      </w:t>
      </w:r>
      <w:r w:rsidR="007A772C" w:rsidRPr="00844D0F">
        <w:rPr>
          <w:b/>
        </w:rPr>
        <w:t>NNNNN) (Renewal)</w:t>
      </w:r>
    </w:p>
    <w:p w:rsidR="00144F35" w:rsidRDefault="00144F35" w:rsidP="00F340DF">
      <w:pPr>
        <w:rPr>
          <w:b/>
          <w:bCs/>
          <w:color w:val="000000"/>
        </w:rPr>
      </w:pPr>
    </w:p>
    <w:tbl>
      <w:tblPr>
        <w:tblW w:w="12342" w:type="dxa"/>
        <w:jc w:val="center"/>
        <w:tblInd w:w="-1742" w:type="dxa"/>
        <w:tblCellMar>
          <w:left w:w="0" w:type="dxa"/>
          <w:right w:w="0" w:type="dxa"/>
        </w:tblCellMar>
        <w:tblLook w:val="04A0"/>
      </w:tblPr>
      <w:tblGrid>
        <w:gridCol w:w="4257"/>
        <w:gridCol w:w="972"/>
        <w:gridCol w:w="1050"/>
        <w:gridCol w:w="984"/>
        <w:gridCol w:w="1118"/>
        <w:gridCol w:w="905"/>
        <w:gridCol w:w="1150"/>
        <w:gridCol w:w="850"/>
        <w:gridCol w:w="1056"/>
      </w:tblGrid>
      <w:tr w:rsidR="002A1F18" w:rsidTr="00DC526A">
        <w:trPr>
          <w:trHeight w:val="1530"/>
          <w:jc w:val="center"/>
        </w:trPr>
        <w:tc>
          <w:tcPr>
            <w:tcW w:w="42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2A1F18" w:rsidRDefault="002A1F18">
            <w:pPr>
              <w:jc w:val="center"/>
              <w:rPr>
                <w:b/>
                <w:bCs/>
                <w:color w:val="000000"/>
                <w:sz w:val="20"/>
                <w:szCs w:val="20"/>
              </w:rPr>
            </w:pPr>
            <w:r>
              <w:rPr>
                <w:b/>
                <w:bCs/>
                <w:color w:val="000000"/>
                <w:sz w:val="20"/>
                <w:szCs w:val="20"/>
              </w:rPr>
              <w:t>Activity</w:t>
            </w:r>
          </w:p>
        </w:tc>
        <w:tc>
          <w:tcPr>
            <w:tcW w:w="972"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A1F18" w:rsidRDefault="002A1F18">
            <w:pPr>
              <w:jc w:val="center"/>
              <w:rPr>
                <w:b/>
                <w:bCs/>
                <w:color w:val="000000"/>
                <w:sz w:val="20"/>
                <w:szCs w:val="20"/>
              </w:rPr>
            </w:pPr>
            <w:r>
              <w:rPr>
                <w:b/>
                <w:bCs/>
                <w:color w:val="000000"/>
                <w:sz w:val="20"/>
                <w:szCs w:val="20"/>
              </w:rPr>
              <w:t>(A) Person-hours per occurrence</w:t>
            </w:r>
          </w:p>
        </w:tc>
        <w:tc>
          <w:tcPr>
            <w:tcW w:w="105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A1F18" w:rsidRDefault="002A1F18">
            <w:pPr>
              <w:jc w:val="center"/>
              <w:rPr>
                <w:b/>
                <w:bCs/>
                <w:color w:val="000000"/>
                <w:sz w:val="20"/>
                <w:szCs w:val="20"/>
              </w:rPr>
            </w:pPr>
            <w:r>
              <w:rPr>
                <w:b/>
                <w:bCs/>
                <w:color w:val="000000"/>
                <w:sz w:val="20"/>
                <w:szCs w:val="20"/>
              </w:rPr>
              <w:t>(B) No. of occurrences per respondent per year</w:t>
            </w:r>
          </w:p>
        </w:tc>
        <w:tc>
          <w:tcPr>
            <w:tcW w:w="984"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hideMark/>
          </w:tcPr>
          <w:p w:rsidR="002A1F18" w:rsidRDefault="002A1F18">
            <w:pPr>
              <w:jc w:val="center"/>
              <w:rPr>
                <w:b/>
                <w:bCs/>
                <w:color w:val="000000"/>
                <w:sz w:val="20"/>
                <w:szCs w:val="20"/>
              </w:rPr>
            </w:pPr>
            <w:r>
              <w:rPr>
                <w:b/>
                <w:bCs/>
                <w:color w:val="000000"/>
                <w:sz w:val="20"/>
                <w:szCs w:val="20"/>
              </w:rPr>
              <w:t>(C) Person-hours per respondent per year (C=AxB)</w:t>
            </w:r>
          </w:p>
        </w:tc>
        <w:tc>
          <w:tcPr>
            <w:tcW w:w="1118"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A1F18" w:rsidRDefault="002A1F18">
            <w:pPr>
              <w:jc w:val="center"/>
              <w:rPr>
                <w:b/>
                <w:bCs/>
                <w:color w:val="000000"/>
                <w:sz w:val="20"/>
                <w:szCs w:val="20"/>
              </w:rPr>
            </w:pPr>
            <w:r>
              <w:rPr>
                <w:b/>
                <w:bCs/>
                <w:color w:val="000000"/>
                <w:sz w:val="20"/>
                <w:szCs w:val="20"/>
              </w:rPr>
              <w:t xml:space="preserve">(D) Respondents per year </w:t>
            </w:r>
            <w:r>
              <w:rPr>
                <w:b/>
                <w:bCs/>
                <w:color w:val="000000"/>
                <w:sz w:val="20"/>
                <w:szCs w:val="20"/>
                <w:vertAlign w:val="superscript"/>
              </w:rPr>
              <w:t>a</w:t>
            </w:r>
          </w:p>
        </w:tc>
        <w:tc>
          <w:tcPr>
            <w:tcW w:w="905"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A1F18" w:rsidRDefault="002A1F18">
            <w:pPr>
              <w:jc w:val="center"/>
              <w:rPr>
                <w:b/>
                <w:bCs/>
                <w:color w:val="000000"/>
                <w:sz w:val="20"/>
                <w:szCs w:val="20"/>
              </w:rPr>
            </w:pPr>
            <w:r>
              <w:rPr>
                <w:b/>
                <w:bCs/>
                <w:color w:val="000000"/>
                <w:sz w:val="20"/>
                <w:szCs w:val="20"/>
              </w:rPr>
              <w:t>(E) Technical Person-hours per year (E=CxD)</w:t>
            </w:r>
          </w:p>
        </w:tc>
        <w:tc>
          <w:tcPr>
            <w:tcW w:w="115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A1F18" w:rsidRDefault="002A1F18">
            <w:pPr>
              <w:jc w:val="center"/>
              <w:rPr>
                <w:b/>
                <w:bCs/>
                <w:color w:val="000000"/>
                <w:sz w:val="20"/>
                <w:szCs w:val="20"/>
              </w:rPr>
            </w:pPr>
            <w:r>
              <w:rPr>
                <w:b/>
                <w:bCs/>
                <w:color w:val="000000"/>
                <w:sz w:val="20"/>
                <w:szCs w:val="20"/>
              </w:rPr>
              <w:t>(F) Management person-hours per year (Ex0.05)</w:t>
            </w:r>
          </w:p>
        </w:tc>
        <w:tc>
          <w:tcPr>
            <w:tcW w:w="85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A1F18" w:rsidRDefault="002A1F18">
            <w:pPr>
              <w:jc w:val="center"/>
              <w:rPr>
                <w:b/>
                <w:bCs/>
                <w:color w:val="000000"/>
                <w:sz w:val="20"/>
                <w:szCs w:val="20"/>
              </w:rPr>
            </w:pPr>
            <w:r>
              <w:rPr>
                <w:b/>
                <w:bCs/>
                <w:color w:val="000000"/>
                <w:sz w:val="20"/>
                <w:szCs w:val="20"/>
              </w:rPr>
              <w:t>(G) Clerical person-hours per year (Ex0.1)</w:t>
            </w:r>
          </w:p>
        </w:tc>
        <w:tc>
          <w:tcPr>
            <w:tcW w:w="1056"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A1F18" w:rsidRDefault="002A1F18">
            <w:pPr>
              <w:jc w:val="center"/>
              <w:rPr>
                <w:b/>
                <w:bCs/>
                <w:color w:val="000000"/>
                <w:sz w:val="20"/>
                <w:szCs w:val="20"/>
              </w:rPr>
            </w:pPr>
            <w:r>
              <w:rPr>
                <w:b/>
                <w:bCs/>
                <w:color w:val="000000"/>
                <w:sz w:val="20"/>
                <w:szCs w:val="20"/>
              </w:rPr>
              <w:t xml:space="preserve">(H) Cost, $ </w:t>
            </w:r>
            <w:r>
              <w:rPr>
                <w:b/>
                <w:bCs/>
                <w:color w:val="000000"/>
                <w:sz w:val="20"/>
                <w:szCs w:val="20"/>
                <w:vertAlign w:val="superscript"/>
              </w:rPr>
              <w:t>b</w:t>
            </w:r>
          </w:p>
        </w:tc>
      </w:tr>
      <w:tr w:rsidR="002A1F18" w:rsidTr="00DC526A">
        <w:trPr>
          <w:trHeight w:val="375"/>
          <w:jc w:val="center"/>
        </w:trPr>
        <w:tc>
          <w:tcPr>
            <w:tcW w:w="4257" w:type="dxa"/>
            <w:tcBorders>
              <w:top w:val="nil"/>
              <w:left w:val="single" w:sz="4" w:space="0" w:color="auto"/>
              <w:bottom w:val="single" w:sz="4" w:space="0" w:color="auto"/>
              <w:right w:val="single" w:sz="4" w:space="0" w:color="auto"/>
            </w:tcBorders>
            <w:tcMar>
              <w:top w:w="14" w:type="dxa"/>
              <w:left w:w="14" w:type="dxa"/>
              <w:bottom w:w="0" w:type="dxa"/>
              <w:right w:w="14" w:type="dxa"/>
            </w:tcMar>
            <w:hideMark/>
          </w:tcPr>
          <w:p w:rsidR="002A1F18" w:rsidRDefault="002A1F18">
            <w:pPr>
              <w:rPr>
                <w:color w:val="000000"/>
                <w:sz w:val="20"/>
                <w:szCs w:val="20"/>
              </w:rPr>
            </w:pPr>
            <w:r>
              <w:rPr>
                <w:color w:val="000000"/>
                <w:sz w:val="20"/>
                <w:szCs w:val="20"/>
              </w:rPr>
              <w:t xml:space="preserve">   Review initial notification </w:t>
            </w:r>
            <w:r>
              <w:rPr>
                <w:color w:val="000000"/>
                <w:vertAlign w:val="superscript"/>
              </w:rPr>
              <w:t>c</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4</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4</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rsidP="00DC526A">
            <w:pPr>
              <w:jc w:val="right"/>
              <w:rPr>
                <w:color w:val="000000"/>
                <w:sz w:val="20"/>
                <w:szCs w:val="20"/>
              </w:rPr>
            </w:pPr>
            <w:r>
              <w:rPr>
                <w:color w:val="000000"/>
                <w:sz w:val="20"/>
                <w:szCs w:val="20"/>
              </w:rPr>
              <w:t xml:space="preserve">$0 </w:t>
            </w:r>
          </w:p>
        </w:tc>
      </w:tr>
      <w:tr w:rsidR="002A1F18" w:rsidTr="00E544D6">
        <w:trPr>
          <w:trHeight w:val="363"/>
          <w:jc w:val="center"/>
        </w:trPr>
        <w:tc>
          <w:tcPr>
            <w:tcW w:w="4257" w:type="dxa"/>
            <w:tcBorders>
              <w:top w:val="nil"/>
              <w:left w:val="single" w:sz="4" w:space="0" w:color="auto"/>
              <w:bottom w:val="single" w:sz="4" w:space="0" w:color="auto"/>
              <w:right w:val="single" w:sz="4" w:space="0" w:color="auto"/>
            </w:tcBorders>
            <w:tcMar>
              <w:top w:w="14" w:type="dxa"/>
              <w:left w:w="14" w:type="dxa"/>
              <w:bottom w:w="0" w:type="dxa"/>
              <w:right w:w="14" w:type="dxa"/>
            </w:tcMar>
            <w:hideMark/>
          </w:tcPr>
          <w:p w:rsidR="002A1F18" w:rsidRDefault="002A1F18">
            <w:pPr>
              <w:rPr>
                <w:color w:val="000000"/>
                <w:sz w:val="20"/>
                <w:szCs w:val="20"/>
              </w:rPr>
            </w:pPr>
            <w:r>
              <w:rPr>
                <w:color w:val="000000"/>
                <w:sz w:val="20"/>
                <w:szCs w:val="20"/>
              </w:rPr>
              <w:t xml:space="preserve">   Review application for construction </w:t>
            </w:r>
            <w:r>
              <w:rPr>
                <w:color w:val="000000"/>
                <w:vertAlign w:val="superscript"/>
              </w:rPr>
              <w:t>c</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4</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4</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0.4</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0.8</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rsidP="00DC526A">
            <w:pPr>
              <w:jc w:val="right"/>
              <w:rPr>
                <w:color w:val="000000"/>
                <w:sz w:val="20"/>
                <w:szCs w:val="20"/>
              </w:rPr>
            </w:pPr>
            <w:r>
              <w:rPr>
                <w:color w:val="000000"/>
                <w:sz w:val="20"/>
                <w:szCs w:val="20"/>
              </w:rPr>
              <w:t xml:space="preserve">$414.60 </w:t>
            </w:r>
          </w:p>
        </w:tc>
      </w:tr>
      <w:tr w:rsidR="002A1F18" w:rsidTr="00E544D6">
        <w:trPr>
          <w:trHeight w:val="336"/>
          <w:jc w:val="center"/>
        </w:trPr>
        <w:tc>
          <w:tcPr>
            <w:tcW w:w="4257" w:type="dxa"/>
            <w:tcBorders>
              <w:top w:val="nil"/>
              <w:left w:val="single" w:sz="4" w:space="0" w:color="auto"/>
              <w:bottom w:val="single" w:sz="4" w:space="0" w:color="auto"/>
              <w:right w:val="single" w:sz="4" w:space="0" w:color="auto"/>
            </w:tcBorders>
            <w:tcMar>
              <w:top w:w="14" w:type="dxa"/>
              <w:left w:w="14" w:type="dxa"/>
              <w:bottom w:w="0" w:type="dxa"/>
              <w:right w:w="14" w:type="dxa"/>
            </w:tcMar>
            <w:hideMark/>
          </w:tcPr>
          <w:p w:rsidR="002A1F18" w:rsidRDefault="002A1F18" w:rsidP="00DC526A">
            <w:pPr>
              <w:rPr>
                <w:color w:val="000000"/>
                <w:sz w:val="20"/>
                <w:szCs w:val="20"/>
              </w:rPr>
            </w:pPr>
            <w:r>
              <w:rPr>
                <w:color w:val="000000"/>
                <w:sz w:val="20"/>
                <w:szCs w:val="20"/>
              </w:rPr>
              <w:t xml:space="preserve">   Review notification of intent to conduct test </w:t>
            </w:r>
            <w:r>
              <w:rPr>
                <w:color w:val="000000"/>
                <w:vertAlign w:val="superscript"/>
              </w:rPr>
              <w:t>d</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4</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4</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0.4</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0.8</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rsidP="00DC526A">
            <w:pPr>
              <w:jc w:val="right"/>
              <w:rPr>
                <w:color w:val="000000"/>
                <w:sz w:val="20"/>
                <w:szCs w:val="20"/>
              </w:rPr>
            </w:pPr>
            <w:r>
              <w:rPr>
                <w:color w:val="000000"/>
                <w:sz w:val="20"/>
                <w:szCs w:val="20"/>
              </w:rPr>
              <w:t xml:space="preserve">$414.60 </w:t>
            </w:r>
          </w:p>
        </w:tc>
      </w:tr>
      <w:tr w:rsidR="002A1F18" w:rsidTr="00DC526A">
        <w:trPr>
          <w:trHeight w:val="630"/>
          <w:jc w:val="center"/>
        </w:trPr>
        <w:tc>
          <w:tcPr>
            <w:tcW w:w="4257" w:type="dxa"/>
            <w:tcBorders>
              <w:top w:val="nil"/>
              <w:left w:val="single" w:sz="4" w:space="0" w:color="auto"/>
              <w:bottom w:val="single" w:sz="4" w:space="0" w:color="auto"/>
              <w:right w:val="single" w:sz="4" w:space="0" w:color="auto"/>
            </w:tcBorders>
            <w:tcMar>
              <w:top w:w="14" w:type="dxa"/>
              <w:left w:w="14" w:type="dxa"/>
              <w:bottom w:w="0" w:type="dxa"/>
              <w:right w:w="14" w:type="dxa"/>
            </w:tcMar>
            <w:hideMark/>
          </w:tcPr>
          <w:p w:rsidR="002A1F18" w:rsidRDefault="002A1F18" w:rsidP="00DC526A">
            <w:pPr>
              <w:rPr>
                <w:color w:val="000000"/>
                <w:sz w:val="20"/>
                <w:szCs w:val="20"/>
              </w:rPr>
            </w:pPr>
            <w:r>
              <w:rPr>
                <w:color w:val="000000"/>
                <w:sz w:val="20"/>
                <w:szCs w:val="20"/>
              </w:rPr>
              <w:t xml:space="preserve">   Review notification of compliance status </w:t>
            </w:r>
            <w:r>
              <w:rPr>
                <w:color w:val="000000"/>
                <w:vertAlign w:val="superscript"/>
              </w:rPr>
              <w:t>c</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20</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20</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40</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rsidP="00DC526A">
            <w:pPr>
              <w:jc w:val="right"/>
              <w:rPr>
                <w:color w:val="000000"/>
                <w:sz w:val="20"/>
                <w:szCs w:val="20"/>
              </w:rPr>
            </w:pPr>
            <w:r>
              <w:rPr>
                <w:color w:val="000000"/>
                <w:sz w:val="20"/>
                <w:szCs w:val="20"/>
              </w:rPr>
              <w:t xml:space="preserve">$2,072.98 </w:t>
            </w:r>
          </w:p>
        </w:tc>
      </w:tr>
      <w:tr w:rsidR="002A1F18" w:rsidTr="00DC526A">
        <w:trPr>
          <w:trHeight w:val="375"/>
          <w:jc w:val="center"/>
        </w:trPr>
        <w:tc>
          <w:tcPr>
            <w:tcW w:w="4257" w:type="dxa"/>
            <w:tcBorders>
              <w:top w:val="nil"/>
              <w:left w:val="single" w:sz="4" w:space="0" w:color="auto"/>
              <w:bottom w:val="single" w:sz="4" w:space="0" w:color="auto"/>
              <w:right w:val="single" w:sz="4" w:space="0" w:color="auto"/>
            </w:tcBorders>
            <w:tcMar>
              <w:top w:w="14" w:type="dxa"/>
              <w:left w:w="14" w:type="dxa"/>
              <w:bottom w:w="0" w:type="dxa"/>
              <w:right w:w="14" w:type="dxa"/>
            </w:tcMar>
            <w:hideMark/>
          </w:tcPr>
          <w:p w:rsidR="002A1F18" w:rsidRDefault="002A1F18">
            <w:pPr>
              <w:rPr>
                <w:color w:val="000000"/>
                <w:sz w:val="20"/>
                <w:szCs w:val="20"/>
              </w:rPr>
            </w:pPr>
            <w:r>
              <w:rPr>
                <w:color w:val="000000"/>
                <w:sz w:val="20"/>
                <w:szCs w:val="20"/>
              </w:rPr>
              <w:t xml:space="preserve">   Review compliance report </w:t>
            </w:r>
            <w:r>
              <w:rPr>
                <w:color w:val="000000"/>
                <w:vertAlign w:val="superscript"/>
              </w:rPr>
              <w:t>e</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20</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2</w:t>
            </w:r>
          </w:p>
        </w:tc>
        <w:tc>
          <w:tcPr>
            <w:tcW w:w="0" w:type="auto"/>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40</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80</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rsidP="00DC526A">
            <w:pPr>
              <w:jc w:val="right"/>
              <w:rPr>
                <w:color w:val="000000"/>
                <w:sz w:val="20"/>
                <w:szCs w:val="20"/>
              </w:rPr>
            </w:pPr>
            <w:r>
              <w:rPr>
                <w:color w:val="000000"/>
                <w:sz w:val="20"/>
                <w:szCs w:val="20"/>
              </w:rPr>
              <w:t xml:space="preserve">$4,145.96 </w:t>
            </w:r>
          </w:p>
        </w:tc>
      </w:tr>
      <w:tr w:rsidR="002A1F18" w:rsidTr="00DC526A">
        <w:trPr>
          <w:trHeight w:val="630"/>
          <w:jc w:val="center"/>
        </w:trPr>
        <w:tc>
          <w:tcPr>
            <w:tcW w:w="4257" w:type="dxa"/>
            <w:tcBorders>
              <w:top w:val="nil"/>
              <w:left w:val="single" w:sz="4" w:space="0" w:color="auto"/>
              <w:bottom w:val="single" w:sz="4" w:space="0" w:color="auto"/>
              <w:right w:val="single" w:sz="4" w:space="0" w:color="auto"/>
            </w:tcBorders>
            <w:tcMar>
              <w:top w:w="14" w:type="dxa"/>
              <w:left w:w="14" w:type="dxa"/>
              <w:bottom w:w="0" w:type="dxa"/>
              <w:right w:w="14" w:type="dxa"/>
            </w:tcMar>
            <w:hideMark/>
          </w:tcPr>
          <w:p w:rsidR="002A1F18" w:rsidRDefault="002A1F18" w:rsidP="00DC526A">
            <w:pPr>
              <w:rPr>
                <w:color w:val="000000"/>
                <w:sz w:val="20"/>
                <w:szCs w:val="20"/>
              </w:rPr>
            </w:pPr>
            <w:r>
              <w:rPr>
                <w:color w:val="000000"/>
                <w:sz w:val="20"/>
                <w:szCs w:val="20"/>
              </w:rPr>
              <w:t xml:space="preserve">   Review subsequent performance test report </w:t>
            </w:r>
            <w:r>
              <w:rPr>
                <w:color w:val="000000"/>
                <w:vertAlign w:val="superscript"/>
              </w:rPr>
              <w:t>f</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10</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10</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rsidP="00DC526A">
            <w:pPr>
              <w:jc w:val="right"/>
              <w:rPr>
                <w:color w:val="000000"/>
                <w:sz w:val="20"/>
                <w:szCs w:val="20"/>
              </w:rPr>
            </w:pPr>
            <w:r>
              <w:rPr>
                <w:color w:val="000000"/>
                <w:sz w:val="20"/>
                <w:szCs w:val="20"/>
              </w:rPr>
              <w:t xml:space="preserve">$0 </w:t>
            </w:r>
          </w:p>
        </w:tc>
      </w:tr>
      <w:tr w:rsidR="002A1F18" w:rsidTr="00DC526A">
        <w:trPr>
          <w:trHeight w:val="510"/>
          <w:jc w:val="center"/>
        </w:trPr>
        <w:tc>
          <w:tcPr>
            <w:tcW w:w="4257" w:type="dxa"/>
            <w:tcBorders>
              <w:top w:val="nil"/>
              <w:left w:val="single" w:sz="4" w:space="0" w:color="auto"/>
              <w:bottom w:val="single" w:sz="4" w:space="0" w:color="auto"/>
              <w:right w:val="single" w:sz="4" w:space="0" w:color="auto"/>
            </w:tcBorders>
            <w:tcMar>
              <w:top w:w="14" w:type="dxa"/>
              <w:left w:w="14" w:type="dxa"/>
              <w:bottom w:w="0" w:type="dxa"/>
              <w:right w:w="14" w:type="dxa"/>
            </w:tcMar>
            <w:hideMark/>
          </w:tcPr>
          <w:p w:rsidR="002A1F18" w:rsidRDefault="002A1F18" w:rsidP="00DC526A">
            <w:pPr>
              <w:rPr>
                <w:color w:val="000000"/>
                <w:sz w:val="20"/>
                <w:szCs w:val="20"/>
              </w:rPr>
            </w:pPr>
            <w:r>
              <w:rPr>
                <w:color w:val="000000"/>
                <w:sz w:val="20"/>
                <w:szCs w:val="20"/>
              </w:rPr>
              <w:t xml:space="preserve">   Review startup, shutdown, malfunction report</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8</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10</w:t>
            </w:r>
          </w:p>
        </w:tc>
        <w:tc>
          <w:tcPr>
            <w:tcW w:w="0" w:type="auto"/>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80</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160</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16</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rsidP="00DC526A">
            <w:pPr>
              <w:jc w:val="right"/>
              <w:rPr>
                <w:color w:val="000000"/>
                <w:sz w:val="20"/>
                <w:szCs w:val="20"/>
              </w:rPr>
            </w:pPr>
            <w:r>
              <w:rPr>
                <w:color w:val="000000"/>
                <w:sz w:val="20"/>
                <w:szCs w:val="20"/>
              </w:rPr>
              <w:t xml:space="preserve">$8,291.92 </w:t>
            </w:r>
          </w:p>
        </w:tc>
      </w:tr>
      <w:tr w:rsidR="002A1F18" w:rsidTr="00DC526A">
        <w:trPr>
          <w:trHeight w:val="300"/>
          <w:jc w:val="center"/>
        </w:trPr>
        <w:tc>
          <w:tcPr>
            <w:tcW w:w="4257" w:type="dxa"/>
            <w:tcBorders>
              <w:top w:val="nil"/>
              <w:left w:val="single" w:sz="4" w:space="0" w:color="auto"/>
              <w:bottom w:val="single" w:sz="4" w:space="0" w:color="auto"/>
              <w:right w:val="single" w:sz="4" w:space="0" w:color="auto"/>
            </w:tcBorders>
            <w:tcMar>
              <w:top w:w="14" w:type="dxa"/>
              <w:left w:w="14" w:type="dxa"/>
              <w:bottom w:w="0" w:type="dxa"/>
              <w:right w:w="14" w:type="dxa"/>
            </w:tcMar>
            <w:hideMark/>
          </w:tcPr>
          <w:p w:rsidR="002A1F18" w:rsidRDefault="002A1F18">
            <w:pPr>
              <w:rPr>
                <w:color w:val="000000"/>
                <w:sz w:val="20"/>
                <w:szCs w:val="20"/>
              </w:rPr>
            </w:pPr>
            <w:r>
              <w:rPr>
                <w:color w:val="000000"/>
                <w:sz w:val="20"/>
                <w:szCs w:val="20"/>
              </w:rPr>
              <w:t xml:space="preserve">   Attend performance test</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20</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20</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40</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rsidP="00DC526A">
            <w:pPr>
              <w:jc w:val="right"/>
              <w:rPr>
                <w:color w:val="000000"/>
                <w:sz w:val="20"/>
                <w:szCs w:val="20"/>
              </w:rPr>
            </w:pPr>
            <w:r>
              <w:rPr>
                <w:color w:val="000000"/>
                <w:sz w:val="20"/>
                <w:szCs w:val="20"/>
              </w:rPr>
              <w:t xml:space="preserve">$2,072.98 </w:t>
            </w:r>
          </w:p>
        </w:tc>
      </w:tr>
      <w:tr w:rsidR="002A1F18" w:rsidTr="00DC526A">
        <w:trPr>
          <w:trHeight w:val="510"/>
          <w:jc w:val="center"/>
        </w:trPr>
        <w:tc>
          <w:tcPr>
            <w:tcW w:w="4257" w:type="dxa"/>
            <w:tcBorders>
              <w:top w:val="nil"/>
              <w:left w:val="single" w:sz="4" w:space="0" w:color="auto"/>
              <w:bottom w:val="single" w:sz="4" w:space="0" w:color="auto"/>
              <w:right w:val="single" w:sz="4" w:space="0" w:color="auto"/>
            </w:tcBorders>
            <w:tcMar>
              <w:top w:w="14" w:type="dxa"/>
              <w:left w:w="14" w:type="dxa"/>
              <w:bottom w:w="0" w:type="dxa"/>
              <w:right w:w="14" w:type="dxa"/>
            </w:tcMar>
            <w:hideMark/>
          </w:tcPr>
          <w:p w:rsidR="002A1F18" w:rsidRDefault="002A1F18">
            <w:pPr>
              <w:rPr>
                <w:b/>
                <w:bCs/>
                <w:color w:val="000000"/>
                <w:sz w:val="20"/>
                <w:szCs w:val="20"/>
              </w:rPr>
            </w:pPr>
            <w:r>
              <w:rPr>
                <w:b/>
                <w:bCs/>
                <w:color w:val="000000"/>
                <w:sz w:val="20"/>
                <w:szCs w:val="20"/>
              </w:rPr>
              <w:t xml:space="preserve">TOTAL ANNUAL BURDEN AND COST </w:t>
            </w:r>
          </w:p>
          <w:p w:rsidR="0076042A" w:rsidRDefault="0076042A">
            <w:pPr>
              <w:rPr>
                <w:b/>
                <w:bCs/>
                <w:color w:val="000000"/>
                <w:sz w:val="20"/>
                <w:szCs w:val="20"/>
              </w:rPr>
            </w:pPr>
            <w:r>
              <w:rPr>
                <w:b/>
                <w:bCs/>
                <w:color w:val="000000"/>
                <w:sz w:val="20"/>
                <w:szCs w:val="20"/>
              </w:rPr>
              <w:t>(rounded)</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 </w:t>
            </w:r>
          </w:p>
        </w:tc>
        <w:tc>
          <w:tcPr>
            <w:tcW w:w="0" w:type="auto"/>
            <w:gridSpan w:val="3"/>
            <w:tcBorders>
              <w:top w:val="single" w:sz="4" w:space="0" w:color="auto"/>
              <w:left w:val="nil"/>
              <w:bottom w:val="single" w:sz="4" w:space="0" w:color="auto"/>
              <w:right w:val="single" w:sz="4" w:space="0" w:color="000000"/>
            </w:tcBorders>
            <w:shd w:val="clear" w:color="auto" w:fill="auto"/>
            <w:noWrap/>
            <w:tcMar>
              <w:top w:w="14" w:type="dxa"/>
              <w:left w:w="14" w:type="dxa"/>
              <w:bottom w:w="0" w:type="dxa"/>
              <w:right w:w="14" w:type="dxa"/>
            </w:tcMar>
            <w:vAlign w:val="center"/>
            <w:hideMark/>
          </w:tcPr>
          <w:p w:rsidR="002A1F18" w:rsidRDefault="002A1F18">
            <w:pPr>
              <w:jc w:val="center"/>
              <w:rPr>
                <w:color w:val="000000"/>
                <w:sz w:val="20"/>
                <w:szCs w:val="20"/>
              </w:rPr>
            </w:pPr>
            <w:r>
              <w:rPr>
                <w:color w:val="000000"/>
                <w:sz w:val="20"/>
                <w:szCs w:val="20"/>
              </w:rPr>
              <w:t>386</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2A1F18" w:rsidRDefault="002A1F18" w:rsidP="0076042A">
            <w:pPr>
              <w:jc w:val="right"/>
              <w:rPr>
                <w:color w:val="000000"/>
                <w:sz w:val="20"/>
                <w:szCs w:val="20"/>
              </w:rPr>
            </w:pPr>
            <w:r>
              <w:rPr>
                <w:color w:val="000000"/>
                <w:sz w:val="20"/>
                <w:szCs w:val="20"/>
              </w:rPr>
              <w:t xml:space="preserve">$17,413 </w:t>
            </w:r>
          </w:p>
        </w:tc>
      </w:tr>
    </w:tbl>
    <w:p w:rsidR="00845301" w:rsidRDefault="00845301" w:rsidP="00CD60BD">
      <w:pPr>
        <w:ind w:left="-180" w:right="-270"/>
        <w:rPr>
          <w:vertAlign w:val="superscript"/>
        </w:rPr>
      </w:pPr>
    </w:p>
    <w:p w:rsidR="00845301" w:rsidRPr="00845301" w:rsidRDefault="00CD60BD" w:rsidP="00CD60BD">
      <w:pPr>
        <w:ind w:left="-180" w:right="-270"/>
        <w:rPr>
          <w:b/>
          <w:sz w:val="20"/>
          <w:szCs w:val="20"/>
        </w:rPr>
      </w:pPr>
      <w:r>
        <w:rPr>
          <w:vertAlign w:val="superscript"/>
        </w:rPr>
        <w:t xml:space="preserve">    </w:t>
      </w:r>
      <w:r w:rsidR="00845301">
        <w:rPr>
          <w:vertAlign w:val="superscript"/>
        </w:rPr>
        <w:t xml:space="preserve">        </w:t>
      </w:r>
      <w:r w:rsidR="00845301" w:rsidRPr="00845301">
        <w:rPr>
          <w:b/>
          <w:sz w:val="20"/>
          <w:szCs w:val="20"/>
        </w:rPr>
        <w:t>Assumptions:</w:t>
      </w:r>
    </w:p>
    <w:p w:rsidR="00845301" w:rsidRDefault="00845301" w:rsidP="00CD60BD">
      <w:pPr>
        <w:ind w:left="-180" w:right="-270"/>
        <w:rPr>
          <w:vertAlign w:val="superscript"/>
        </w:rPr>
      </w:pPr>
    </w:p>
    <w:p w:rsidR="00845301" w:rsidRDefault="00845301" w:rsidP="00CD60BD">
      <w:pPr>
        <w:ind w:left="-180" w:right="-270"/>
        <w:rPr>
          <w:sz w:val="20"/>
        </w:rPr>
      </w:pPr>
      <w:r>
        <w:rPr>
          <w:vertAlign w:val="superscript"/>
        </w:rPr>
        <w:t xml:space="preserve">            </w:t>
      </w:r>
      <w:r w:rsidR="00CD60BD">
        <w:rPr>
          <w:vertAlign w:val="superscript"/>
        </w:rPr>
        <w:t xml:space="preserve">a </w:t>
      </w:r>
      <w:r w:rsidR="00CD60BD">
        <w:rPr>
          <w:sz w:val="20"/>
        </w:rPr>
        <w:t xml:space="preserve"> We have assumed that the average number of respondents that will be subject to the rule will be 81.  There will be two additional new sources per year that </w:t>
      </w:r>
    </w:p>
    <w:p w:rsidR="00CD60BD" w:rsidRDefault="00845301" w:rsidP="00CD60BD">
      <w:pPr>
        <w:ind w:left="-180" w:right="-270"/>
        <w:rPr>
          <w:sz w:val="20"/>
        </w:rPr>
      </w:pPr>
      <w:r>
        <w:rPr>
          <w:sz w:val="20"/>
        </w:rPr>
        <w:t xml:space="preserve">          </w:t>
      </w:r>
      <w:r w:rsidR="00CD60BD">
        <w:rPr>
          <w:sz w:val="20"/>
        </w:rPr>
        <w:t xml:space="preserve">will become subject to the rule over the three-year period of this ICR. </w:t>
      </w:r>
    </w:p>
    <w:p w:rsidR="00845301" w:rsidRDefault="00845301" w:rsidP="00CD60BD">
      <w:pPr>
        <w:rPr>
          <w:sz w:val="20"/>
        </w:rPr>
      </w:pPr>
      <w:r>
        <w:rPr>
          <w:vertAlign w:val="superscript"/>
        </w:rPr>
        <w:t xml:space="preserve">        </w:t>
      </w:r>
      <w:r w:rsidR="00CD60BD">
        <w:rPr>
          <w:vertAlign w:val="superscript"/>
        </w:rPr>
        <w:t xml:space="preserve">b </w:t>
      </w:r>
      <w:r w:rsidR="00CD60BD">
        <w:rPr>
          <w:sz w:val="20"/>
        </w:rPr>
        <w:t xml:space="preserve"> This cost is based on the following labor rates which incorporates a 1.6 benefits multiplication factor to account for government overhead expenses:</w:t>
      </w:r>
    </w:p>
    <w:p w:rsidR="00845301" w:rsidRDefault="00CD60BD" w:rsidP="00CD60BD">
      <w:pPr>
        <w:rPr>
          <w:sz w:val="20"/>
        </w:rPr>
      </w:pPr>
      <w:r>
        <w:rPr>
          <w:sz w:val="20"/>
        </w:rPr>
        <w:t xml:space="preserve">  </w:t>
      </w:r>
      <w:r w:rsidR="00845301">
        <w:rPr>
          <w:sz w:val="20"/>
        </w:rPr>
        <w:t xml:space="preserve">     </w:t>
      </w:r>
      <w:r>
        <w:rPr>
          <w:sz w:val="20"/>
        </w:rPr>
        <w:t>Managerial rate of $62.27 (GS-13, Step 5, $38.92 x 1.6), Technical rate of $46.21 (GS-12, Step 1, $28.88 x 1.6), and Clerical rate of $25.01 (GS-6, Step 3,</w:t>
      </w:r>
    </w:p>
    <w:p w:rsidR="00CD60BD" w:rsidRDefault="00CD60BD" w:rsidP="00CD60BD">
      <w:pPr>
        <w:rPr>
          <w:sz w:val="20"/>
        </w:rPr>
      </w:pPr>
      <w:r>
        <w:rPr>
          <w:sz w:val="20"/>
        </w:rPr>
        <w:t xml:space="preserve"> </w:t>
      </w:r>
      <w:r w:rsidR="00845301">
        <w:rPr>
          <w:sz w:val="20"/>
        </w:rPr>
        <w:t xml:space="preserve">      </w:t>
      </w:r>
      <w:r>
        <w:rPr>
          <w:sz w:val="20"/>
        </w:rPr>
        <w:t>$15.63 x 1.6).  These rates are from the Office of Personnel Management (OPM) “2011 General Schedule” which excludes locality rates of pay.</w:t>
      </w:r>
    </w:p>
    <w:p w:rsidR="00CD60BD" w:rsidRDefault="00CD60BD" w:rsidP="00CD60BD">
      <w:pPr>
        <w:ind w:left="-180" w:right="-270"/>
        <w:rPr>
          <w:sz w:val="20"/>
        </w:rPr>
      </w:pPr>
      <w:r>
        <w:rPr>
          <w:vertAlign w:val="superscript"/>
        </w:rPr>
        <w:lastRenderedPageBreak/>
        <w:t xml:space="preserve"> </w:t>
      </w:r>
      <w:r w:rsidR="00845301">
        <w:rPr>
          <w:vertAlign w:val="superscript"/>
        </w:rPr>
        <w:t xml:space="preserve">        </w:t>
      </w:r>
      <w:r>
        <w:rPr>
          <w:vertAlign w:val="superscript"/>
        </w:rPr>
        <w:t xml:space="preserve">   </w:t>
      </w:r>
      <w:r w:rsidRPr="005D6F8A">
        <w:rPr>
          <w:vertAlign w:val="superscript"/>
        </w:rPr>
        <w:t>c</w:t>
      </w:r>
      <w:r>
        <w:rPr>
          <w:sz w:val="20"/>
        </w:rPr>
        <w:t xml:space="preserve">  This is a one-time only activity for each facility.</w:t>
      </w:r>
    </w:p>
    <w:p w:rsidR="00CD60BD" w:rsidRDefault="00CD60BD" w:rsidP="00CD60BD">
      <w:pPr>
        <w:ind w:left="-180" w:right="-270"/>
        <w:rPr>
          <w:sz w:val="20"/>
        </w:rPr>
      </w:pPr>
      <w:r>
        <w:rPr>
          <w:vertAlign w:val="superscript"/>
        </w:rPr>
        <w:t xml:space="preserve">  </w:t>
      </w:r>
      <w:r w:rsidR="00845301">
        <w:rPr>
          <w:vertAlign w:val="superscript"/>
        </w:rPr>
        <w:t xml:space="preserve">        </w:t>
      </w:r>
      <w:r>
        <w:rPr>
          <w:vertAlign w:val="superscript"/>
        </w:rPr>
        <w:t xml:space="preserve">  </w:t>
      </w:r>
      <w:r w:rsidRPr="005D6F8A">
        <w:rPr>
          <w:vertAlign w:val="superscript"/>
        </w:rPr>
        <w:t>d</w:t>
      </w:r>
      <w:r>
        <w:rPr>
          <w:sz w:val="20"/>
        </w:rPr>
        <w:t xml:space="preserve">  We have assumed that each respondent will take 4 hours to review notification of intent to conduct test.</w:t>
      </w:r>
    </w:p>
    <w:p w:rsidR="00CD60BD" w:rsidRDefault="00CD60BD" w:rsidP="00CD60BD">
      <w:pPr>
        <w:ind w:left="-180" w:right="-270"/>
        <w:rPr>
          <w:vertAlign w:val="superscript"/>
        </w:rPr>
      </w:pPr>
      <w:r>
        <w:rPr>
          <w:vertAlign w:val="superscript"/>
        </w:rPr>
        <w:t xml:space="preserve">  </w:t>
      </w:r>
      <w:r w:rsidR="00845301">
        <w:rPr>
          <w:vertAlign w:val="superscript"/>
        </w:rPr>
        <w:t xml:space="preserve">        </w:t>
      </w:r>
      <w:r>
        <w:rPr>
          <w:vertAlign w:val="superscript"/>
        </w:rPr>
        <w:t xml:space="preserve">  </w:t>
      </w:r>
      <w:r w:rsidRPr="005D6F8A">
        <w:rPr>
          <w:vertAlign w:val="superscript"/>
        </w:rPr>
        <w:t>e</w:t>
      </w:r>
      <w:r>
        <w:rPr>
          <w:sz w:val="20"/>
        </w:rPr>
        <w:t xml:space="preserve">  We have assumed that each respondent will take twenty hours to review compliance report twice per year.</w:t>
      </w:r>
      <w:r>
        <w:rPr>
          <w:vertAlign w:val="superscript"/>
        </w:rPr>
        <w:t xml:space="preserve">   </w:t>
      </w:r>
    </w:p>
    <w:p w:rsidR="00845301" w:rsidRDefault="00CD60BD" w:rsidP="00CD60BD">
      <w:pPr>
        <w:ind w:left="-180" w:right="-270"/>
        <w:rPr>
          <w:sz w:val="20"/>
        </w:rPr>
      </w:pPr>
      <w:r>
        <w:rPr>
          <w:vertAlign w:val="superscript"/>
        </w:rPr>
        <w:t xml:space="preserve">   </w:t>
      </w:r>
      <w:r w:rsidR="00845301">
        <w:rPr>
          <w:vertAlign w:val="superscript"/>
        </w:rPr>
        <w:t xml:space="preserve">        </w:t>
      </w:r>
      <w:r>
        <w:rPr>
          <w:vertAlign w:val="superscript"/>
        </w:rPr>
        <w:t xml:space="preserve"> </w:t>
      </w:r>
      <w:r w:rsidRPr="005D6F8A">
        <w:rPr>
          <w:vertAlign w:val="superscript"/>
        </w:rPr>
        <w:t>f</w:t>
      </w:r>
      <w:r>
        <w:rPr>
          <w:sz w:val="20"/>
        </w:rPr>
        <w:t xml:space="preserve">  We have assumed that some facilities will take ten hours to perform tests after the initial compliance determination , by either brining a new produc</w:t>
      </w:r>
      <w:r w:rsidR="008D605C">
        <w:rPr>
          <w:sz w:val="20"/>
        </w:rPr>
        <w:t>t on line</w:t>
      </w:r>
    </w:p>
    <w:p w:rsidR="00CD60BD" w:rsidRDefault="00845301" w:rsidP="00CD60BD">
      <w:pPr>
        <w:ind w:left="-180" w:right="-270"/>
        <w:rPr>
          <w:sz w:val="20"/>
        </w:rPr>
      </w:pPr>
      <w:r>
        <w:rPr>
          <w:sz w:val="20"/>
        </w:rPr>
        <w:t xml:space="preserve">         </w:t>
      </w:r>
      <w:r w:rsidR="008D605C">
        <w:rPr>
          <w:sz w:val="20"/>
        </w:rPr>
        <w:t xml:space="preserve"> or </w:t>
      </w:r>
      <w:r>
        <w:rPr>
          <w:sz w:val="20"/>
        </w:rPr>
        <w:t xml:space="preserve">by </w:t>
      </w:r>
      <w:r w:rsidR="00CD60BD">
        <w:rPr>
          <w:sz w:val="20"/>
        </w:rPr>
        <w:t>significantly increasing its production.</w:t>
      </w:r>
    </w:p>
    <w:p w:rsidR="00CD60BD" w:rsidRDefault="00CD60BD" w:rsidP="00CD60BD">
      <w:pPr>
        <w:spacing w:line="0" w:lineRule="atLeast"/>
      </w:pPr>
      <w:r>
        <w:rPr>
          <w:vertAlign w:val="superscript"/>
        </w:rPr>
        <w:t xml:space="preserve">   </w:t>
      </w:r>
      <w:r w:rsidR="00845301">
        <w:rPr>
          <w:vertAlign w:val="superscript"/>
        </w:rPr>
        <w:t xml:space="preserve">   </w:t>
      </w:r>
      <w:r>
        <w:rPr>
          <w:vertAlign w:val="superscript"/>
        </w:rPr>
        <w:t xml:space="preserve">  </w:t>
      </w:r>
      <w:r w:rsidRPr="00734C49">
        <w:rPr>
          <w:vertAlign w:val="superscript"/>
        </w:rPr>
        <w:t xml:space="preserve">g </w:t>
      </w:r>
      <w:r>
        <w:rPr>
          <w:sz w:val="20"/>
        </w:rPr>
        <w:t xml:space="preserve"> We have assumed that it will take each new respondents eight hours to review the SSM report.  This report will be done.</w:t>
      </w:r>
    </w:p>
    <w:p w:rsidR="00144F35" w:rsidRDefault="00CD60BD" w:rsidP="00F340DF">
      <w:pPr>
        <w:rPr>
          <w:color w:val="000000"/>
        </w:rPr>
      </w:pPr>
      <w:r w:rsidRPr="00144F35" w:rsidDel="002A1F18">
        <w:rPr>
          <w:bCs/>
          <w:color w:val="FF0000"/>
        </w:rPr>
        <w:t xml:space="preserve"> </w:t>
      </w:r>
    </w:p>
    <w:sectPr w:rsidR="00144F35" w:rsidSect="002A1F18">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7C6" w:rsidRDefault="00C427C6">
      <w:r>
        <w:separator/>
      </w:r>
    </w:p>
  </w:endnote>
  <w:endnote w:type="continuationSeparator" w:id="0">
    <w:p w:rsidR="00C427C6" w:rsidRDefault="00C427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7C6" w:rsidRDefault="00C427C6">
      <w:r>
        <w:separator/>
      </w:r>
    </w:p>
  </w:footnote>
  <w:footnote w:type="continuationSeparator" w:id="0">
    <w:p w:rsidR="00C427C6" w:rsidRDefault="00C427C6">
      <w:r>
        <w:continuationSeparator/>
      </w:r>
    </w:p>
  </w:footnote>
  <w:footnote w:id="1">
    <w:p w:rsidR="00C427C6" w:rsidRPr="00893D5F" w:rsidRDefault="00C427C6" w:rsidP="004D1C15">
      <w:pPr>
        <w:pStyle w:val="FootnoteText"/>
      </w:pPr>
      <w:r w:rsidRPr="00893D5F">
        <w:rPr>
          <w:rStyle w:val="FootnoteReference"/>
          <w:vertAlign w:val="superscript"/>
        </w:rPr>
        <w:footnoteRef/>
      </w:r>
      <w:r w:rsidRPr="00893D5F">
        <w:rPr>
          <w:vertAlign w:val="superscript"/>
        </w:rPr>
        <w:t xml:space="preserve"> </w:t>
      </w:r>
      <w:r>
        <w:t>Economic Impact Analysis of the Proposed Hydrochloric Acid (HCl) Production NESHAP, September 2001, EPA-452/R01-014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C6" w:rsidRDefault="00C427C6">
    <w:pPr>
      <w:framePr w:w="9361" w:wrap="notBeside" w:vAnchor="text" w:hAnchor="text" w:x="1" w:y="1"/>
      <w:jc w:val="center"/>
    </w:pPr>
    <w:fldSimple w:instr="PAGE ">
      <w:r w:rsidR="00F85D1D">
        <w:rPr>
          <w:noProof/>
        </w:rPr>
        <w:t>19</w:t>
      </w:r>
    </w:fldSimple>
  </w:p>
  <w:p w:rsidR="00C427C6" w:rsidRDefault="00C427C6"/>
  <w:p w:rsidR="00C427C6" w:rsidRDefault="00C427C6">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619B"/>
    <w:rsid w:val="00044334"/>
    <w:rsid w:val="00055BDF"/>
    <w:rsid w:val="00055DC5"/>
    <w:rsid w:val="00056F10"/>
    <w:rsid w:val="000774CC"/>
    <w:rsid w:val="00087709"/>
    <w:rsid w:val="00097927"/>
    <w:rsid w:val="000A1FBB"/>
    <w:rsid w:val="000A687C"/>
    <w:rsid w:val="000B190A"/>
    <w:rsid w:val="000C5EFD"/>
    <w:rsid w:val="000D2272"/>
    <w:rsid w:val="000D3A24"/>
    <w:rsid w:val="000D7168"/>
    <w:rsid w:val="000F0BCF"/>
    <w:rsid w:val="000F1E43"/>
    <w:rsid w:val="000F60F7"/>
    <w:rsid w:val="000F772C"/>
    <w:rsid w:val="00101B40"/>
    <w:rsid w:val="0010697C"/>
    <w:rsid w:val="00123889"/>
    <w:rsid w:val="00126A7C"/>
    <w:rsid w:val="0014079D"/>
    <w:rsid w:val="00144978"/>
    <w:rsid w:val="00144A82"/>
    <w:rsid w:val="00144F35"/>
    <w:rsid w:val="0015433E"/>
    <w:rsid w:val="00186DA3"/>
    <w:rsid w:val="00195222"/>
    <w:rsid w:val="00195753"/>
    <w:rsid w:val="001A0B41"/>
    <w:rsid w:val="001B0B9A"/>
    <w:rsid w:val="001B35F2"/>
    <w:rsid w:val="001C5991"/>
    <w:rsid w:val="001D762C"/>
    <w:rsid w:val="001F19FF"/>
    <w:rsid w:val="002041C5"/>
    <w:rsid w:val="002063FE"/>
    <w:rsid w:val="00206932"/>
    <w:rsid w:val="00206FA6"/>
    <w:rsid w:val="0021722B"/>
    <w:rsid w:val="00220447"/>
    <w:rsid w:val="0022738C"/>
    <w:rsid w:val="00234A28"/>
    <w:rsid w:val="00236DB3"/>
    <w:rsid w:val="002431D9"/>
    <w:rsid w:val="00253856"/>
    <w:rsid w:val="002638A0"/>
    <w:rsid w:val="002712EB"/>
    <w:rsid w:val="0027222A"/>
    <w:rsid w:val="002743D2"/>
    <w:rsid w:val="00277F42"/>
    <w:rsid w:val="00281CAE"/>
    <w:rsid w:val="0029006A"/>
    <w:rsid w:val="002904E7"/>
    <w:rsid w:val="0029645C"/>
    <w:rsid w:val="002976E9"/>
    <w:rsid w:val="002A1F18"/>
    <w:rsid w:val="002B29A5"/>
    <w:rsid w:val="002B29A7"/>
    <w:rsid w:val="002B517F"/>
    <w:rsid w:val="002B6993"/>
    <w:rsid w:val="002C1F95"/>
    <w:rsid w:val="002C416A"/>
    <w:rsid w:val="002C77DF"/>
    <w:rsid w:val="002D7683"/>
    <w:rsid w:val="002F674B"/>
    <w:rsid w:val="002F6DB3"/>
    <w:rsid w:val="003139FC"/>
    <w:rsid w:val="00317820"/>
    <w:rsid w:val="00332DAB"/>
    <w:rsid w:val="00340712"/>
    <w:rsid w:val="00341540"/>
    <w:rsid w:val="003511C6"/>
    <w:rsid w:val="00354C15"/>
    <w:rsid w:val="0038797C"/>
    <w:rsid w:val="003C4B46"/>
    <w:rsid w:val="003C5023"/>
    <w:rsid w:val="003D77E1"/>
    <w:rsid w:val="003E30B5"/>
    <w:rsid w:val="003E4C18"/>
    <w:rsid w:val="0040391F"/>
    <w:rsid w:val="00426898"/>
    <w:rsid w:val="004303E3"/>
    <w:rsid w:val="0043182A"/>
    <w:rsid w:val="00432849"/>
    <w:rsid w:val="00437866"/>
    <w:rsid w:val="00440C25"/>
    <w:rsid w:val="0044133C"/>
    <w:rsid w:val="00455557"/>
    <w:rsid w:val="00460988"/>
    <w:rsid w:val="00471672"/>
    <w:rsid w:val="00484A45"/>
    <w:rsid w:val="00486619"/>
    <w:rsid w:val="004A4B25"/>
    <w:rsid w:val="004C5E95"/>
    <w:rsid w:val="004C701D"/>
    <w:rsid w:val="004D1C15"/>
    <w:rsid w:val="004E3034"/>
    <w:rsid w:val="004E5FFC"/>
    <w:rsid w:val="004F1469"/>
    <w:rsid w:val="004F6FCD"/>
    <w:rsid w:val="00507EC5"/>
    <w:rsid w:val="00516952"/>
    <w:rsid w:val="005253D4"/>
    <w:rsid w:val="00551815"/>
    <w:rsid w:val="00560AD2"/>
    <w:rsid w:val="00565A51"/>
    <w:rsid w:val="00571260"/>
    <w:rsid w:val="00583626"/>
    <w:rsid w:val="005A1986"/>
    <w:rsid w:val="005B5DE8"/>
    <w:rsid w:val="005C3665"/>
    <w:rsid w:val="005D385C"/>
    <w:rsid w:val="005E194B"/>
    <w:rsid w:val="005F42F8"/>
    <w:rsid w:val="00601205"/>
    <w:rsid w:val="00606DEF"/>
    <w:rsid w:val="006125FF"/>
    <w:rsid w:val="00631517"/>
    <w:rsid w:val="00635DBD"/>
    <w:rsid w:val="006669FE"/>
    <w:rsid w:val="00670493"/>
    <w:rsid w:val="00673A96"/>
    <w:rsid w:val="006741F7"/>
    <w:rsid w:val="00686BE2"/>
    <w:rsid w:val="00690014"/>
    <w:rsid w:val="00694B55"/>
    <w:rsid w:val="006A7D1E"/>
    <w:rsid w:val="006E4A6E"/>
    <w:rsid w:val="006E4E22"/>
    <w:rsid w:val="006E642B"/>
    <w:rsid w:val="006E65CC"/>
    <w:rsid w:val="00707AEF"/>
    <w:rsid w:val="0076042A"/>
    <w:rsid w:val="00763160"/>
    <w:rsid w:val="00772BDB"/>
    <w:rsid w:val="00780612"/>
    <w:rsid w:val="00786A20"/>
    <w:rsid w:val="007A0634"/>
    <w:rsid w:val="007A16F4"/>
    <w:rsid w:val="007A458D"/>
    <w:rsid w:val="007A772C"/>
    <w:rsid w:val="007C0FAA"/>
    <w:rsid w:val="007C3D8A"/>
    <w:rsid w:val="007F07FB"/>
    <w:rsid w:val="00810507"/>
    <w:rsid w:val="00813E69"/>
    <w:rsid w:val="00817E8B"/>
    <w:rsid w:val="008338D4"/>
    <w:rsid w:val="0084255D"/>
    <w:rsid w:val="00845301"/>
    <w:rsid w:val="00850ACF"/>
    <w:rsid w:val="008519C3"/>
    <w:rsid w:val="00851DEB"/>
    <w:rsid w:val="00852038"/>
    <w:rsid w:val="0088639E"/>
    <w:rsid w:val="00896C67"/>
    <w:rsid w:val="008B407C"/>
    <w:rsid w:val="008D605C"/>
    <w:rsid w:val="008E65E6"/>
    <w:rsid w:val="008F285B"/>
    <w:rsid w:val="008F4564"/>
    <w:rsid w:val="009018EC"/>
    <w:rsid w:val="00906EDB"/>
    <w:rsid w:val="00911CC1"/>
    <w:rsid w:val="00912AC3"/>
    <w:rsid w:val="00912E00"/>
    <w:rsid w:val="00921F39"/>
    <w:rsid w:val="00923C46"/>
    <w:rsid w:val="0092663C"/>
    <w:rsid w:val="00934A35"/>
    <w:rsid w:val="00956048"/>
    <w:rsid w:val="009711DB"/>
    <w:rsid w:val="0098627A"/>
    <w:rsid w:val="009A0F50"/>
    <w:rsid w:val="009A16CD"/>
    <w:rsid w:val="009B1188"/>
    <w:rsid w:val="009B1B34"/>
    <w:rsid w:val="009C06F5"/>
    <w:rsid w:val="009D6567"/>
    <w:rsid w:val="009E0F31"/>
    <w:rsid w:val="00A007F5"/>
    <w:rsid w:val="00A038EC"/>
    <w:rsid w:val="00A145B0"/>
    <w:rsid w:val="00A15172"/>
    <w:rsid w:val="00A26EF7"/>
    <w:rsid w:val="00A277D6"/>
    <w:rsid w:val="00A379F8"/>
    <w:rsid w:val="00A54EEA"/>
    <w:rsid w:val="00A56BFF"/>
    <w:rsid w:val="00A65210"/>
    <w:rsid w:val="00A73600"/>
    <w:rsid w:val="00A74C1E"/>
    <w:rsid w:val="00A7661C"/>
    <w:rsid w:val="00A95BC7"/>
    <w:rsid w:val="00A962DF"/>
    <w:rsid w:val="00B07F79"/>
    <w:rsid w:val="00B16C07"/>
    <w:rsid w:val="00B46A57"/>
    <w:rsid w:val="00B637A8"/>
    <w:rsid w:val="00B65754"/>
    <w:rsid w:val="00B66231"/>
    <w:rsid w:val="00B769F1"/>
    <w:rsid w:val="00B82025"/>
    <w:rsid w:val="00B86D33"/>
    <w:rsid w:val="00B95DEE"/>
    <w:rsid w:val="00B97866"/>
    <w:rsid w:val="00BA0A91"/>
    <w:rsid w:val="00BA4887"/>
    <w:rsid w:val="00BB3390"/>
    <w:rsid w:val="00BB3C1A"/>
    <w:rsid w:val="00BC6DEF"/>
    <w:rsid w:val="00BE2989"/>
    <w:rsid w:val="00BE7A11"/>
    <w:rsid w:val="00BF722F"/>
    <w:rsid w:val="00C05282"/>
    <w:rsid w:val="00C05779"/>
    <w:rsid w:val="00C13FE8"/>
    <w:rsid w:val="00C27C17"/>
    <w:rsid w:val="00C30A60"/>
    <w:rsid w:val="00C32A48"/>
    <w:rsid w:val="00C33ABA"/>
    <w:rsid w:val="00C37BB6"/>
    <w:rsid w:val="00C427C6"/>
    <w:rsid w:val="00C52EFD"/>
    <w:rsid w:val="00C64378"/>
    <w:rsid w:val="00C65C92"/>
    <w:rsid w:val="00C75CF0"/>
    <w:rsid w:val="00C808B5"/>
    <w:rsid w:val="00C82DB6"/>
    <w:rsid w:val="00C85734"/>
    <w:rsid w:val="00C907B1"/>
    <w:rsid w:val="00CA4CD6"/>
    <w:rsid w:val="00CB2710"/>
    <w:rsid w:val="00CC48AB"/>
    <w:rsid w:val="00CC58F6"/>
    <w:rsid w:val="00CC657B"/>
    <w:rsid w:val="00CD2069"/>
    <w:rsid w:val="00CD280D"/>
    <w:rsid w:val="00CD60BD"/>
    <w:rsid w:val="00D13D9A"/>
    <w:rsid w:val="00D1446B"/>
    <w:rsid w:val="00D14A8D"/>
    <w:rsid w:val="00D21198"/>
    <w:rsid w:val="00D2273E"/>
    <w:rsid w:val="00D30C36"/>
    <w:rsid w:val="00D42D52"/>
    <w:rsid w:val="00D4527D"/>
    <w:rsid w:val="00D46FA2"/>
    <w:rsid w:val="00D5080D"/>
    <w:rsid w:val="00D56F5F"/>
    <w:rsid w:val="00D61B37"/>
    <w:rsid w:val="00D63B96"/>
    <w:rsid w:val="00D92F66"/>
    <w:rsid w:val="00D95819"/>
    <w:rsid w:val="00DA7285"/>
    <w:rsid w:val="00DB081C"/>
    <w:rsid w:val="00DB59E1"/>
    <w:rsid w:val="00DC526A"/>
    <w:rsid w:val="00DD1AC1"/>
    <w:rsid w:val="00DD7D49"/>
    <w:rsid w:val="00DE282D"/>
    <w:rsid w:val="00DF5C4E"/>
    <w:rsid w:val="00E10DA7"/>
    <w:rsid w:val="00E1538C"/>
    <w:rsid w:val="00E25DB6"/>
    <w:rsid w:val="00E276CD"/>
    <w:rsid w:val="00E32EDA"/>
    <w:rsid w:val="00E34950"/>
    <w:rsid w:val="00E458A4"/>
    <w:rsid w:val="00E53137"/>
    <w:rsid w:val="00E544D6"/>
    <w:rsid w:val="00E702F6"/>
    <w:rsid w:val="00E77D5E"/>
    <w:rsid w:val="00E868BB"/>
    <w:rsid w:val="00EA1746"/>
    <w:rsid w:val="00EA37A9"/>
    <w:rsid w:val="00EA7026"/>
    <w:rsid w:val="00EC3393"/>
    <w:rsid w:val="00EC4074"/>
    <w:rsid w:val="00EF113F"/>
    <w:rsid w:val="00F03803"/>
    <w:rsid w:val="00F04393"/>
    <w:rsid w:val="00F066C9"/>
    <w:rsid w:val="00F20822"/>
    <w:rsid w:val="00F312ED"/>
    <w:rsid w:val="00F340DF"/>
    <w:rsid w:val="00F538BC"/>
    <w:rsid w:val="00F85D1D"/>
    <w:rsid w:val="00F9092B"/>
    <w:rsid w:val="00F92D22"/>
    <w:rsid w:val="00F955C6"/>
    <w:rsid w:val="00FA1162"/>
    <w:rsid w:val="00FB0650"/>
    <w:rsid w:val="00FB4D98"/>
    <w:rsid w:val="00FB7BCE"/>
    <w:rsid w:val="00FC4694"/>
    <w:rsid w:val="00FC4E09"/>
    <w:rsid w:val="00FD1261"/>
    <w:rsid w:val="00FE2099"/>
    <w:rsid w:val="00FE5B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4E2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E4E22"/>
  </w:style>
  <w:style w:type="character" w:customStyle="1" w:styleId="Hypertext">
    <w:name w:val="Hypertext"/>
    <w:rsid w:val="006E4E22"/>
    <w:rPr>
      <w:color w:val="0000FF"/>
      <w:u w:val="single"/>
    </w:rPr>
  </w:style>
  <w:style w:type="paragraph" w:customStyle="1" w:styleId="Level1">
    <w:name w:val="Level 1"/>
    <w:basedOn w:val="Normal"/>
    <w:rsid w:val="006E4E22"/>
    <w:pPr>
      <w:ind w:left="1440" w:hanging="720"/>
    </w:pPr>
  </w:style>
  <w:style w:type="character" w:customStyle="1" w:styleId="1">
    <w:name w:val="1"/>
    <w:rsid w:val="006E4E22"/>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FootnoteText">
    <w:name w:val="footnote text"/>
    <w:basedOn w:val="Normal"/>
    <w:link w:val="FootnoteTextChar"/>
    <w:rsid w:val="004D1C15"/>
    <w:rPr>
      <w:sz w:val="20"/>
      <w:szCs w:val="20"/>
    </w:rPr>
  </w:style>
  <w:style w:type="character" w:customStyle="1" w:styleId="FootnoteTextChar">
    <w:name w:val="Footnote Text Char"/>
    <w:basedOn w:val="DefaultParagraphFont"/>
    <w:link w:val="FootnoteText"/>
    <w:rsid w:val="004D1C15"/>
  </w:style>
  <w:style w:type="paragraph" w:styleId="BodyTextIndent">
    <w:name w:val="Body Text Indent"/>
    <w:basedOn w:val="Normal"/>
    <w:link w:val="BodyTextIndentChar"/>
    <w:rsid w:val="004E5FFC"/>
    <w:pPr>
      <w:ind w:firstLine="720"/>
    </w:pPr>
    <w:rPr>
      <w:color w:val="000000"/>
    </w:rPr>
  </w:style>
  <w:style w:type="character" w:customStyle="1" w:styleId="BodyTextIndentChar">
    <w:name w:val="Body Text Indent Char"/>
    <w:basedOn w:val="DefaultParagraphFont"/>
    <w:link w:val="BodyTextIndent"/>
    <w:rsid w:val="004E5FFC"/>
    <w:rPr>
      <w:color w:val="000000"/>
      <w:sz w:val="24"/>
      <w:szCs w:val="24"/>
    </w:rPr>
  </w:style>
  <w:style w:type="paragraph" w:styleId="NormalWeb">
    <w:name w:val="Normal (Web)"/>
    <w:basedOn w:val="Normal"/>
    <w:uiPriority w:val="99"/>
    <w:unhideWhenUsed/>
    <w:rsid w:val="000F60F7"/>
    <w:pPr>
      <w:widowControl/>
      <w:autoSpaceDE/>
      <w:autoSpaceDN/>
      <w:adjustRightInd/>
      <w:spacing w:before="136" w:after="136"/>
    </w:p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26082249">
      <w:bodyDiv w:val="1"/>
      <w:marLeft w:val="0"/>
      <w:marRight w:val="0"/>
      <w:marTop w:val="0"/>
      <w:marBottom w:val="0"/>
      <w:divBdr>
        <w:top w:val="none" w:sz="0" w:space="0" w:color="auto"/>
        <w:left w:val="none" w:sz="0" w:space="0" w:color="auto"/>
        <w:bottom w:val="none" w:sz="0" w:space="0" w:color="auto"/>
        <w:right w:val="none" w:sz="0" w:space="0" w:color="auto"/>
      </w:divBdr>
    </w:div>
    <w:div w:id="159281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F4AFA-1F01-4B73-AE0D-F7C65ACA3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5436</Words>
  <Characters>30811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dcterms:created xsi:type="dcterms:W3CDTF">2012-08-30T13:20:00Z</dcterms:created>
  <dcterms:modified xsi:type="dcterms:W3CDTF">2012-08-30T13:20:00Z</dcterms:modified>
</cp:coreProperties>
</file>