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4CC" w:rsidRDefault="007844CC">
      <w:pPr>
        <w:jc w:val="center"/>
        <w:rPr>
          <w:rFonts w:ascii="Times New Roman" w:hAnsi="Times New Roman"/>
          <w:b/>
          <w:bCs/>
        </w:rPr>
      </w:pPr>
      <w:r>
        <w:rPr>
          <w:rFonts w:ascii="Times New Roman" w:hAnsi="Times New Roman"/>
          <w:b/>
          <w:bCs/>
        </w:rPr>
        <w:t>Office of the Comptroller of the Currency</w:t>
      </w:r>
    </w:p>
    <w:p w:rsidR="006353FB" w:rsidRDefault="006353FB">
      <w:pPr>
        <w:jc w:val="center"/>
        <w:rPr>
          <w:rFonts w:ascii="Times New Roman" w:hAnsi="Times New Roman"/>
          <w:b/>
          <w:bCs/>
        </w:rPr>
      </w:pPr>
      <w:r>
        <w:rPr>
          <w:rFonts w:ascii="Times New Roman" w:hAnsi="Times New Roman"/>
          <w:b/>
          <w:bCs/>
        </w:rPr>
        <w:t>Supporting Statement</w:t>
      </w:r>
    </w:p>
    <w:p w:rsidR="006353FB" w:rsidRDefault="006353FB">
      <w:pPr>
        <w:jc w:val="center"/>
        <w:rPr>
          <w:rFonts w:ascii="Times New Roman" w:hAnsi="Times New Roman"/>
          <w:b/>
          <w:bCs/>
        </w:rPr>
      </w:pPr>
      <w:r>
        <w:rPr>
          <w:rFonts w:ascii="Times New Roman" w:hAnsi="Times New Roman"/>
          <w:b/>
          <w:bCs/>
        </w:rPr>
        <w:t>Customer Complaint Form</w:t>
      </w:r>
    </w:p>
    <w:p w:rsidR="007844CC" w:rsidRDefault="007844CC">
      <w:pPr>
        <w:jc w:val="center"/>
        <w:rPr>
          <w:rFonts w:ascii="Times New Roman" w:hAnsi="Times New Roman"/>
          <w:b/>
          <w:bCs/>
        </w:rPr>
      </w:pPr>
      <w:r>
        <w:rPr>
          <w:rFonts w:ascii="Times New Roman" w:hAnsi="Times New Roman"/>
          <w:b/>
          <w:bCs/>
        </w:rPr>
        <w:t>OMB Control No. 1557-0232</w:t>
      </w:r>
    </w:p>
    <w:p w:rsidR="006353FB" w:rsidRDefault="006353FB">
      <w:pPr>
        <w:rPr>
          <w:rFonts w:ascii="Times New Roman" w:hAnsi="Times New Roman"/>
        </w:rPr>
      </w:pP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A. Justification.</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 </w:t>
      </w:r>
      <w:r>
        <w:rPr>
          <w:rFonts w:ascii="Times New Roman" w:hAnsi="Times New Roman"/>
          <w:u w:val="single"/>
        </w:rPr>
        <w:t>Circumstances that make the collection necessary:</w:t>
      </w:r>
    </w:p>
    <w:p w:rsidR="006353FB" w:rsidRDefault="006353FB">
      <w:pPr>
        <w:rPr>
          <w:rFonts w:ascii="Times New Roman" w:hAnsi="Times New Roman"/>
        </w:rPr>
      </w:pPr>
    </w:p>
    <w:p w:rsidR="006353FB" w:rsidRDefault="006353FB" w:rsidP="00511BC7">
      <w:pPr>
        <w:rPr>
          <w:rFonts w:ascii="Times New Roman" w:hAnsi="Times New Roman"/>
        </w:rPr>
      </w:pPr>
      <w:r>
        <w:rPr>
          <w:rFonts w:ascii="Times New Roman" w:hAnsi="Times New Roman"/>
        </w:rPr>
        <w:t>The customer complaint form w</w:t>
      </w:r>
      <w:r w:rsidR="00834643">
        <w:rPr>
          <w:rFonts w:ascii="Times New Roman" w:hAnsi="Times New Roman"/>
        </w:rPr>
        <w:t>as</w:t>
      </w:r>
      <w:r>
        <w:rPr>
          <w:rFonts w:ascii="Times New Roman" w:hAnsi="Times New Roman"/>
        </w:rPr>
        <w:t xml:space="preserve"> developed as a courtesy for those that contact the Office of the Comptroller of the Currency’s</w:t>
      </w:r>
      <w:r w:rsidR="00DD254C">
        <w:rPr>
          <w:rFonts w:ascii="Times New Roman" w:hAnsi="Times New Roman"/>
        </w:rPr>
        <w:t xml:space="preserve"> (OCC)</w:t>
      </w:r>
      <w:r>
        <w:rPr>
          <w:rFonts w:ascii="Times New Roman" w:hAnsi="Times New Roman"/>
        </w:rPr>
        <w:t xml:space="preserve"> Customer Assistance Group </w:t>
      </w:r>
      <w:r w:rsidR="00713F61">
        <w:rPr>
          <w:rFonts w:ascii="Times New Roman" w:hAnsi="Times New Roman"/>
        </w:rPr>
        <w:t xml:space="preserve">(CAG) </w:t>
      </w:r>
      <w:r>
        <w:rPr>
          <w:rFonts w:ascii="Times New Roman" w:hAnsi="Times New Roman"/>
        </w:rPr>
        <w:t xml:space="preserve">and wish to file a formal, written complaint.  </w:t>
      </w:r>
      <w:r w:rsidR="00834643">
        <w:rPr>
          <w:rFonts w:ascii="Times New Roman" w:hAnsi="Times New Roman"/>
        </w:rPr>
        <w:t xml:space="preserve">The form </w:t>
      </w:r>
      <w:r>
        <w:rPr>
          <w:rFonts w:ascii="Times New Roman" w:hAnsi="Times New Roman"/>
        </w:rPr>
        <w:t xml:space="preserve">allows the consumer to focus </w:t>
      </w:r>
      <w:r w:rsidR="00834643">
        <w:rPr>
          <w:rFonts w:ascii="Times New Roman" w:hAnsi="Times New Roman"/>
        </w:rPr>
        <w:t>their</w:t>
      </w:r>
      <w:r>
        <w:rPr>
          <w:rFonts w:ascii="Times New Roman" w:hAnsi="Times New Roman"/>
        </w:rPr>
        <w:t xml:space="preserve"> issues and provide a complete picture of their concerns, but is entirely voluntary.  It is designed to prevent having to go back to the consumer for additional information, which delays the process.  Completion of the form allows the C</w:t>
      </w:r>
      <w:r w:rsidR="00DD254C">
        <w:rPr>
          <w:rFonts w:ascii="Times New Roman" w:hAnsi="Times New Roman"/>
        </w:rPr>
        <w:t>AG</w:t>
      </w:r>
      <w:r>
        <w:rPr>
          <w:rFonts w:ascii="Times New Roman" w:hAnsi="Times New Roman"/>
        </w:rPr>
        <w:t xml:space="preserve"> to process the complaint more efficiently.</w:t>
      </w:r>
    </w:p>
    <w:p w:rsidR="006353FB" w:rsidRDefault="006353FB">
      <w:pPr>
        <w:rPr>
          <w:rFonts w:ascii="Times New Roman" w:hAnsi="Times New Roman"/>
        </w:rPr>
      </w:pPr>
    </w:p>
    <w:p w:rsidR="006353FB" w:rsidRDefault="006353FB" w:rsidP="00182F89">
      <w:pPr>
        <w:pStyle w:val="HTMLPreformatted"/>
        <w:rPr>
          <w:rFonts w:ascii="Times New Roman" w:hAnsi="Times New Roman" w:cs="Times New Roman"/>
          <w:sz w:val="24"/>
          <w:szCs w:val="24"/>
        </w:rPr>
      </w:pPr>
      <w:r w:rsidRPr="00182F89">
        <w:rPr>
          <w:rFonts w:ascii="Times New Roman" w:hAnsi="Times New Roman" w:cs="Times New Roman"/>
          <w:sz w:val="24"/>
          <w:szCs w:val="24"/>
        </w:rPr>
        <w:t xml:space="preserve">This collection of information is solicited pursuant to </w:t>
      </w:r>
      <w:r w:rsidR="00E943B9" w:rsidRPr="00182F89">
        <w:rPr>
          <w:rFonts w:ascii="Times New Roman" w:hAnsi="Times New Roman" w:cs="Times New Roman"/>
          <w:sz w:val="24"/>
          <w:szCs w:val="24"/>
        </w:rPr>
        <w:t xml:space="preserve">the Federal Trade Commission Act, </w:t>
      </w:r>
      <w:r w:rsidRPr="00182F89">
        <w:rPr>
          <w:rFonts w:ascii="Times New Roman" w:hAnsi="Times New Roman" w:cs="Times New Roman"/>
          <w:sz w:val="24"/>
          <w:szCs w:val="24"/>
        </w:rPr>
        <w:t>15 U.S.C. 57a(f)(1), the purpose of which is to prevent unfair or deceptive acts or practices in or affecting commerce, including acts or practices which are unfair or deceptive to consumers by banks.  Agencies must establish a separate division of consumer affairs to receive and take appropriate action upon complaints with respect to such acts or practices by banks subject to its jurisdiction.</w:t>
      </w:r>
    </w:p>
    <w:p w:rsidR="00D20B5F" w:rsidRDefault="00D20B5F" w:rsidP="00182F89">
      <w:pPr>
        <w:pStyle w:val="HTMLPreformatted"/>
        <w:rPr>
          <w:rFonts w:ascii="Times New Roman" w:hAnsi="Times New Roman" w:cs="Times New Roman"/>
          <w:sz w:val="24"/>
          <w:szCs w:val="24"/>
        </w:rPr>
      </w:pPr>
    </w:p>
    <w:p w:rsidR="006353FB" w:rsidRDefault="006353FB">
      <w:pPr>
        <w:tabs>
          <w:tab w:val="left" w:pos="-1440"/>
        </w:tabs>
        <w:ind w:left="4320" w:hanging="4320"/>
        <w:rPr>
          <w:rFonts w:ascii="Times New Roman" w:hAnsi="Times New Roman"/>
        </w:rPr>
      </w:pPr>
      <w:r>
        <w:rPr>
          <w:rFonts w:ascii="Times New Roman" w:hAnsi="Times New Roman"/>
        </w:rPr>
        <w:t xml:space="preserve">2. </w:t>
      </w:r>
      <w:r>
        <w:rPr>
          <w:rFonts w:ascii="Times New Roman" w:hAnsi="Times New Roman"/>
          <w:u w:val="single"/>
        </w:rPr>
        <w:t>Use of the information:</w:t>
      </w:r>
      <w:r>
        <w:rPr>
          <w:rFonts w:ascii="Times New Roman" w:hAnsi="Times New Roman"/>
        </w:rPr>
        <w:tab/>
      </w:r>
      <w:r>
        <w:rPr>
          <w:rFonts w:ascii="Times New Roman" w:hAnsi="Times New Roman"/>
        </w:rPr>
        <w:tab/>
      </w:r>
    </w:p>
    <w:p w:rsidR="006353FB" w:rsidRDefault="006353FB">
      <w:pPr>
        <w:pStyle w:val="Header"/>
        <w:tabs>
          <w:tab w:val="clear" w:pos="4320"/>
          <w:tab w:val="clear" w:pos="8640"/>
        </w:tabs>
        <w:rPr>
          <w:rFonts w:ascii="Times New Roman" w:hAnsi="Times New Roman"/>
        </w:rPr>
      </w:pPr>
    </w:p>
    <w:p w:rsidR="006353FB" w:rsidRDefault="006353FB" w:rsidP="00511BC7">
      <w:pPr>
        <w:rPr>
          <w:rFonts w:ascii="Times New Roman" w:hAnsi="Times New Roman"/>
        </w:rPr>
      </w:pPr>
      <w:r>
        <w:rPr>
          <w:rFonts w:ascii="Times New Roman" w:hAnsi="Times New Roman"/>
        </w:rPr>
        <w:t>The Customer Assistance Group will use the information to create a record of the consumer’s contact, including capturing information that can be used to resolve the consumer’s issues and provide a database of information that is incorporated into the OCC’s supervisory process.</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u w:val="single"/>
        </w:rPr>
      </w:pPr>
      <w:r>
        <w:rPr>
          <w:rFonts w:ascii="Times New Roman" w:hAnsi="Times New Roman"/>
        </w:rPr>
        <w:t xml:space="preserve">3. </w:t>
      </w:r>
      <w:r>
        <w:rPr>
          <w:rFonts w:ascii="Times New Roman" w:hAnsi="Times New Roman"/>
          <w:u w:val="single"/>
        </w:rPr>
        <w:t>Consideration of the use of information technology:</w:t>
      </w:r>
    </w:p>
    <w:p w:rsidR="001A60DE" w:rsidRDefault="001A60DE" w:rsidP="00E75547">
      <w:pPr>
        <w:rPr>
          <w:rFonts w:ascii="Times New Roman" w:hAnsi="Times New Roman"/>
        </w:rPr>
      </w:pPr>
    </w:p>
    <w:p w:rsidR="00C8153B" w:rsidRDefault="006353FB" w:rsidP="00E75547">
      <w:pPr>
        <w:rPr>
          <w:rFonts w:ascii="Times New Roman" w:hAnsi="Times New Roman"/>
        </w:rPr>
      </w:pPr>
      <w:r>
        <w:rPr>
          <w:rFonts w:ascii="Times New Roman" w:hAnsi="Times New Roman"/>
        </w:rPr>
        <w:t xml:space="preserve">Respondents may use any available information technology to complete the form.  </w:t>
      </w:r>
      <w:r w:rsidR="00F44F2E">
        <w:rPr>
          <w:rFonts w:ascii="Times New Roman" w:hAnsi="Times New Roman"/>
        </w:rPr>
        <w:t>Consumers can a</w:t>
      </w:r>
      <w:r w:rsidR="00C8153B">
        <w:rPr>
          <w:rFonts w:ascii="Times New Roman" w:hAnsi="Times New Roman"/>
        </w:rPr>
        <w:t>cc</w:t>
      </w:r>
      <w:r w:rsidR="00F44F2E">
        <w:rPr>
          <w:rFonts w:ascii="Times New Roman" w:hAnsi="Times New Roman"/>
        </w:rPr>
        <w:t xml:space="preserve">ess the form at the </w:t>
      </w:r>
      <w:hyperlink r:id="rId7" w:history="1">
        <w:r w:rsidR="00E75547" w:rsidRPr="00D934CB">
          <w:rPr>
            <w:rStyle w:val="Hyperlink"/>
            <w:rFonts w:ascii="Times New Roman" w:hAnsi="Times New Roman"/>
          </w:rPr>
          <w:t>www.HelpWithMyBank.gov</w:t>
        </w:r>
      </w:hyperlink>
      <w:r w:rsidR="00F44F2E">
        <w:rPr>
          <w:rFonts w:ascii="Times New Roman" w:hAnsi="Times New Roman"/>
        </w:rPr>
        <w:t xml:space="preserve"> web site</w:t>
      </w:r>
      <w:r w:rsidR="00E75547" w:rsidRPr="00D934CB">
        <w:rPr>
          <w:rFonts w:ascii="Times New Roman" w:hAnsi="Times New Roman"/>
        </w:rPr>
        <w:t xml:space="preserve">.  The </w:t>
      </w:r>
      <w:r w:rsidR="00F44F2E">
        <w:rPr>
          <w:rFonts w:ascii="Times New Roman" w:hAnsi="Times New Roman"/>
        </w:rPr>
        <w:t>w</w:t>
      </w:r>
      <w:r w:rsidR="00E75547" w:rsidRPr="00D934CB">
        <w:rPr>
          <w:rFonts w:ascii="Times New Roman" w:hAnsi="Times New Roman"/>
        </w:rPr>
        <w:t xml:space="preserve">eb site </w:t>
      </w:r>
      <w:r w:rsidR="00F44F2E">
        <w:rPr>
          <w:rFonts w:ascii="Times New Roman" w:hAnsi="Times New Roman"/>
        </w:rPr>
        <w:t xml:space="preserve">is available </w:t>
      </w:r>
      <w:r w:rsidR="00E75547" w:rsidRPr="00D934CB">
        <w:rPr>
          <w:rFonts w:ascii="Times New Roman" w:hAnsi="Times New Roman"/>
        </w:rPr>
        <w:t>to assist customers of national banks</w:t>
      </w:r>
      <w:r w:rsidR="00C84D05">
        <w:rPr>
          <w:rFonts w:ascii="Times New Roman" w:hAnsi="Times New Roman"/>
        </w:rPr>
        <w:t xml:space="preserve"> or federal savings associations (thrifts)</w:t>
      </w:r>
      <w:r w:rsidR="00E75547" w:rsidRPr="00D934CB">
        <w:rPr>
          <w:rFonts w:ascii="Times New Roman" w:hAnsi="Times New Roman"/>
        </w:rPr>
        <w:t xml:space="preserve"> and other financial institutions with questions common to all banking customers</w:t>
      </w:r>
      <w:r w:rsidR="000B7F05">
        <w:rPr>
          <w:rFonts w:ascii="Times New Roman" w:hAnsi="Times New Roman"/>
        </w:rPr>
        <w:t xml:space="preserve">.  </w:t>
      </w:r>
      <w:r w:rsidR="00F44F2E">
        <w:rPr>
          <w:rFonts w:ascii="Times New Roman" w:hAnsi="Times New Roman"/>
        </w:rPr>
        <w:t xml:space="preserve">The OCC’s </w:t>
      </w:r>
      <w:hyperlink r:id="rId8" w:history="1">
        <w:r w:rsidR="00F44F2E" w:rsidRPr="006B24A1">
          <w:rPr>
            <w:rStyle w:val="Hyperlink"/>
            <w:rFonts w:ascii="Times New Roman" w:hAnsi="Times New Roman"/>
          </w:rPr>
          <w:t>www.occ.gov</w:t>
        </w:r>
      </w:hyperlink>
      <w:r w:rsidR="00F44F2E">
        <w:rPr>
          <w:rFonts w:ascii="Times New Roman" w:hAnsi="Times New Roman"/>
        </w:rPr>
        <w:t xml:space="preserve"> web site also provides a link to the </w:t>
      </w:r>
      <w:hyperlink r:id="rId9" w:history="1">
        <w:r w:rsidR="00F44F2E" w:rsidRPr="006B24A1">
          <w:rPr>
            <w:rStyle w:val="Hyperlink"/>
            <w:rFonts w:ascii="Times New Roman" w:hAnsi="Times New Roman"/>
          </w:rPr>
          <w:t>www.HelpWithMyBank.gov</w:t>
        </w:r>
      </w:hyperlink>
      <w:r w:rsidR="00F44F2E">
        <w:rPr>
          <w:rFonts w:ascii="Times New Roman" w:hAnsi="Times New Roman"/>
        </w:rPr>
        <w:t xml:space="preserve"> web site.  </w:t>
      </w:r>
      <w:r w:rsidR="00134B18">
        <w:rPr>
          <w:rFonts w:ascii="Times New Roman" w:hAnsi="Times New Roman"/>
        </w:rPr>
        <w:t>Consumers</w:t>
      </w:r>
      <w:r w:rsidR="000B7F05">
        <w:rPr>
          <w:rFonts w:ascii="Times New Roman" w:hAnsi="Times New Roman"/>
        </w:rPr>
        <w:t xml:space="preserve"> have the option to file a complaint using an on-line form for which they will receive an email confirmation or download a PDF form that can be completed and mailed or faxed to the Customer Assistance Group.  </w:t>
      </w:r>
      <w:r w:rsidR="00F44F2E">
        <w:rPr>
          <w:rFonts w:ascii="Times New Roman" w:hAnsi="Times New Roman"/>
        </w:rPr>
        <w:t>Both the on-line form and the PDF form are available in English and Spanish language formats.</w:t>
      </w:r>
    </w:p>
    <w:p w:rsidR="00C8153B" w:rsidRDefault="00C8153B" w:rsidP="00E75547">
      <w:pPr>
        <w:rPr>
          <w:rFonts w:ascii="Times New Roman" w:hAnsi="Times New Roman"/>
        </w:rPr>
      </w:pPr>
    </w:p>
    <w:p w:rsidR="00E75547" w:rsidRDefault="00F44F2E" w:rsidP="00E75547">
      <w:pPr>
        <w:rPr>
          <w:rFonts w:ascii="Times New Roman" w:hAnsi="Times New Roman"/>
        </w:rPr>
      </w:pPr>
      <w:r>
        <w:rPr>
          <w:rFonts w:ascii="Times New Roman" w:hAnsi="Times New Roman"/>
        </w:rPr>
        <w:t xml:space="preserve">The on-line form </w:t>
      </w:r>
      <w:r w:rsidR="00C8153B">
        <w:rPr>
          <w:rFonts w:ascii="Times New Roman" w:hAnsi="Times New Roman"/>
        </w:rPr>
        <w:t xml:space="preserve">contains sections that match the PDF form, </w:t>
      </w:r>
      <w:r w:rsidR="00DA5559">
        <w:rPr>
          <w:rFonts w:ascii="Times New Roman" w:hAnsi="Times New Roman"/>
        </w:rPr>
        <w:t>whic</w:t>
      </w:r>
      <w:r w:rsidR="00C8153B">
        <w:rPr>
          <w:rFonts w:ascii="Times New Roman" w:hAnsi="Times New Roman"/>
        </w:rPr>
        <w:t xml:space="preserve">h are presented on a single visible page.  Required fields are also highlighted and asterisked for user friendliness.  The </w:t>
      </w:r>
      <w:r w:rsidR="00C8153B">
        <w:rPr>
          <w:rFonts w:ascii="Times New Roman" w:hAnsi="Times New Roman"/>
        </w:rPr>
        <w:lastRenderedPageBreak/>
        <w:t>consumer can navigate forwards and backwards through the form using Next and Previous links at the bottom of each section.  The form contains an on-line certification that replaces the PDF form’s signature line and provides the Privacy Act Statement.  Consumers are able to print the on-line submission</w:t>
      </w:r>
      <w:r w:rsidR="00A86242">
        <w:rPr>
          <w:rFonts w:ascii="Times New Roman" w:hAnsi="Times New Roman"/>
        </w:rPr>
        <w:t xml:space="preserve"> when complete</w:t>
      </w:r>
      <w:r w:rsidR="00C8153B">
        <w:rPr>
          <w:rFonts w:ascii="Times New Roman" w:hAnsi="Times New Roman"/>
        </w:rPr>
        <w:t>.  The on-line form</w:t>
      </w:r>
      <w:r w:rsidR="00A86242">
        <w:rPr>
          <w:rFonts w:ascii="Times New Roman" w:hAnsi="Times New Roman"/>
        </w:rPr>
        <w:t xml:space="preserve"> </w:t>
      </w:r>
      <w:r w:rsidR="00C8153B">
        <w:rPr>
          <w:rFonts w:ascii="Times New Roman" w:hAnsi="Times New Roman"/>
        </w:rPr>
        <w:t>streamline</w:t>
      </w:r>
      <w:r w:rsidR="00A86242">
        <w:rPr>
          <w:rFonts w:ascii="Times New Roman" w:hAnsi="Times New Roman"/>
        </w:rPr>
        <w:t>s</w:t>
      </w:r>
      <w:r w:rsidR="00C8153B">
        <w:rPr>
          <w:rFonts w:ascii="Times New Roman" w:hAnsi="Times New Roman"/>
        </w:rPr>
        <w:t xml:space="preserve"> the customer complaint process </w:t>
      </w:r>
      <w:r w:rsidR="00A86242">
        <w:rPr>
          <w:rFonts w:ascii="Times New Roman" w:hAnsi="Times New Roman"/>
        </w:rPr>
        <w:t>by providing a form that is accessible for submission at any time.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u w:val="single"/>
        </w:rPr>
      </w:pPr>
      <w:r>
        <w:rPr>
          <w:rFonts w:ascii="Times New Roman" w:hAnsi="Times New Roman"/>
        </w:rPr>
        <w:t xml:space="preserve">4.  </w:t>
      </w:r>
      <w:r>
        <w:rPr>
          <w:rFonts w:ascii="Times New Roman" w:hAnsi="Times New Roman"/>
          <w:u w:val="single"/>
        </w:rPr>
        <w:t>Efforts to identify duplication:</w:t>
      </w:r>
    </w:p>
    <w:p w:rsidR="002813ED" w:rsidRDefault="002813ED">
      <w:pPr>
        <w:tabs>
          <w:tab w:val="left" w:pos="-1440"/>
        </w:tabs>
        <w:ind w:left="720" w:hanging="720"/>
        <w:rPr>
          <w:rFonts w:ascii="Times New Roman" w:hAnsi="Times New Roman"/>
        </w:rPr>
      </w:pPr>
    </w:p>
    <w:p w:rsidR="00C84D05" w:rsidRDefault="00026909" w:rsidP="002813ED">
      <w:pPr>
        <w:rPr>
          <w:rFonts w:ascii="Times New Roman" w:hAnsi="Times New Roman"/>
          <w:sz w:val="22"/>
          <w:szCs w:val="22"/>
        </w:rPr>
      </w:pPr>
      <w:r w:rsidRPr="00026909">
        <w:rPr>
          <w:rFonts w:ascii="Times New Roman" w:hAnsi="Times New Roman"/>
          <w:sz w:val="22"/>
          <w:szCs w:val="22"/>
        </w:rPr>
        <w:t>July 21, 2011, marked the anniversary of the Dodd-Frank Consumer Protection and Wall Street Reform Act.  On that day, the Bureau of Consumer Financial Protection (CFPB) gained authority to supervise large banks and federal savings associations with more than $10 billion in assets for compliance with certain consumer protection laws.  Part of that authority includes the handling of consumer complaints related to those large financial companies.</w:t>
      </w:r>
      <w:r w:rsidRPr="00026909">
        <w:rPr>
          <w:rFonts w:ascii="Times New Roman" w:hAnsi="Times New Roman"/>
          <w:sz w:val="22"/>
          <w:szCs w:val="22"/>
        </w:rPr>
        <w:br/>
      </w:r>
      <w:r w:rsidRPr="00026909">
        <w:rPr>
          <w:rFonts w:ascii="Times New Roman" w:hAnsi="Times New Roman"/>
          <w:sz w:val="22"/>
          <w:szCs w:val="22"/>
        </w:rPr>
        <w:br/>
        <w:t>The Office of the Comptroller of the Currency will continue to process questions and complaints concerning consumer issues within the jurisdiction of the OCC through our Consumer Assistance Group (CAG) and will continue to send misdirected complaints it receives to the appropriate federal or state regulator.</w:t>
      </w:r>
    </w:p>
    <w:p w:rsidR="00511BC7" w:rsidRDefault="00511BC7">
      <w:pPr>
        <w:tabs>
          <w:tab w:val="left" w:pos="-1440"/>
        </w:tabs>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5. </w:t>
      </w:r>
      <w:r>
        <w:rPr>
          <w:rFonts w:ascii="Times New Roman" w:hAnsi="Times New Roman"/>
          <w:u w:val="single"/>
        </w:rPr>
        <w:t>Methods used to minimize burden if the collection has a significant impact on a substantial number of small entities:</w:t>
      </w:r>
    </w:p>
    <w:p w:rsidR="006353FB" w:rsidRDefault="006353FB">
      <w:pPr>
        <w:rPr>
          <w:rFonts w:ascii="Times New Roman" w:hAnsi="Times New Roman"/>
        </w:rPr>
      </w:pPr>
    </w:p>
    <w:p w:rsidR="006353FB" w:rsidRDefault="000B7F05" w:rsidP="002813ED">
      <w:pPr>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6. </w:t>
      </w:r>
      <w:r>
        <w:rPr>
          <w:rFonts w:ascii="Times New Roman" w:hAnsi="Times New Roman"/>
          <w:u w:val="single"/>
        </w:rPr>
        <w:t>Consequences to the Federal program if the collection were conducted less frequently:</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Less frequent collection would substantially impair the effectiveness of the program.</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7. </w:t>
      </w:r>
      <w:r>
        <w:rPr>
          <w:rFonts w:ascii="Times New Roman" w:hAnsi="Times New Roman"/>
          <w:u w:val="single"/>
        </w:rPr>
        <w:t>Special circumstances necessitating collection inconsistent with 5 CFR Part 1320:</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 xml:space="preserve">The information collection is conducted in accordance with OMB guidelines in 5 CFR </w:t>
      </w:r>
      <w:r w:rsidR="00511BC7">
        <w:rPr>
          <w:rFonts w:ascii="Times New Roman" w:hAnsi="Times New Roman"/>
        </w:rPr>
        <w:t>P</w:t>
      </w:r>
      <w:r w:rsidR="000B7F05">
        <w:rPr>
          <w:rFonts w:ascii="Times New Roman" w:hAnsi="Times New Roman"/>
        </w:rPr>
        <w:t>art 1320.</w:t>
      </w:r>
    </w:p>
    <w:p w:rsidR="00813534" w:rsidRDefault="00813534" w:rsidP="008F322C">
      <w:pPr>
        <w:ind w:firstLine="720"/>
        <w:rPr>
          <w:rFonts w:ascii="Times New Roman" w:hAnsi="Times New Roman"/>
        </w:rPr>
      </w:pPr>
    </w:p>
    <w:p w:rsidR="006353FB" w:rsidRDefault="006353FB">
      <w:pPr>
        <w:tabs>
          <w:tab w:val="left" w:pos="-1440"/>
        </w:tabs>
        <w:rPr>
          <w:rFonts w:ascii="Times New Roman" w:hAnsi="Times New Roman"/>
        </w:rPr>
      </w:pPr>
      <w:r>
        <w:rPr>
          <w:rFonts w:ascii="Times New Roman" w:hAnsi="Times New Roman"/>
        </w:rPr>
        <w:t xml:space="preserve">8. </w:t>
      </w:r>
      <w:r>
        <w:rPr>
          <w:rFonts w:ascii="Times New Roman" w:hAnsi="Times New Roman"/>
          <w:u w:val="single"/>
        </w:rPr>
        <w:t>Efforts to consult with persons outside the agency:</w:t>
      </w:r>
    </w:p>
    <w:p w:rsidR="006353FB" w:rsidRDefault="006353FB">
      <w:pPr>
        <w:rPr>
          <w:rFonts w:ascii="Times New Roman" w:hAnsi="Times New Roman"/>
        </w:rPr>
      </w:pPr>
    </w:p>
    <w:p w:rsidR="006353FB" w:rsidRDefault="00C84D05" w:rsidP="002813ED">
      <w:pPr>
        <w:rPr>
          <w:rFonts w:ascii="Times New Roman" w:hAnsi="Times New Roman"/>
        </w:rPr>
      </w:pPr>
      <w:r>
        <w:rPr>
          <w:rFonts w:ascii="Times New Roman" w:hAnsi="Times New Roman"/>
        </w:rPr>
        <w:t xml:space="preserve">Representatives from the OCC and the CFPB as well as the other FFIEC agencies have been meeting on a regular basis since the </w:t>
      </w:r>
      <w:r w:rsidR="00D855E2">
        <w:rPr>
          <w:rFonts w:ascii="Times New Roman" w:hAnsi="Times New Roman"/>
        </w:rPr>
        <w:t>passage</w:t>
      </w:r>
      <w:r>
        <w:rPr>
          <w:rFonts w:ascii="Times New Roman" w:hAnsi="Times New Roman"/>
        </w:rPr>
        <w:t xml:space="preserve"> of Dodd – Frank </w:t>
      </w:r>
      <w:r w:rsidR="00D855E2">
        <w:rPr>
          <w:rFonts w:ascii="Times New Roman" w:hAnsi="Times New Roman"/>
        </w:rPr>
        <w:t xml:space="preserve">to </w:t>
      </w:r>
      <w:r>
        <w:rPr>
          <w:rFonts w:ascii="Times New Roman" w:hAnsi="Times New Roman"/>
        </w:rPr>
        <w:t xml:space="preserve">establish policies and procedures </w:t>
      </w:r>
      <w:r w:rsidR="00D855E2">
        <w:rPr>
          <w:rFonts w:ascii="Times New Roman" w:hAnsi="Times New Roman"/>
        </w:rPr>
        <w:t>incorporating the requirements of the Act into each agencies processes, including the processing of consumer complaints.</w:t>
      </w:r>
      <w:r w:rsidR="00FE7BA5">
        <w:rPr>
          <w:rFonts w:ascii="Times New Roman" w:hAnsi="Times New Roman"/>
        </w:rPr>
        <w:t xml:space="preserve">  On June 21, 2012, the OCC published a 60-day </w:t>
      </w:r>
      <w:r w:rsidR="00FE7BA5" w:rsidRPr="00FE7BA5">
        <w:rPr>
          <w:rFonts w:ascii="Times New Roman" w:hAnsi="Times New Roman"/>
          <w:i/>
        </w:rPr>
        <w:t xml:space="preserve">Federal Register </w:t>
      </w:r>
      <w:r w:rsidR="00FE7BA5">
        <w:rPr>
          <w:rFonts w:ascii="Times New Roman" w:hAnsi="Times New Roman"/>
        </w:rPr>
        <w:t>Notice</w:t>
      </w:r>
      <w:r w:rsidR="00596019">
        <w:rPr>
          <w:rFonts w:ascii="Times New Roman" w:hAnsi="Times New Roman"/>
        </w:rPr>
        <w:t xml:space="preserve"> for this collection.  77 FR 37475.  No comments were received</w:t>
      </w:r>
      <w:r w:rsidR="00EE4F13">
        <w:rPr>
          <w:rFonts w:ascii="Times New Roman" w:hAnsi="Times New Roman"/>
        </w:rPr>
        <w:t xml:space="preserve"> on the information collection</w:t>
      </w:r>
      <w:r w:rsidR="00596019">
        <w:rPr>
          <w:rFonts w:ascii="Times New Roman" w:hAnsi="Times New Roman"/>
        </w:rPr>
        <w:t>.</w:t>
      </w:r>
    </w:p>
    <w:p w:rsidR="00D855E2" w:rsidRDefault="00D855E2">
      <w:pPr>
        <w:rPr>
          <w:rFonts w:ascii="Times New Roman" w:hAnsi="Times New Roman"/>
        </w:rPr>
      </w:pPr>
    </w:p>
    <w:p w:rsidR="006353FB" w:rsidRDefault="006353FB">
      <w:pPr>
        <w:rPr>
          <w:rFonts w:ascii="Times New Roman" w:hAnsi="Times New Roman"/>
        </w:rPr>
        <w:sectPr w:rsidR="006353FB">
          <w:headerReference w:type="default" r:id="rId10"/>
          <w:footerReference w:type="default" r:id="rId11"/>
          <w:endnotePr>
            <w:numFmt w:val="decimal"/>
          </w:endnotePr>
          <w:type w:val="continuous"/>
          <w:pgSz w:w="12240" w:h="15840"/>
          <w:pgMar w:top="1440" w:right="1440" w:bottom="1440" w:left="1440" w:header="1440" w:footer="1440" w:gutter="0"/>
          <w:cols w:space="720"/>
          <w:noEndnote/>
        </w:sectPr>
      </w:pPr>
    </w:p>
    <w:p w:rsidR="006353FB" w:rsidRDefault="006353FB">
      <w:pPr>
        <w:rPr>
          <w:rFonts w:ascii="Times New Roman" w:hAnsi="Times New Roman"/>
        </w:rPr>
      </w:pPr>
      <w:r>
        <w:rPr>
          <w:rFonts w:ascii="Times New Roman" w:hAnsi="Times New Roman"/>
        </w:rPr>
        <w:lastRenderedPageBreak/>
        <w:t xml:space="preserve">9. </w:t>
      </w:r>
      <w:r>
        <w:rPr>
          <w:rFonts w:ascii="Times New Roman" w:hAnsi="Times New Roman"/>
          <w:u w:val="single"/>
        </w:rPr>
        <w:t>Payment to respondents:</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None.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10. </w:t>
      </w:r>
      <w:r>
        <w:rPr>
          <w:rFonts w:ascii="Times New Roman" w:hAnsi="Times New Roman"/>
          <w:u w:val="single"/>
        </w:rPr>
        <w:t>Any assurance of confidentiality:</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There is no assurance of confidentiality.</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11. </w:t>
      </w:r>
      <w:r>
        <w:rPr>
          <w:rFonts w:ascii="Times New Roman" w:hAnsi="Times New Roman"/>
          <w:u w:val="single"/>
        </w:rPr>
        <w:t>Justification for questions of a sensitive nature:</w:t>
      </w:r>
    </w:p>
    <w:p w:rsidR="006353FB" w:rsidRDefault="006353FB">
      <w:pPr>
        <w:rPr>
          <w:rFonts w:ascii="Times New Roman" w:hAnsi="Times New Roman"/>
        </w:rPr>
      </w:pPr>
    </w:p>
    <w:p w:rsidR="006353FB" w:rsidRDefault="00813534" w:rsidP="002813ED">
      <w:pPr>
        <w:rPr>
          <w:rFonts w:ascii="Times New Roman" w:hAnsi="Times New Roman"/>
        </w:rPr>
      </w:pPr>
      <w:r>
        <w:rPr>
          <w:rFonts w:ascii="Times New Roman" w:hAnsi="Times New Roman"/>
        </w:rPr>
        <w:t>The form contains requests for personal identifiable information such as the consumer</w:t>
      </w:r>
      <w:r w:rsidR="00182F89">
        <w:rPr>
          <w:rFonts w:ascii="Times New Roman" w:hAnsi="Times New Roman"/>
        </w:rPr>
        <w:t>’</w:t>
      </w:r>
      <w:r>
        <w:rPr>
          <w:rFonts w:ascii="Times New Roman" w:hAnsi="Times New Roman"/>
        </w:rPr>
        <w:t>s name, address, telephone number(s), and email address.  This information is needed to process the complaint.</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12. </w:t>
      </w:r>
      <w:r>
        <w:rPr>
          <w:rFonts w:ascii="Times New Roman" w:hAnsi="Times New Roman"/>
          <w:u w:val="single"/>
        </w:rPr>
        <w:t>Burden estimate:</w:t>
      </w:r>
    </w:p>
    <w:p w:rsidR="006353FB" w:rsidRDefault="006353FB">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p>
    <w:p w:rsidR="006353FB" w:rsidRDefault="006353FB">
      <w:pPr>
        <w:rPr>
          <w:rFonts w:ascii="Times New Roman" w:hAnsi="Times New Roman"/>
        </w:rPr>
      </w:pPr>
    </w:p>
    <w:p w:rsidR="006353FB" w:rsidRDefault="005A06E5">
      <w:pPr>
        <w:rPr>
          <w:rFonts w:ascii="Times New Roman" w:hAnsi="Times New Roman"/>
        </w:rPr>
      </w:pPr>
      <w:r>
        <w:rPr>
          <w:rFonts w:ascii="Times New Roman" w:hAnsi="Times New Roman"/>
        </w:rPr>
        <w:t xml:space="preserve"> 40</w:t>
      </w:r>
      <w:r w:rsidR="00D934CB">
        <w:rPr>
          <w:rFonts w:ascii="Times New Roman" w:hAnsi="Times New Roman"/>
        </w:rPr>
        <w:t>,000</w:t>
      </w:r>
      <w:r w:rsidR="006353FB">
        <w:rPr>
          <w:rFonts w:ascii="Times New Roman" w:hAnsi="Times New Roman"/>
        </w:rPr>
        <w:t xml:space="preserve"> respondents @ 1 response = </w:t>
      </w:r>
      <w:r w:rsidR="00FA1753">
        <w:rPr>
          <w:rFonts w:ascii="Times New Roman" w:hAnsi="Times New Roman"/>
        </w:rPr>
        <w:t>80</w:t>
      </w:r>
      <w:r w:rsidR="00D934CB">
        <w:rPr>
          <w:rFonts w:ascii="Times New Roman" w:hAnsi="Times New Roman"/>
        </w:rPr>
        <w:t>,000</w:t>
      </w:r>
      <w:r w:rsidR="006353FB">
        <w:rPr>
          <w:rFonts w:ascii="Times New Roman" w:hAnsi="Times New Roman"/>
        </w:rPr>
        <w:t xml:space="preserve"> responses</w:t>
      </w:r>
    </w:p>
    <w:p w:rsidR="006353FB" w:rsidRDefault="005A06E5">
      <w:pPr>
        <w:rPr>
          <w:rFonts w:ascii="Times New Roman" w:hAnsi="Times New Roman"/>
        </w:rPr>
      </w:pPr>
      <w:r>
        <w:rPr>
          <w:rFonts w:ascii="Times New Roman" w:hAnsi="Times New Roman"/>
        </w:rPr>
        <w:t xml:space="preserve"> 40</w:t>
      </w:r>
      <w:r w:rsidR="00D934CB">
        <w:rPr>
          <w:rFonts w:ascii="Times New Roman" w:hAnsi="Times New Roman"/>
        </w:rPr>
        <w:t>,000</w:t>
      </w:r>
      <w:r w:rsidR="002548AF">
        <w:rPr>
          <w:rFonts w:ascii="Times New Roman" w:hAnsi="Times New Roman"/>
        </w:rPr>
        <w:t xml:space="preserve"> responses @ </w:t>
      </w:r>
      <w:r w:rsidR="00BA1697">
        <w:rPr>
          <w:rFonts w:ascii="Times New Roman" w:hAnsi="Times New Roman"/>
        </w:rPr>
        <w:t xml:space="preserve">0.083 </w:t>
      </w:r>
      <w:r w:rsidR="006353FB">
        <w:rPr>
          <w:rFonts w:ascii="Times New Roman" w:hAnsi="Times New Roman"/>
        </w:rPr>
        <w:t xml:space="preserve">hour = </w:t>
      </w:r>
      <w:r>
        <w:rPr>
          <w:rFonts w:ascii="Times New Roman" w:hAnsi="Times New Roman"/>
        </w:rPr>
        <w:t xml:space="preserve"> 3,320</w:t>
      </w:r>
      <w:r w:rsidR="002A7C2E">
        <w:rPr>
          <w:rFonts w:ascii="Times New Roman" w:hAnsi="Times New Roman"/>
        </w:rPr>
        <w:t xml:space="preserve"> </w:t>
      </w:r>
      <w:r w:rsidR="006353FB">
        <w:rPr>
          <w:rFonts w:ascii="Times New Roman" w:hAnsi="Times New Roman"/>
        </w:rPr>
        <w:t>burden hours</w:t>
      </w:r>
    </w:p>
    <w:p w:rsidR="006353FB" w:rsidRDefault="006353FB">
      <w:pPr>
        <w:rPr>
          <w:rFonts w:ascii="Times New Roman" w:hAnsi="Times New Roman"/>
        </w:rPr>
      </w:pPr>
    </w:p>
    <w:p w:rsidR="006353FB" w:rsidRDefault="006353FB">
      <w:pPr>
        <w:rPr>
          <w:rFonts w:ascii="Times New Roman" w:hAnsi="Times New Roman"/>
          <w:u w:val="single"/>
        </w:rPr>
      </w:pPr>
      <w:r>
        <w:rPr>
          <w:rFonts w:ascii="Times New Roman" w:hAnsi="Times New Roman"/>
          <w:u w:val="single"/>
        </w:rPr>
        <w:t>The estimated cost of the reporting and disclosure hour burden is as follows:</w:t>
      </w:r>
    </w:p>
    <w:p w:rsidR="001A60DE" w:rsidRDefault="001A60DE">
      <w:pPr>
        <w:rPr>
          <w:rFonts w:ascii="Times New Roman" w:hAnsi="Times New Roman"/>
          <w:u w:val="single"/>
        </w:rPr>
      </w:pPr>
    </w:p>
    <w:p w:rsidR="006353FB" w:rsidRDefault="005A06E5">
      <w:pPr>
        <w:rPr>
          <w:rFonts w:ascii="Times New Roman" w:hAnsi="Times New Roman"/>
        </w:rPr>
      </w:pPr>
      <w:r>
        <w:rPr>
          <w:rFonts w:ascii="Times New Roman" w:hAnsi="Times New Roman"/>
        </w:rPr>
        <w:t xml:space="preserve"> 3,320</w:t>
      </w:r>
      <w:r w:rsidR="006353FB">
        <w:rPr>
          <w:rFonts w:ascii="Times New Roman" w:hAnsi="Times New Roman"/>
        </w:rPr>
        <w:t xml:space="preserve"> burden hours @ $20 =</w:t>
      </w:r>
      <w:r w:rsidR="006353FB">
        <w:rPr>
          <w:rFonts w:ascii="Times New Roman" w:hAnsi="Times New Roman"/>
        </w:rPr>
        <w:tab/>
        <w:t xml:space="preserve">$ </w:t>
      </w:r>
      <w:r>
        <w:rPr>
          <w:rFonts w:ascii="Times New Roman" w:hAnsi="Times New Roman"/>
        </w:rPr>
        <w:t xml:space="preserve"> 66,400</w:t>
      </w:r>
    </w:p>
    <w:p w:rsidR="00511BC7" w:rsidRDefault="00511BC7">
      <w:pPr>
        <w:tabs>
          <w:tab w:val="left" w:pos="-1440"/>
        </w:tabs>
        <w:ind w:left="720" w:hanging="720"/>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13. </w:t>
      </w:r>
      <w:r>
        <w:rPr>
          <w:rFonts w:ascii="Times New Roman" w:hAnsi="Times New Roman"/>
          <w:u w:val="single"/>
        </w:rPr>
        <w:t>Estimate of annualized costs to respondents:</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sidRPr="00526EBB">
        <w:rPr>
          <w:rFonts w:ascii="Times New Roman" w:hAnsi="Times New Roman"/>
        </w:rPr>
        <w:t xml:space="preserve">14. </w:t>
      </w:r>
      <w:r w:rsidRPr="00813534">
        <w:rPr>
          <w:rFonts w:ascii="Times New Roman" w:hAnsi="Times New Roman"/>
          <w:u w:val="single"/>
        </w:rPr>
        <w:t>Estimate of annualized costs to the government</w:t>
      </w:r>
      <w:r>
        <w:rPr>
          <w:rFonts w:ascii="Times New Roman" w:hAnsi="Times New Roman"/>
        </w:rPr>
        <w:t>:</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tabs>
          <w:tab w:val="left" w:pos="-1440"/>
        </w:tabs>
        <w:ind w:left="720" w:hanging="720"/>
        <w:rPr>
          <w:rFonts w:ascii="Times New Roman" w:hAnsi="Times New Roman"/>
        </w:rPr>
      </w:pPr>
      <w:r>
        <w:rPr>
          <w:rFonts w:ascii="Times New Roman" w:hAnsi="Times New Roman"/>
        </w:rPr>
        <w:t xml:space="preserve">15. </w:t>
      </w:r>
      <w:r>
        <w:rPr>
          <w:rFonts w:ascii="Times New Roman" w:hAnsi="Times New Roman"/>
          <w:u w:val="single"/>
        </w:rPr>
        <w:t>Changes in burden:</w:t>
      </w:r>
    </w:p>
    <w:p w:rsidR="006353FB" w:rsidRDefault="006353FB">
      <w:pPr>
        <w:rPr>
          <w:rFonts w:ascii="Times New Roman" w:hAnsi="Times New Roman"/>
        </w:rPr>
      </w:pPr>
    </w:p>
    <w:p w:rsidR="006353FB" w:rsidRDefault="00D934CB">
      <w:pPr>
        <w:rPr>
          <w:rFonts w:ascii="Times New Roman" w:hAnsi="Times New Roman"/>
        </w:rPr>
      </w:pPr>
      <w:r>
        <w:rPr>
          <w:rFonts w:ascii="Times New Roman" w:hAnsi="Times New Roman"/>
        </w:rPr>
        <w:t>Former:</w:t>
      </w:r>
      <w:r>
        <w:rPr>
          <w:rFonts w:ascii="Times New Roman" w:hAnsi="Times New Roman"/>
        </w:rPr>
        <w:tab/>
      </w:r>
      <w:r w:rsidR="005A06E5">
        <w:rPr>
          <w:rFonts w:ascii="Times New Roman" w:hAnsi="Times New Roman"/>
        </w:rPr>
        <w:t xml:space="preserve"> 8</w:t>
      </w:r>
      <w:r w:rsidR="006C2136">
        <w:rPr>
          <w:rFonts w:ascii="Times New Roman" w:hAnsi="Times New Roman"/>
        </w:rPr>
        <w:t xml:space="preserve">1,180 </w:t>
      </w:r>
      <w:r>
        <w:rPr>
          <w:rFonts w:ascii="Times New Roman" w:hAnsi="Times New Roman"/>
        </w:rPr>
        <w:t xml:space="preserve">respondents;  </w:t>
      </w:r>
      <w:r w:rsidR="0025716A">
        <w:rPr>
          <w:rFonts w:ascii="Times New Roman" w:hAnsi="Times New Roman"/>
        </w:rPr>
        <w:t xml:space="preserve"> </w:t>
      </w:r>
      <w:r w:rsidR="00DD254C">
        <w:rPr>
          <w:rFonts w:ascii="Times New Roman" w:hAnsi="Times New Roman"/>
        </w:rPr>
        <w:t xml:space="preserve"> </w:t>
      </w:r>
      <w:r w:rsidR="005A06E5">
        <w:rPr>
          <w:rFonts w:ascii="Times New Roman" w:hAnsi="Times New Roman"/>
        </w:rPr>
        <w:t xml:space="preserve"> </w:t>
      </w:r>
      <w:r w:rsidR="006C2136">
        <w:rPr>
          <w:rFonts w:ascii="Times New Roman" w:hAnsi="Times New Roman"/>
        </w:rPr>
        <w:t>81,180</w:t>
      </w:r>
      <w:r w:rsidR="00182F89">
        <w:rPr>
          <w:rFonts w:ascii="Times New Roman" w:hAnsi="Times New Roman"/>
        </w:rPr>
        <w:t xml:space="preserve"> responses; </w:t>
      </w:r>
      <w:r w:rsidR="00DD254C">
        <w:rPr>
          <w:rFonts w:ascii="Times New Roman" w:hAnsi="Times New Roman"/>
        </w:rPr>
        <w:t xml:space="preserve">  </w:t>
      </w:r>
      <w:r w:rsidR="005A06E5">
        <w:rPr>
          <w:rFonts w:ascii="Times New Roman" w:hAnsi="Times New Roman"/>
        </w:rPr>
        <w:t xml:space="preserve"> 6,</w:t>
      </w:r>
      <w:r w:rsidR="006C2136">
        <w:rPr>
          <w:rFonts w:ascii="Times New Roman" w:hAnsi="Times New Roman"/>
        </w:rPr>
        <w:t>738</w:t>
      </w:r>
      <w:r w:rsidR="001A48B8">
        <w:rPr>
          <w:rFonts w:ascii="Times New Roman" w:hAnsi="Times New Roman"/>
        </w:rPr>
        <w:t xml:space="preserve"> hours</w:t>
      </w:r>
    </w:p>
    <w:p w:rsidR="006353FB" w:rsidRDefault="006353FB">
      <w:pPr>
        <w:rPr>
          <w:rFonts w:ascii="Times New Roman" w:hAnsi="Times New Roman"/>
        </w:rPr>
        <w:sectPr w:rsidR="006353FB">
          <w:endnotePr>
            <w:numFmt w:val="decimal"/>
          </w:endnotePr>
          <w:type w:val="continuous"/>
          <w:pgSz w:w="12240" w:h="15840"/>
          <w:pgMar w:top="1440" w:right="1440" w:bottom="1440" w:left="1440" w:header="1440" w:footer="1440" w:gutter="0"/>
          <w:cols w:space="720"/>
          <w:noEndnote/>
        </w:sectPr>
      </w:pPr>
    </w:p>
    <w:p w:rsidR="006353FB" w:rsidRDefault="00D934CB">
      <w:pPr>
        <w:rPr>
          <w:rFonts w:ascii="Times New Roman" w:hAnsi="Times New Roman"/>
        </w:rPr>
      </w:pPr>
      <w:r>
        <w:rPr>
          <w:rFonts w:ascii="Times New Roman" w:hAnsi="Times New Roman"/>
        </w:rPr>
        <w:lastRenderedPageBreak/>
        <w:t>New:</w:t>
      </w:r>
      <w:r>
        <w:rPr>
          <w:rFonts w:ascii="Times New Roman" w:hAnsi="Times New Roman"/>
        </w:rPr>
        <w:tab/>
      </w:r>
      <w:r>
        <w:rPr>
          <w:rFonts w:ascii="Times New Roman" w:hAnsi="Times New Roman"/>
        </w:rPr>
        <w:tab/>
      </w:r>
      <w:r w:rsidR="005A06E5">
        <w:rPr>
          <w:rFonts w:ascii="Times New Roman" w:hAnsi="Times New Roman"/>
        </w:rPr>
        <w:t>40</w:t>
      </w:r>
      <w:r>
        <w:rPr>
          <w:rFonts w:ascii="Times New Roman" w:hAnsi="Times New Roman"/>
        </w:rPr>
        <w:t>,000 res</w:t>
      </w:r>
      <w:r w:rsidR="00182F89">
        <w:rPr>
          <w:rFonts w:ascii="Times New Roman" w:hAnsi="Times New Roman"/>
        </w:rPr>
        <w:t xml:space="preserve">pondents; </w:t>
      </w:r>
      <w:r w:rsidR="0025716A">
        <w:rPr>
          <w:rFonts w:ascii="Times New Roman" w:hAnsi="Times New Roman"/>
        </w:rPr>
        <w:t xml:space="preserve"> </w:t>
      </w:r>
      <w:r w:rsidR="00182F89">
        <w:rPr>
          <w:rFonts w:ascii="Times New Roman" w:hAnsi="Times New Roman"/>
        </w:rPr>
        <w:t xml:space="preserve">  </w:t>
      </w:r>
      <w:r w:rsidR="005A06E5">
        <w:rPr>
          <w:rFonts w:ascii="Times New Roman" w:hAnsi="Times New Roman"/>
        </w:rPr>
        <w:t xml:space="preserve"> 40</w:t>
      </w:r>
      <w:r w:rsidR="00182F89">
        <w:rPr>
          <w:rFonts w:ascii="Times New Roman" w:hAnsi="Times New Roman"/>
        </w:rPr>
        <w:t>,000 responses;</w:t>
      </w:r>
      <w:r w:rsidR="00DD254C">
        <w:rPr>
          <w:rFonts w:ascii="Times New Roman" w:hAnsi="Times New Roman"/>
        </w:rPr>
        <w:t xml:space="preserve"> </w:t>
      </w:r>
      <w:r w:rsidR="00182F89">
        <w:rPr>
          <w:rFonts w:ascii="Times New Roman" w:hAnsi="Times New Roman"/>
        </w:rPr>
        <w:t xml:space="preserve"> </w:t>
      </w:r>
      <w:r w:rsidR="00DD254C">
        <w:rPr>
          <w:rFonts w:ascii="Times New Roman" w:hAnsi="Times New Roman"/>
        </w:rPr>
        <w:t xml:space="preserve"> </w:t>
      </w:r>
      <w:r w:rsidR="005A06E5">
        <w:rPr>
          <w:rFonts w:ascii="Times New Roman" w:hAnsi="Times New Roman"/>
        </w:rPr>
        <w:t xml:space="preserve"> 3,320</w:t>
      </w:r>
      <w:r>
        <w:rPr>
          <w:rFonts w:ascii="Times New Roman" w:hAnsi="Times New Roman"/>
        </w:rPr>
        <w:t xml:space="preserve"> hours</w:t>
      </w:r>
    </w:p>
    <w:p w:rsidR="006353FB" w:rsidRDefault="006353FB">
      <w:pPr>
        <w:rPr>
          <w:rFonts w:ascii="Times New Roman" w:hAnsi="Times New Roman"/>
        </w:rPr>
      </w:pPr>
      <w:r>
        <w:rPr>
          <w:rFonts w:ascii="Times New Roman" w:hAnsi="Times New Roman"/>
        </w:rPr>
        <w:t xml:space="preserve">Difference:    </w:t>
      </w:r>
      <w:r w:rsidR="005A06E5">
        <w:rPr>
          <w:rFonts w:ascii="Times New Roman" w:hAnsi="Times New Roman"/>
        </w:rPr>
        <w:t>-</w:t>
      </w:r>
      <w:r w:rsidR="006C2136">
        <w:rPr>
          <w:rFonts w:ascii="Times New Roman" w:hAnsi="Times New Roman"/>
        </w:rPr>
        <w:t xml:space="preserve"> 41,180</w:t>
      </w:r>
      <w:r w:rsidR="005A06E5">
        <w:rPr>
          <w:rFonts w:ascii="Times New Roman" w:hAnsi="Times New Roman"/>
        </w:rPr>
        <w:t xml:space="preserve"> </w:t>
      </w:r>
      <w:r w:rsidR="006946E3">
        <w:rPr>
          <w:rFonts w:ascii="Times New Roman" w:hAnsi="Times New Roman"/>
        </w:rPr>
        <w:t>respondents</w:t>
      </w:r>
      <w:r w:rsidR="00DD254C">
        <w:rPr>
          <w:rFonts w:ascii="Times New Roman" w:hAnsi="Times New Roman"/>
        </w:rPr>
        <w:t xml:space="preserve">; </w:t>
      </w:r>
      <w:r w:rsidR="005A06E5">
        <w:rPr>
          <w:rFonts w:ascii="Times New Roman" w:hAnsi="Times New Roman"/>
        </w:rPr>
        <w:t xml:space="preserve"> - </w:t>
      </w:r>
      <w:r w:rsidR="006C2136">
        <w:rPr>
          <w:rFonts w:ascii="Times New Roman" w:hAnsi="Times New Roman"/>
        </w:rPr>
        <w:t>41,180</w:t>
      </w:r>
      <w:r w:rsidR="005A06E5">
        <w:rPr>
          <w:rFonts w:ascii="Times New Roman" w:hAnsi="Times New Roman"/>
        </w:rPr>
        <w:t xml:space="preserve"> </w:t>
      </w:r>
      <w:r w:rsidR="00182F89">
        <w:rPr>
          <w:rFonts w:ascii="Times New Roman" w:hAnsi="Times New Roman"/>
        </w:rPr>
        <w:t>responses</w:t>
      </w:r>
      <w:r w:rsidR="00DD254C">
        <w:rPr>
          <w:rFonts w:ascii="Times New Roman" w:hAnsi="Times New Roman"/>
        </w:rPr>
        <w:t xml:space="preserve">; </w:t>
      </w:r>
      <w:r w:rsidR="005A06E5">
        <w:rPr>
          <w:rFonts w:ascii="Times New Roman" w:hAnsi="Times New Roman"/>
        </w:rPr>
        <w:t>-  3,</w:t>
      </w:r>
      <w:r w:rsidR="006C2136">
        <w:rPr>
          <w:rFonts w:ascii="Times New Roman" w:hAnsi="Times New Roman"/>
        </w:rPr>
        <w:t>418</w:t>
      </w:r>
      <w:r w:rsidR="00D934CB">
        <w:rPr>
          <w:rFonts w:ascii="Times New Roman" w:hAnsi="Times New Roman"/>
        </w:rPr>
        <w:t xml:space="preserve"> hours</w:t>
      </w:r>
    </w:p>
    <w:p w:rsidR="001A48B8" w:rsidRDefault="001A48B8">
      <w:pPr>
        <w:rPr>
          <w:rFonts w:ascii="Times New Roman" w:hAnsi="Times New Roman"/>
        </w:rPr>
      </w:pPr>
    </w:p>
    <w:p w:rsidR="001A60DE" w:rsidRDefault="006353FB" w:rsidP="00134B18">
      <w:pPr>
        <w:rPr>
          <w:rFonts w:ascii="Times New Roman" w:hAnsi="Times New Roman"/>
        </w:rPr>
      </w:pPr>
      <w:r w:rsidRPr="00511BC7">
        <w:rPr>
          <w:rFonts w:ascii="Times New Roman" w:hAnsi="Times New Roman"/>
          <w:u w:val="single"/>
        </w:rPr>
        <w:t>Reason for change in burden</w:t>
      </w:r>
      <w:r>
        <w:rPr>
          <w:rFonts w:ascii="Times New Roman" w:hAnsi="Times New Roman"/>
        </w:rPr>
        <w:t>:</w:t>
      </w:r>
    </w:p>
    <w:p w:rsidR="001A60DE" w:rsidRDefault="001A60DE" w:rsidP="00134B18">
      <w:pPr>
        <w:rPr>
          <w:rFonts w:ascii="Times New Roman" w:hAnsi="Times New Roman"/>
        </w:rPr>
      </w:pPr>
    </w:p>
    <w:p w:rsidR="005A06E5" w:rsidRDefault="005A06E5" w:rsidP="00134B18">
      <w:pPr>
        <w:rPr>
          <w:rFonts w:ascii="Times New Roman" w:hAnsi="Times New Roman"/>
          <w:sz w:val="22"/>
          <w:szCs w:val="22"/>
        </w:rPr>
      </w:pPr>
      <w:r w:rsidRPr="00C84D05">
        <w:rPr>
          <w:rFonts w:ascii="Times New Roman" w:hAnsi="Times New Roman"/>
          <w:sz w:val="22"/>
          <w:szCs w:val="22"/>
        </w:rPr>
        <w:t>July 21, 2011, marked the anniversary of the Dodd-Frank Consumer Protection and Wall Street Reform Act.  On that day, the Bureau of Consumer Financial Protection (CFPB) gained authority to supervise large banks and federal savings associations with more than $10 billion in assets for compliance with certain consumer protection laws.  Part of that authority includes the handling of consumer complaints related to those large financial companies.</w:t>
      </w:r>
      <w:r w:rsidRPr="00C84D05">
        <w:rPr>
          <w:rFonts w:ascii="Times New Roman" w:hAnsi="Times New Roman"/>
          <w:sz w:val="22"/>
          <w:szCs w:val="22"/>
        </w:rPr>
        <w:br/>
      </w:r>
      <w:r w:rsidRPr="00C84D05">
        <w:rPr>
          <w:rFonts w:ascii="Times New Roman" w:hAnsi="Times New Roman"/>
          <w:sz w:val="22"/>
          <w:szCs w:val="22"/>
        </w:rPr>
        <w:br/>
        <w:t xml:space="preserve">The Office of the Comptroller of the Currency will continue to process questions and complaints concerning consumer issues within the jurisdiction of the OCC through our Consumer Assistance Group </w:t>
      </w:r>
      <w:r w:rsidRPr="00C84D05">
        <w:rPr>
          <w:rFonts w:ascii="Times New Roman" w:hAnsi="Times New Roman"/>
          <w:sz w:val="22"/>
          <w:szCs w:val="22"/>
        </w:rPr>
        <w:lastRenderedPageBreak/>
        <w:t>(CAG) and will continue to send misdirected complaints it receives to the appropriate federal or state regulator.</w:t>
      </w:r>
    </w:p>
    <w:p w:rsidR="005A06E5" w:rsidRDefault="005A06E5" w:rsidP="00134B18">
      <w:pPr>
        <w:rPr>
          <w:rFonts w:ascii="Times New Roman" w:hAnsi="Times New Roman"/>
          <w:sz w:val="22"/>
          <w:szCs w:val="22"/>
        </w:rPr>
      </w:pPr>
    </w:p>
    <w:p w:rsidR="006353FB" w:rsidRDefault="006353FB" w:rsidP="008419A1">
      <w:pPr>
        <w:rPr>
          <w:rFonts w:ascii="Times New Roman" w:hAnsi="Times New Roman"/>
        </w:rPr>
      </w:pPr>
      <w:r>
        <w:rPr>
          <w:rFonts w:ascii="Times New Roman" w:hAnsi="Times New Roman"/>
        </w:rPr>
        <w:t xml:space="preserve">16. </w:t>
      </w:r>
      <w:r>
        <w:rPr>
          <w:rFonts w:ascii="Times New Roman" w:hAnsi="Times New Roman"/>
          <w:u w:val="single"/>
        </w:rPr>
        <w:t>Information regarding collections whose results are planned to be published for statistical use:</w:t>
      </w:r>
    </w:p>
    <w:p w:rsidR="006353FB" w:rsidRDefault="006353FB">
      <w:pPr>
        <w:ind w:left="720"/>
        <w:rPr>
          <w:rFonts w:ascii="Times New Roman" w:hAnsi="Times New Roman"/>
        </w:rPr>
      </w:pPr>
    </w:p>
    <w:p w:rsidR="006353FB" w:rsidRDefault="006353FB" w:rsidP="002813ED">
      <w:pPr>
        <w:rPr>
          <w:rFonts w:ascii="Times New Roman" w:hAnsi="Times New Roman"/>
        </w:rPr>
      </w:pPr>
      <w:r>
        <w:rPr>
          <w:rFonts w:ascii="Times New Roman" w:hAnsi="Times New Roman"/>
        </w:rPr>
        <w:t>No publication for statistical use is contemplated.</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17. </w:t>
      </w:r>
      <w:r>
        <w:rPr>
          <w:rFonts w:ascii="Times New Roman" w:hAnsi="Times New Roman"/>
          <w:u w:val="single"/>
        </w:rPr>
        <w:t>Display of expiration date:</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 xml:space="preserve">18. </w:t>
      </w:r>
      <w:r>
        <w:rPr>
          <w:rFonts w:ascii="Times New Roman" w:hAnsi="Times New Roman"/>
          <w:u w:val="single"/>
        </w:rPr>
        <w:t>Exceptions to certification statement:</w:t>
      </w:r>
    </w:p>
    <w:p w:rsidR="006353FB" w:rsidRDefault="006353FB">
      <w:pPr>
        <w:rPr>
          <w:rFonts w:ascii="Times New Roman" w:hAnsi="Times New Roman"/>
        </w:rPr>
      </w:pPr>
    </w:p>
    <w:p w:rsidR="006353FB" w:rsidRDefault="006353FB" w:rsidP="002813ED">
      <w:pPr>
        <w:rPr>
          <w:rFonts w:ascii="Times New Roman" w:hAnsi="Times New Roman"/>
        </w:rPr>
      </w:pPr>
      <w:r>
        <w:rPr>
          <w:rFonts w:ascii="Times New Roman" w:hAnsi="Times New Roman"/>
        </w:rPr>
        <w:t>Not applicable.</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B. Collections of Information Employing Statistical Methods.</w:t>
      </w:r>
    </w:p>
    <w:p w:rsidR="006353FB" w:rsidRDefault="006353FB">
      <w:pPr>
        <w:rPr>
          <w:rFonts w:ascii="Times New Roman" w:hAnsi="Times New Roman"/>
        </w:rPr>
      </w:pPr>
    </w:p>
    <w:p w:rsidR="006353FB" w:rsidRDefault="006353FB">
      <w:pPr>
        <w:rPr>
          <w:rFonts w:ascii="Times New Roman" w:hAnsi="Times New Roman"/>
        </w:rPr>
      </w:pPr>
      <w:r>
        <w:rPr>
          <w:rFonts w:ascii="Times New Roman" w:hAnsi="Times New Roman"/>
        </w:rPr>
        <w:t>Not applicable.</w:t>
      </w:r>
    </w:p>
    <w:p w:rsidR="006353FB" w:rsidRDefault="006353FB">
      <w:pPr>
        <w:rPr>
          <w:rFonts w:ascii="Times New Roman" w:hAnsi="Times New Roman"/>
        </w:rPr>
      </w:pPr>
    </w:p>
    <w:sectPr w:rsidR="006353FB" w:rsidSect="006C6F9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A5" w:rsidRDefault="00FE7BA5">
      <w:r>
        <w:separator/>
      </w:r>
    </w:p>
  </w:endnote>
  <w:endnote w:type="continuationSeparator" w:id="0">
    <w:p w:rsidR="00FE7BA5" w:rsidRDefault="00FE7BA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44422"/>
      <w:docPartObj>
        <w:docPartGallery w:val="Page Numbers (Bottom of Page)"/>
        <w:docPartUnique/>
      </w:docPartObj>
    </w:sdtPr>
    <w:sdtContent>
      <w:p w:rsidR="00FE7BA5" w:rsidRDefault="003E70CE">
        <w:pPr>
          <w:pStyle w:val="Footer"/>
          <w:jc w:val="center"/>
        </w:pPr>
        <w:fldSimple w:instr=" PAGE   \* MERGEFORMAT ">
          <w:r w:rsidR="00D11BBB">
            <w:rPr>
              <w:noProof/>
            </w:rPr>
            <w:t>2</w:t>
          </w:r>
        </w:fldSimple>
      </w:p>
    </w:sdtContent>
  </w:sdt>
  <w:p w:rsidR="00FE7BA5" w:rsidRDefault="00FE7B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A5" w:rsidRDefault="00FE7BA5">
      <w:r>
        <w:separator/>
      </w:r>
    </w:p>
  </w:footnote>
  <w:footnote w:type="continuationSeparator" w:id="0">
    <w:p w:rsidR="00FE7BA5" w:rsidRDefault="00FE7B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A5" w:rsidRDefault="00FE7BA5">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11341"/>
    <w:multiLevelType w:val="hybridMultilevel"/>
    <w:tmpl w:val="B7000E0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pStyle w:val="ArticleLeveli"/>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AAA1130"/>
    <w:multiLevelType w:val="multilevel"/>
    <w:tmpl w:val="0EA09492"/>
    <w:lvl w:ilvl="0">
      <w:start w:val="1"/>
      <w:numFmt w:val="decimal"/>
      <w:pStyle w:val="Article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8183B22"/>
    <w:multiLevelType w:val="multilevel"/>
    <w:tmpl w:val="E124A508"/>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pStyle w:val="ArticleLevel1"/>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2"/>
  </w:num>
  <w:num w:numId="3">
    <w:abstractNumId w:val="2"/>
  </w:num>
  <w:num w:numId="4">
    <w:abstractNumId w:val="15"/>
  </w:num>
  <w:num w:numId="5">
    <w:abstractNumId w:val="11"/>
  </w:num>
  <w:num w:numId="6">
    <w:abstractNumId w:val="6"/>
  </w:num>
  <w:num w:numId="7">
    <w:abstractNumId w:val="10"/>
  </w:num>
  <w:num w:numId="8">
    <w:abstractNumId w:val="4"/>
  </w:num>
  <w:num w:numId="9">
    <w:abstractNumId w:val="1"/>
  </w:num>
  <w:num w:numId="10">
    <w:abstractNumId w:val="14"/>
  </w:num>
  <w:num w:numId="11">
    <w:abstractNumId w:val="8"/>
  </w:num>
  <w:num w:numId="12">
    <w:abstractNumId w:val="13"/>
  </w:num>
  <w:num w:numId="13">
    <w:abstractNumId w:val="7"/>
  </w:num>
  <w:num w:numId="14">
    <w:abstractNumId w:val="5"/>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D5505"/>
    <w:rsid w:val="00007E3F"/>
    <w:rsid w:val="00026909"/>
    <w:rsid w:val="000B7F05"/>
    <w:rsid w:val="00134B18"/>
    <w:rsid w:val="00174548"/>
    <w:rsid w:val="00182F89"/>
    <w:rsid w:val="00185603"/>
    <w:rsid w:val="001A48B8"/>
    <w:rsid w:val="001A60DE"/>
    <w:rsid w:val="002548AF"/>
    <w:rsid w:val="0025716A"/>
    <w:rsid w:val="0027420C"/>
    <w:rsid w:val="002813ED"/>
    <w:rsid w:val="002A7C2E"/>
    <w:rsid w:val="002C56E6"/>
    <w:rsid w:val="002E5067"/>
    <w:rsid w:val="00343C80"/>
    <w:rsid w:val="00395E76"/>
    <w:rsid w:val="003E310C"/>
    <w:rsid w:val="003E70CE"/>
    <w:rsid w:val="00452DFD"/>
    <w:rsid w:val="00453571"/>
    <w:rsid w:val="004614B2"/>
    <w:rsid w:val="00471267"/>
    <w:rsid w:val="00511BC7"/>
    <w:rsid w:val="00526EBB"/>
    <w:rsid w:val="00596019"/>
    <w:rsid w:val="005A06E5"/>
    <w:rsid w:val="005B493A"/>
    <w:rsid w:val="006353FB"/>
    <w:rsid w:val="006436AE"/>
    <w:rsid w:val="006816AA"/>
    <w:rsid w:val="006946E3"/>
    <w:rsid w:val="00696AA7"/>
    <w:rsid w:val="006C2136"/>
    <w:rsid w:val="006C6F99"/>
    <w:rsid w:val="006D5505"/>
    <w:rsid w:val="006E7873"/>
    <w:rsid w:val="00713F61"/>
    <w:rsid w:val="00783CAB"/>
    <w:rsid w:val="007844CC"/>
    <w:rsid w:val="007F12DC"/>
    <w:rsid w:val="00813534"/>
    <w:rsid w:val="00834643"/>
    <w:rsid w:val="008419A1"/>
    <w:rsid w:val="00842987"/>
    <w:rsid w:val="008D5653"/>
    <w:rsid w:val="008F322C"/>
    <w:rsid w:val="00944E72"/>
    <w:rsid w:val="00945F3E"/>
    <w:rsid w:val="009C15AA"/>
    <w:rsid w:val="009F1C87"/>
    <w:rsid w:val="00A24054"/>
    <w:rsid w:val="00A53600"/>
    <w:rsid w:val="00A622E9"/>
    <w:rsid w:val="00A74D17"/>
    <w:rsid w:val="00A86242"/>
    <w:rsid w:val="00B74C8F"/>
    <w:rsid w:val="00B970BE"/>
    <w:rsid w:val="00BA1697"/>
    <w:rsid w:val="00C12166"/>
    <w:rsid w:val="00C144D4"/>
    <w:rsid w:val="00C66305"/>
    <w:rsid w:val="00C8153B"/>
    <w:rsid w:val="00C84D05"/>
    <w:rsid w:val="00D11BBB"/>
    <w:rsid w:val="00D20B5F"/>
    <w:rsid w:val="00D855E2"/>
    <w:rsid w:val="00D934CB"/>
    <w:rsid w:val="00DA5559"/>
    <w:rsid w:val="00DD254C"/>
    <w:rsid w:val="00E311ED"/>
    <w:rsid w:val="00E75547"/>
    <w:rsid w:val="00E943B9"/>
    <w:rsid w:val="00ED1CD8"/>
    <w:rsid w:val="00EE4F13"/>
    <w:rsid w:val="00EF7100"/>
    <w:rsid w:val="00F178A6"/>
    <w:rsid w:val="00F44F2E"/>
    <w:rsid w:val="00FA1753"/>
    <w:rsid w:val="00FE7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6F9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6F99"/>
  </w:style>
  <w:style w:type="paragraph" w:styleId="Header">
    <w:name w:val="header"/>
    <w:basedOn w:val="Normal"/>
    <w:rsid w:val="006C6F99"/>
    <w:pPr>
      <w:tabs>
        <w:tab w:val="center" w:pos="4320"/>
        <w:tab w:val="right" w:pos="8640"/>
      </w:tabs>
    </w:pPr>
  </w:style>
  <w:style w:type="character" w:styleId="PageNumber">
    <w:name w:val="page number"/>
    <w:basedOn w:val="DefaultParagraphFont"/>
    <w:rsid w:val="006C6F99"/>
  </w:style>
  <w:style w:type="paragraph" w:styleId="Footer">
    <w:name w:val="footer"/>
    <w:basedOn w:val="Normal"/>
    <w:link w:val="FooterChar"/>
    <w:uiPriority w:val="99"/>
    <w:rsid w:val="006C6F99"/>
    <w:pPr>
      <w:tabs>
        <w:tab w:val="center" w:pos="4320"/>
        <w:tab w:val="right" w:pos="8640"/>
      </w:tabs>
    </w:pPr>
  </w:style>
  <w:style w:type="paragraph" w:styleId="HTMLPreformatted">
    <w:name w:val="HTML Preformatted"/>
    <w:basedOn w:val="Normal"/>
    <w:rsid w:val="006C6F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rPr>
  </w:style>
  <w:style w:type="paragraph" w:customStyle="1" w:styleId="ArticleNumber">
    <w:name w:val="Article Number"/>
    <w:basedOn w:val="Normal"/>
    <w:rsid w:val="006C6F99"/>
    <w:pPr>
      <w:widowControl/>
      <w:numPr>
        <w:numId w:val="16"/>
      </w:numPr>
      <w:spacing w:line="480" w:lineRule="auto"/>
      <w:jc w:val="center"/>
    </w:pPr>
    <w:rPr>
      <w:rFonts w:ascii="Times New Roman" w:hAnsi="Times New Roman"/>
      <w:snapToGrid/>
    </w:rPr>
  </w:style>
  <w:style w:type="paragraph" w:customStyle="1" w:styleId="ArticleLevel1">
    <w:name w:val="Article Level (1)"/>
    <w:basedOn w:val="Normal"/>
    <w:rsid w:val="006C6F99"/>
    <w:pPr>
      <w:widowControl/>
      <w:numPr>
        <w:ilvl w:val="1"/>
        <w:numId w:val="13"/>
      </w:numPr>
      <w:tabs>
        <w:tab w:val="clear" w:pos="1080"/>
      </w:tabs>
      <w:spacing w:line="480" w:lineRule="auto"/>
    </w:pPr>
    <w:rPr>
      <w:rFonts w:ascii="Times New Roman" w:hAnsi="Times New Roman"/>
      <w:snapToGrid/>
    </w:rPr>
  </w:style>
  <w:style w:type="paragraph" w:customStyle="1" w:styleId="ArticleLevela">
    <w:name w:val="Article Level (a)"/>
    <w:basedOn w:val="Normal"/>
    <w:rsid w:val="006C6F99"/>
    <w:pPr>
      <w:widowControl/>
      <w:numPr>
        <w:ilvl w:val="2"/>
        <w:numId w:val="14"/>
      </w:numPr>
      <w:tabs>
        <w:tab w:val="clear" w:pos="1440"/>
      </w:tabs>
      <w:spacing w:line="480" w:lineRule="auto"/>
      <w:ind w:left="2160"/>
    </w:pPr>
    <w:rPr>
      <w:rFonts w:ascii="Times New Roman" w:hAnsi="Times New Roman"/>
      <w:snapToGrid/>
    </w:rPr>
  </w:style>
  <w:style w:type="paragraph" w:customStyle="1" w:styleId="ArticleLeveli">
    <w:name w:val="Article Level (i)"/>
    <w:basedOn w:val="Normal"/>
    <w:rsid w:val="006C6F99"/>
    <w:pPr>
      <w:widowControl/>
      <w:numPr>
        <w:ilvl w:val="3"/>
        <w:numId w:val="15"/>
      </w:numPr>
      <w:spacing w:line="480" w:lineRule="auto"/>
      <w:ind w:left="2880"/>
    </w:pPr>
    <w:rPr>
      <w:rFonts w:ascii="Times New Roman" w:hAnsi="Times New Roman"/>
      <w:snapToGrid/>
    </w:rPr>
  </w:style>
  <w:style w:type="character" w:styleId="Hyperlink">
    <w:name w:val="Hyperlink"/>
    <w:basedOn w:val="DefaultParagraphFont"/>
    <w:rsid w:val="00D934CB"/>
    <w:rPr>
      <w:color w:val="0000FF"/>
      <w:u w:val="single"/>
    </w:rPr>
  </w:style>
  <w:style w:type="paragraph" w:styleId="BalloonText">
    <w:name w:val="Balloon Text"/>
    <w:basedOn w:val="Normal"/>
    <w:semiHidden/>
    <w:rsid w:val="00526EBB"/>
    <w:rPr>
      <w:rFonts w:ascii="Tahoma" w:hAnsi="Tahoma" w:cs="Tahoma"/>
      <w:sz w:val="16"/>
      <w:szCs w:val="16"/>
    </w:rPr>
  </w:style>
  <w:style w:type="character" w:customStyle="1" w:styleId="FooterChar">
    <w:name w:val="Footer Char"/>
    <w:basedOn w:val="DefaultParagraphFont"/>
    <w:link w:val="Footer"/>
    <w:uiPriority w:val="99"/>
    <w:rsid w:val="008419A1"/>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lpWithMyBank.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lpWithMyBan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1029</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Company>
  <LinksUpToDate>false</LinksUpToDate>
  <CharactersWithSpaces>7007</CharactersWithSpaces>
  <SharedDoc>false</SharedDoc>
  <HLinks>
    <vt:vector size="36" baseType="variant">
      <vt:variant>
        <vt:i4>2293798</vt:i4>
      </vt:variant>
      <vt:variant>
        <vt:i4>15</vt:i4>
      </vt:variant>
      <vt:variant>
        <vt:i4>0</vt:i4>
      </vt:variant>
      <vt:variant>
        <vt:i4>5</vt:i4>
      </vt:variant>
      <vt:variant>
        <vt:lpwstr>http://www.helpwithmybank.gov/</vt:lpwstr>
      </vt:variant>
      <vt:variant>
        <vt:lpwstr/>
      </vt:variant>
      <vt:variant>
        <vt:i4>3539058</vt:i4>
      </vt:variant>
      <vt:variant>
        <vt:i4>12</vt:i4>
      </vt:variant>
      <vt:variant>
        <vt:i4>0</vt:i4>
      </vt:variant>
      <vt:variant>
        <vt:i4>5</vt:i4>
      </vt:variant>
      <vt:variant>
        <vt:lpwstr>http://www.occ.gov/</vt:lpwstr>
      </vt:variant>
      <vt:variant>
        <vt:lpwstr/>
      </vt:variant>
      <vt:variant>
        <vt:i4>2293798</vt:i4>
      </vt:variant>
      <vt:variant>
        <vt:i4>9</vt:i4>
      </vt:variant>
      <vt:variant>
        <vt:i4>0</vt:i4>
      </vt:variant>
      <vt:variant>
        <vt:i4>5</vt:i4>
      </vt:variant>
      <vt:variant>
        <vt:lpwstr>http://www.helpwithmybank.gov/</vt:lpwstr>
      </vt:variant>
      <vt:variant>
        <vt:lpwstr/>
      </vt:variant>
      <vt:variant>
        <vt:i4>2293798</vt:i4>
      </vt:variant>
      <vt:variant>
        <vt:i4>6</vt:i4>
      </vt:variant>
      <vt:variant>
        <vt:i4>0</vt:i4>
      </vt:variant>
      <vt:variant>
        <vt:i4>5</vt:i4>
      </vt:variant>
      <vt:variant>
        <vt:lpwstr>http://www.helpwithmybank.gov/</vt:lpwstr>
      </vt:variant>
      <vt:variant>
        <vt:lpwstr/>
      </vt:variant>
      <vt:variant>
        <vt:i4>3539058</vt:i4>
      </vt:variant>
      <vt:variant>
        <vt:i4>3</vt:i4>
      </vt:variant>
      <vt:variant>
        <vt:i4>0</vt:i4>
      </vt:variant>
      <vt:variant>
        <vt:i4>5</vt:i4>
      </vt:variant>
      <vt:variant>
        <vt:lpwstr>http://www.occ.gov/</vt:lpwstr>
      </vt:variant>
      <vt:variant>
        <vt:lpwstr/>
      </vt:variant>
      <vt:variant>
        <vt:i4>2293798</vt:i4>
      </vt:variant>
      <vt:variant>
        <vt:i4>0</vt:i4>
      </vt:variant>
      <vt:variant>
        <vt:i4>0</vt:i4>
      </vt:variant>
      <vt:variant>
        <vt:i4>5</vt:i4>
      </vt:variant>
      <vt:variant>
        <vt:lpwstr>http://www.helpwithmybank.gov/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OCC</dc:creator>
  <cp:keywords/>
  <cp:lastModifiedBy>juanmanuel.vilela</cp:lastModifiedBy>
  <cp:revision>2</cp:revision>
  <cp:lastPrinted>2012-09-05T19:07:00Z</cp:lastPrinted>
  <dcterms:created xsi:type="dcterms:W3CDTF">2012-09-11T19:16:00Z</dcterms:created>
  <dcterms:modified xsi:type="dcterms:W3CDTF">2012-09-11T19:16:00Z</dcterms:modified>
</cp:coreProperties>
</file>